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277D5" w14:textId="77777777" w:rsidR="0046303C" w:rsidRDefault="0046303C" w:rsidP="0046303C">
      <w:pPr>
        <w:spacing w:before="1920" w:after="480"/>
        <w:jc w:val="center"/>
        <w:rPr>
          <w:rFonts w:ascii="Calibri" w:hAnsi="Calibri"/>
          <w:b/>
          <w:bCs/>
          <w:sz w:val="72"/>
          <w:szCs w:val="72"/>
        </w:rPr>
      </w:pPr>
      <w:bookmarkStart w:id="0" w:name="_Toc105590460"/>
      <w:bookmarkStart w:id="1" w:name="_Toc242352480"/>
      <w:bookmarkStart w:id="2" w:name="_Toc96671627"/>
      <w:bookmarkStart w:id="3" w:name="_Toc96675672"/>
      <w:r>
        <w:rPr>
          <w:rFonts w:ascii="Calibri" w:hAnsi="Calibri"/>
          <w:b/>
          <w:bCs/>
          <w:noProof/>
          <w:sz w:val="72"/>
          <w:szCs w:val="72"/>
        </w:rPr>
        <w:drawing>
          <wp:inline distT="0" distB="0" distL="0" distR="0" wp14:anchorId="22262593" wp14:editId="0303198B">
            <wp:extent cx="3670300" cy="1447800"/>
            <wp:effectExtent l="0" t="0" r="0" b="0"/>
            <wp:docPr id="5" name="Picture 5" descr="TPL4I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L4I-logo.jpg"/>
                    <pic:cNvPicPr/>
                  </pic:nvPicPr>
                  <pic:blipFill>
                    <a:blip r:embed="rId11"/>
                    <a:stretch>
                      <a:fillRect/>
                    </a:stretch>
                  </pic:blipFill>
                  <pic:spPr>
                    <a:xfrm>
                      <a:off x="0" y="0"/>
                      <a:ext cx="3670300" cy="1447800"/>
                    </a:xfrm>
                    <a:prstGeom prst="rect">
                      <a:avLst/>
                    </a:prstGeom>
                  </pic:spPr>
                </pic:pic>
              </a:graphicData>
            </a:graphic>
          </wp:inline>
        </w:drawing>
      </w:r>
    </w:p>
    <w:p w14:paraId="48E28AF0" w14:textId="2D3999EA" w:rsidR="005B1F7B" w:rsidRPr="0028439F" w:rsidRDefault="00D76AA4" w:rsidP="0046303C">
      <w:pPr>
        <w:spacing w:before="1320" w:after="720"/>
        <w:jc w:val="center"/>
      </w:pPr>
      <w:r w:rsidRPr="0028439F">
        <w:rPr>
          <w:rFonts w:ascii="Calibri" w:hAnsi="Calibri"/>
          <w:b/>
          <w:bCs/>
          <w:sz w:val="72"/>
          <w:szCs w:val="72"/>
        </w:rPr>
        <w:t>TEACHER PROFESSIONAL LEARNING FOR INCLUSION</w:t>
      </w:r>
    </w:p>
    <w:p w14:paraId="0777EAE2" w14:textId="79E93B01" w:rsidR="00751AD2" w:rsidRPr="0028439F" w:rsidRDefault="00FD265A" w:rsidP="00F74887">
      <w:pPr>
        <w:spacing w:before="600" w:after="240"/>
        <w:jc w:val="center"/>
        <w:rPr>
          <w:rFonts w:asciiTheme="majorHAnsi" w:hAnsiTheme="majorHAnsi" w:cstheme="majorBidi"/>
          <w:b/>
          <w:bCs/>
          <w:sz w:val="44"/>
          <w:szCs w:val="44"/>
        </w:rPr>
      </w:pPr>
      <w:r w:rsidRPr="0028439F">
        <w:rPr>
          <w:rFonts w:asciiTheme="majorHAnsi" w:hAnsiTheme="majorHAnsi" w:cstheme="majorBidi"/>
          <w:b/>
          <w:bCs/>
          <w:sz w:val="44"/>
          <w:szCs w:val="44"/>
        </w:rPr>
        <w:t xml:space="preserve">Policy </w:t>
      </w:r>
      <w:r w:rsidR="00751AD2" w:rsidRPr="0028439F">
        <w:rPr>
          <w:rFonts w:asciiTheme="majorHAnsi" w:hAnsiTheme="majorHAnsi" w:cstheme="majorBidi"/>
          <w:b/>
          <w:bCs/>
          <w:sz w:val="44"/>
          <w:szCs w:val="44"/>
        </w:rPr>
        <w:t xml:space="preserve">Self-Review </w:t>
      </w:r>
      <w:r w:rsidRPr="0028439F">
        <w:rPr>
          <w:rFonts w:asciiTheme="majorHAnsi" w:hAnsiTheme="majorHAnsi" w:cstheme="majorBidi"/>
          <w:b/>
          <w:bCs/>
          <w:sz w:val="44"/>
          <w:szCs w:val="44"/>
        </w:rPr>
        <w:t>Tool</w:t>
      </w:r>
    </w:p>
    <w:p w14:paraId="35D2E62A" w14:textId="59FB78B9" w:rsidR="006277A0" w:rsidRPr="0028439F" w:rsidRDefault="005B1F7B" w:rsidP="0046303C">
      <w:pPr>
        <w:pStyle w:val="Agency-body-text"/>
        <w:spacing w:before="5280" w:after="0"/>
        <w:jc w:val="center"/>
        <w:rPr>
          <w:sz w:val="28"/>
          <w:szCs w:val="28"/>
        </w:rPr>
      </w:pPr>
      <w:r w:rsidRPr="0028439F">
        <w:rPr>
          <w:b/>
          <w:sz w:val="28"/>
          <w:szCs w:val="28"/>
        </w:rPr>
        <w:t>European Agency for Special Needs and Inclusive Education</w:t>
      </w:r>
      <w:r w:rsidR="006277A0" w:rsidRPr="0028439F">
        <w:rPr>
          <w:sz w:val="28"/>
          <w:szCs w:val="28"/>
        </w:rPr>
        <w:br w:type="page"/>
      </w:r>
    </w:p>
    <w:p w14:paraId="06A8BC5C" w14:textId="77777777" w:rsidR="00751AD2" w:rsidRPr="0028439F" w:rsidRDefault="00751AD2" w:rsidP="009754FB">
      <w:pPr>
        <w:spacing w:before="480" w:after="480"/>
        <w:rPr>
          <w:rFonts w:asciiTheme="majorHAnsi" w:hAnsiTheme="majorHAnsi"/>
        </w:rPr>
      </w:pPr>
      <w:r w:rsidRPr="0028439F">
        <w:rPr>
          <w:rFonts w:asciiTheme="majorHAnsi" w:hAnsiTheme="majorHAnsi"/>
        </w:rPr>
        <w:lastRenderedPageBreak/>
        <w:t>The European Agency for Special Needs and Inclusive Education (the Agency) is an independent and self-governing organisation. The Agency is co-funded by the ministries of education in its member countries and by the European Commission via an operating grant within the European Union (EU) Erasmus+ education programme (2014–2020).</w:t>
      </w:r>
    </w:p>
    <w:tbl>
      <w:tblPr>
        <w:tblW w:w="5041" w:type="pct"/>
        <w:tblInd w:w="-88" w:type="dxa"/>
        <w:tblLayout w:type="fixed"/>
        <w:tblLook w:val="0000" w:firstRow="0" w:lastRow="0" w:firstColumn="0" w:lastColumn="0" w:noHBand="0" w:noVBand="0"/>
        <w:tblDescription w:val="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blPr>
      <w:tblGrid>
        <w:gridCol w:w="2685"/>
        <w:gridCol w:w="6224"/>
      </w:tblGrid>
      <w:tr w:rsidR="00751AD2" w:rsidRPr="0028439F" w14:paraId="27AB5F90" w14:textId="77777777" w:rsidTr="00AF5BC1">
        <w:trPr>
          <w:trHeight w:val="1295"/>
          <w:tblHeader/>
        </w:trPr>
        <w:tc>
          <w:tcPr>
            <w:tcW w:w="2748" w:type="dxa"/>
            <w:vAlign w:val="center"/>
          </w:tcPr>
          <w:p w14:paraId="124ED68A" w14:textId="77777777" w:rsidR="00751AD2" w:rsidRPr="0028439F" w:rsidRDefault="00751AD2" w:rsidP="00AF5BC1">
            <w:pPr>
              <w:rPr>
                <w:rFonts w:cs="Arial"/>
              </w:rPr>
            </w:pPr>
            <w:r w:rsidRPr="0028439F">
              <w:rPr>
                <w:noProof/>
                <w:lang w:eastAsia="el-GR"/>
              </w:rPr>
              <w:drawing>
                <wp:inline distT="0" distB="0" distL="0" distR="0" wp14:anchorId="3AD134DC" wp14:editId="3524CD06">
                  <wp:extent cx="1574800" cy="449574"/>
                  <wp:effectExtent l="0" t="0" r="0" b="8255"/>
                  <wp:docPr id="2" name="Picture 2" descr="European Union flag logo and text: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sm.jpg"/>
                          <pic:cNvPicPr/>
                        </pic:nvPicPr>
                        <pic:blipFill>
                          <a:blip r:embed="rId12">
                            <a:extLst>
                              <a:ext uri="{28A0092B-C50C-407E-A947-70E740481C1C}">
                                <a14:useLocalDpi xmlns:a14="http://schemas.microsoft.com/office/drawing/2010/main" val="0"/>
                              </a:ext>
                            </a:extLst>
                          </a:blip>
                          <a:stretch>
                            <a:fillRect/>
                          </a:stretch>
                        </pic:blipFill>
                        <pic:spPr>
                          <a:xfrm>
                            <a:off x="0" y="0"/>
                            <a:ext cx="1578198" cy="4505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6379" w:type="dxa"/>
            <w:vAlign w:val="center"/>
          </w:tcPr>
          <w:p w14:paraId="758919B0" w14:textId="77777777" w:rsidR="00751AD2" w:rsidRPr="0028439F" w:rsidRDefault="00751AD2" w:rsidP="00AF5BC1">
            <w:pPr>
              <w:pStyle w:val="Agency-body-text"/>
              <w:spacing w:line="200" w:lineRule="exact"/>
              <w:rPr>
                <w:rFonts w:cs="Arial"/>
                <w:sz w:val="20"/>
              </w:rPr>
            </w:pPr>
            <w:r w:rsidRPr="0028439F">
              <w:rPr>
                <w:sz w:val="20"/>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747DDD11" w14:textId="77777777" w:rsidR="00751AD2" w:rsidRPr="0028439F" w:rsidRDefault="00751AD2" w:rsidP="009754FB">
      <w:pPr>
        <w:pStyle w:val="Agency-body-text"/>
        <w:spacing w:before="480" w:after="480"/>
      </w:pPr>
      <w:r w:rsidRPr="0028439F">
        <w:t>The views expressed by any individual in this document do not necessarily represent the official views of the Agency, its member countries or the Commission.</w:t>
      </w:r>
    </w:p>
    <w:p w14:paraId="0522D4F3" w14:textId="4ABC9D9D" w:rsidR="00751AD2" w:rsidRPr="0028439F" w:rsidRDefault="00751AD2" w:rsidP="009754FB">
      <w:pPr>
        <w:pStyle w:val="Agency-body-text"/>
        <w:spacing w:before="480" w:after="480"/>
      </w:pPr>
      <w:r w:rsidRPr="0028439F">
        <w:t xml:space="preserve">Editors: </w:t>
      </w:r>
      <w:r w:rsidR="00FF2C7E" w:rsidRPr="0028439F">
        <w:t>Simoni Symeonidou and Annet De Vroey</w:t>
      </w:r>
    </w:p>
    <w:p w14:paraId="33B83D6E" w14:textId="5F48A94B" w:rsidR="00751AD2" w:rsidRPr="0028439F" w:rsidRDefault="00751AD2" w:rsidP="009754FB">
      <w:pPr>
        <w:pStyle w:val="Agency-body-text"/>
        <w:spacing w:before="480" w:after="480"/>
      </w:pPr>
      <w:r w:rsidRPr="0028439F">
        <w:t>Extracts from the document are permitted provided that a clear reference to the source is given. This report should be referenced as follows: European Agency for Special Needs and Inclusive Education, 201</w:t>
      </w:r>
      <w:r w:rsidR="008A0EB0" w:rsidRPr="0028439F">
        <w:t>9</w:t>
      </w:r>
      <w:r w:rsidRPr="0028439F">
        <w:t xml:space="preserve">. </w:t>
      </w:r>
      <w:r w:rsidR="008A0EB0" w:rsidRPr="0028439F">
        <w:rPr>
          <w:i/>
        </w:rPr>
        <w:t>Teacher Professional Learning for Inclusion: Policy Self</w:t>
      </w:r>
      <w:r w:rsidR="008A0EB0" w:rsidRPr="0028439F">
        <w:rPr>
          <w:i/>
        </w:rPr>
        <w:noBreakHyphen/>
        <w:t>Review Tool</w:t>
      </w:r>
      <w:r w:rsidRPr="0028439F">
        <w:t>. (</w:t>
      </w:r>
      <w:r w:rsidR="00FF2C7E" w:rsidRPr="0028439F">
        <w:t>S. Symeonidou</w:t>
      </w:r>
      <w:r w:rsidR="004549C7" w:rsidRPr="0028439F">
        <w:t xml:space="preserve"> and</w:t>
      </w:r>
      <w:r w:rsidR="00FF2C7E" w:rsidRPr="0028439F">
        <w:t xml:space="preserve"> A. De Vroey</w:t>
      </w:r>
      <w:r w:rsidRPr="0028439F">
        <w:t>, eds.). Odense, Denmark</w:t>
      </w:r>
    </w:p>
    <w:p w14:paraId="70DACA65" w14:textId="58316E5E" w:rsidR="00751AD2" w:rsidRPr="0028439F" w:rsidRDefault="00751AD2" w:rsidP="009754FB">
      <w:pPr>
        <w:pStyle w:val="Agency-body-text"/>
        <w:spacing w:before="480" w:after="480"/>
        <w:rPr>
          <w:szCs w:val="24"/>
        </w:rPr>
      </w:pPr>
      <w:r w:rsidRPr="0028439F">
        <w:rPr>
          <w:szCs w:val="24"/>
        </w:rPr>
        <w:t xml:space="preserve">With a view to greater accessibility, this report is available </w:t>
      </w:r>
      <w:bookmarkStart w:id="4" w:name="_GoBack"/>
      <w:bookmarkEnd w:id="4"/>
      <w:r w:rsidRPr="0028439F">
        <w:rPr>
          <w:szCs w:val="24"/>
        </w:rPr>
        <w:t xml:space="preserve">in accessible electronic format on the Agency’s website: </w:t>
      </w:r>
      <w:hyperlink r:id="rId13" w:history="1">
        <w:r w:rsidRPr="0028439F">
          <w:rPr>
            <w:szCs w:val="24"/>
          </w:rPr>
          <w:t>www.european-agency.org</w:t>
        </w:r>
      </w:hyperlink>
    </w:p>
    <w:p w14:paraId="79304497" w14:textId="2213AB33" w:rsidR="00751AD2" w:rsidRPr="0028439F" w:rsidRDefault="00751AD2" w:rsidP="00751AD2">
      <w:pPr>
        <w:spacing w:before="360" w:after="360"/>
        <w:jc w:val="center"/>
        <w:rPr>
          <w:rFonts w:ascii="Calibri" w:hAnsi="Calibri" w:cs="Arial"/>
        </w:rPr>
      </w:pPr>
      <w:r w:rsidRPr="0028439F">
        <w:rPr>
          <w:rFonts w:ascii="Calibri" w:hAnsi="Calibri" w:cs="Arial"/>
        </w:rPr>
        <w:t xml:space="preserve">ISBN: </w:t>
      </w:r>
      <w:r w:rsidRPr="0028439F">
        <w:rPr>
          <w:rFonts w:asciiTheme="majorHAnsi" w:hAnsiTheme="majorHAnsi" w:cstheme="majorHAnsi"/>
          <w:lang w:eastAsia="en-GB"/>
        </w:rPr>
        <w:t>978-87-7110-870-5</w:t>
      </w:r>
      <w:r w:rsidRPr="0028439F" w:rsidDel="006E747A">
        <w:rPr>
          <w:rFonts w:ascii="Calibri" w:hAnsi="Calibri" w:cs="Arial"/>
        </w:rPr>
        <w:t xml:space="preserve"> </w:t>
      </w:r>
      <w:r w:rsidRPr="0028439F">
        <w:rPr>
          <w:rFonts w:ascii="Calibri" w:hAnsi="Calibri" w:cs="Arial"/>
        </w:rPr>
        <w:t>(Electronic)</w:t>
      </w:r>
      <w:r w:rsidRPr="0028439F">
        <w:rPr>
          <w:rFonts w:ascii="Calibri" w:hAnsi="Calibri" w:cs="Arial"/>
        </w:rPr>
        <w:tab/>
      </w:r>
      <w:r w:rsidRPr="0028439F">
        <w:rPr>
          <w:rFonts w:ascii="Calibri" w:hAnsi="Calibri" w:cs="Arial"/>
        </w:rPr>
        <w:tab/>
        <w:t xml:space="preserve">ISBN: </w:t>
      </w:r>
      <w:r w:rsidR="008A0EB0" w:rsidRPr="0028439F">
        <w:rPr>
          <w:rFonts w:asciiTheme="majorHAnsi" w:hAnsiTheme="majorHAnsi" w:cstheme="majorHAnsi"/>
          <w:szCs w:val="24"/>
        </w:rPr>
        <w:t>978-87-7110-871-2</w:t>
      </w:r>
      <w:r w:rsidRPr="0028439F" w:rsidDel="006E747A">
        <w:rPr>
          <w:rFonts w:ascii="Calibri" w:hAnsi="Calibri" w:cs="Arial"/>
        </w:rPr>
        <w:t xml:space="preserve"> </w:t>
      </w:r>
      <w:r w:rsidRPr="0028439F">
        <w:rPr>
          <w:rFonts w:ascii="Calibri" w:hAnsi="Calibri" w:cs="Arial"/>
        </w:rPr>
        <w:t>(Printed)</w:t>
      </w:r>
    </w:p>
    <w:tbl>
      <w:tblPr>
        <w:tblW w:w="5041" w:type="pct"/>
        <w:tblInd w:w="-88" w:type="dxa"/>
        <w:tblLayout w:type="fixed"/>
        <w:tblLook w:val="0000" w:firstRow="0" w:lastRow="0" w:firstColumn="0" w:lastColumn="0" w:noHBand="0" w:noVBand="0"/>
        <w:tblDescription w:val="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blPr>
      <w:tblGrid>
        <w:gridCol w:w="2685"/>
        <w:gridCol w:w="6224"/>
      </w:tblGrid>
      <w:tr w:rsidR="00816701" w:rsidRPr="0028439F" w14:paraId="1888C23A" w14:textId="77777777" w:rsidTr="00AF5BC1">
        <w:trPr>
          <w:trHeight w:val="1214"/>
          <w:tblHeader/>
        </w:trPr>
        <w:tc>
          <w:tcPr>
            <w:tcW w:w="2685" w:type="dxa"/>
            <w:vAlign w:val="center"/>
          </w:tcPr>
          <w:p w14:paraId="680F84CD" w14:textId="77777777" w:rsidR="00816701" w:rsidRPr="0028439F" w:rsidRDefault="00816701" w:rsidP="00AF5BC1">
            <w:pPr>
              <w:rPr>
                <w:rFonts w:asciiTheme="majorHAnsi" w:hAnsiTheme="majorHAnsi" w:cs="Arial"/>
              </w:rPr>
            </w:pPr>
            <w:r w:rsidRPr="0028439F">
              <w:rPr>
                <w:rFonts w:asciiTheme="majorHAnsi" w:hAnsiTheme="majorHAnsi" w:cs="Arial"/>
                <w:noProof/>
                <w:lang w:eastAsia="el-GR"/>
              </w:rPr>
              <w:drawing>
                <wp:inline distT="0" distB="0" distL="0" distR="0" wp14:anchorId="518FDD46" wp14:editId="172894BC">
                  <wp:extent cx="1573200" cy="565200"/>
                  <wp:effectExtent l="0" t="0" r="1905" b="0"/>
                  <wp:docPr id="4" name="Picture 4" descr="Creative Commons Attribution-NonCommercial-ShareAlike 4.0 Internation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mall.jpg"/>
                          <pic:cNvPicPr/>
                        </pic:nvPicPr>
                        <pic:blipFill>
                          <a:blip r:embed="rId14">
                            <a:extLst>
                              <a:ext uri="{28A0092B-C50C-407E-A947-70E740481C1C}">
                                <a14:useLocalDpi xmlns:a14="http://schemas.microsoft.com/office/drawing/2010/main" val="0"/>
                              </a:ext>
                            </a:extLst>
                          </a:blip>
                          <a:stretch>
                            <a:fillRect/>
                          </a:stretch>
                        </pic:blipFill>
                        <pic:spPr>
                          <a:xfrm>
                            <a:off x="0" y="0"/>
                            <a:ext cx="1573200" cy="565200"/>
                          </a:xfrm>
                          <a:prstGeom prst="rect">
                            <a:avLst/>
                          </a:prstGeom>
                        </pic:spPr>
                      </pic:pic>
                    </a:graphicData>
                  </a:graphic>
                </wp:inline>
              </w:drawing>
            </w:r>
          </w:p>
        </w:tc>
        <w:tc>
          <w:tcPr>
            <w:tcW w:w="6224" w:type="dxa"/>
            <w:vAlign w:val="center"/>
          </w:tcPr>
          <w:p w14:paraId="366695AC" w14:textId="70F2A090" w:rsidR="00816701" w:rsidRPr="0028439F" w:rsidRDefault="00816701" w:rsidP="00AF5BC1">
            <w:pPr>
              <w:pStyle w:val="Agency-body-text"/>
              <w:rPr>
                <w:rFonts w:asciiTheme="majorHAnsi" w:hAnsiTheme="majorHAnsi" w:cs="Arial"/>
                <w:sz w:val="20"/>
              </w:rPr>
            </w:pPr>
            <w:r w:rsidRPr="0028439F">
              <w:rPr>
                <w:sz w:val="20"/>
              </w:rPr>
              <w:t>This work is licensed under the Creative Commons Attribution-NonCommercial-ShareAlike</w:t>
            </w:r>
            <w:r w:rsidR="005B741D" w:rsidRPr="0028439F">
              <w:rPr>
                <w:sz w:val="20"/>
              </w:rPr>
              <w:t> </w:t>
            </w:r>
            <w:r w:rsidRPr="0028439F">
              <w:rPr>
                <w:sz w:val="20"/>
              </w:rPr>
              <w:t>4.0 International License. To view a copy of this license, visit http://creativecommons.org/licenses/by-nc-sa/4.0/</w:t>
            </w:r>
            <w:r w:rsidR="00681B4E" w:rsidRPr="0028439F">
              <w:rPr>
                <w:rFonts w:asciiTheme="minorHAnsi" w:eastAsiaTheme="minorHAnsi" w:hAnsiTheme="minorHAnsi" w:cstheme="minorBidi"/>
                <w:color w:val="auto"/>
                <w:szCs w:val="24"/>
              </w:rPr>
              <w:t xml:space="preserve"> </w:t>
            </w:r>
            <w:r w:rsidR="00681B4E" w:rsidRPr="0028439F">
              <w:rPr>
                <w:sz w:val="20"/>
              </w:rPr>
              <w:t>or send a letter to Creative Commons, PO Box</w:t>
            </w:r>
            <w:r w:rsidR="005B741D" w:rsidRPr="0028439F">
              <w:rPr>
                <w:sz w:val="20"/>
              </w:rPr>
              <w:t> </w:t>
            </w:r>
            <w:r w:rsidR="00681B4E" w:rsidRPr="0028439F">
              <w:rPr>
                <w:sz w:val="20"/>
              </w:rPr>
              <w:t>1866, Mountain View, CA</w:t>
            </w:r>
            <w:r w:rsidR="005B741D" w:rsidRPr="0028439F">
              <w:rPr>
                <w:sz w:val="20"/>
              </w:rPr>
              <w:t> </w:t>
            </w:r>
            <w:r w:rsidR="00681B4E" w:rsidRPr="0028439F">
              <w:rPr>
                <w:sz w:val="20"/>
              </w:rPr>
              <w:t>94042, USA.</w:t>
            </w:r>
          </w:p>
        </w:tc>
      </w:tr>
    </w:tbl>
    <w:p w14:paraId="1D01FB0F" w14:textId="7F8AB5E9" w:rsidR="00751AD2" w:rsidRPr="0028439F" w:rsidRDefault="00751AD2" w:rsidP="00751AD2">
      <w:pPr>
        <w:spacing w:before="240" w:after="240"/>
        <w:jc w:val="center"/>
        <w:rPr>
          <w:rFonts w:ascii="Calibri" w:hAnsi="Calibri" w:cs="Arial"/>
          <w:b/>
        </w:rPr>
      </w:pPr>
      <w:r w:rsidRPr="0028439F">
        <w:rPr>
          <w:rFonts w:ascii="Calibri" w:hAnsi="Calibri" w:cs="Arial"/>
          <w:color w:val="000000"/>
        </w:rPr>
        <w:t xml:space="preserve">© </w:t>
      </w:r>
      <w:r w:rsidRPr="0028439F">
        <w:rPr>
          <w:rFonts w:ascii="Calibri" w:hAnsi="Calibri" w:cs="Arial"/>
          <w:b/>
        </w:rPr>
        <w:t>European Agency for Special Needs and Inclusive Education 201</w:t>
      </w:r>
      <w:r w:rsidR="008A0EB0" w:rsidRPr="0028439F">
        <w:rPr>
          <w:rFonts w:ascii="Calibri" w:hAnsi="Calibri" w:cs="Arial"/>
          <w:b/>
        </w:rPr>
        <w:t>9</w:t>
      </w:r>
    </w:p>
    <w:tbl>
      <w:tblPr>
        <w:tblW w:w="5000" w:type="pct"/>
        <w:jc w:val="center"/>
        <w:tblLayout w:type="fixed"/>
        <w:tblLook w:val="0000" w:firstRow="0" w:lastRow="0" w:firstColumn="0" w:lastColumn="0" w:noHBand="0" w:noVBand="0"/>
        <w:tblDescription w:val="Secretariat &#10;Østre Stationsvej 33 &#10;DK-5000 Odense C Denmark &#10;Tel: +45 64 41 00 20 &#10;secretariat@european-agency.org &#10;Brussels Office &#10;Rue Montoyer, 21 &#10;BE-1000 Brussels Belgium &#10;Tel: +32 2 213 62 80 &#10;brussels.office@european-agency.org"/>
      </w:tblPr>
      <w:tblGrid>
        <w:gridCol w:w="4491"/>
        <w:gridCol w:w="4346"/>
      </w:tblGrid>
      <w:tr w:rsidR="00751AD2" w:rsidRPr="0028439F" w14:paraId="698A014F" w14:textId="77777777" w:rsidTr="00AF5BC1">
        <w:trPr>
          <w:trHeight w:val="346"/>
          <w:tblHeader/>
          <w:jc w:val="center"/>
        </w:trPr>
        <w:tc>
          <w:tcPr>
            <w:tcW w:w="4601" w:type="dxa"/>
          </w:tcPr>
          <w:p w14:paraId="70093A59" w14:textId="77777777" w:rsidR="00751AD2" w:rsidRPr="0028439F" w:rsidRDefault="00751AD2" w:rsidP="00AF5BC1">
            <w:pPr>
              <w:keepNext/>
              <w:keepLines/>
              <w:tabs>
                <w:tab w:val="center" w:pos="4320"/>
                <w:tab w:val="right" w:pos="8640"/>
              </w:tabs>
              <w:spacing w:before="240" w:after="60"/>
              <w:jc w:val="center"/>
              <w:outlineLvl w:val="3"/>
              <w:rPr>
                <w:rFonts w:asciiTheme="majorHAnsi" w:hAnsiTheme="majorHAnsi" w:cs="Arial"/>
              </w:rPr>
            </w:pPr>
            <w:r w:rsidRPr="0028439F">
              <w:rPr>
                <w:rFonts w:asciiTheme="majorHAnsi" w:hAnsiTheme="majorHAnsi" w:cs="Arial"/>
              </w:rPr>
              <w:t>Secretariat</w:t>
            </w:r>
          </w:p>
        </w:tc>
        <w:tc>
          <w:tcPr>
            <w:tcW w:w="4452" w:type="dxa"/>
          </w:tcPr>
          <w:p w14:paraId="2D10689C" w14:textId="77777777" w:rsidR="00751AD2" w:rsidRPr="0028439F" w:rsidRDefault="00751AD2" w:rsidP="00AF5BC1">
            <w:pPr>
              <w:keepNext/>
              <w:keepLines/>
              <w:tabs>
                <w:tab w:val="center" w:pos="4320"/>
                <w:tab w:val="right" w:pos="8640"/>
              </w:tabs>
              <w:spacing w:before="240" w:after="60"/>
              <w:jc w:val="center"/>
              <w:outlineLvl w:val="3"/>
              <w:rPr>
                <w:rFonts w:asciiTheme="majorHAnsi" w:hAnsiTheme="majorHAnsi" w:cs="Arial"/>
              </w:rPr>
            </w:pPr>
            <w:r w:rsidRPr="0028439F">
              <w:rPr>
                <w:rFonts w:asciiTheme="majorHAnsi" w:hAnsiTheme="majorHAnsi" w:cs="Arial"/>
              </w:rPr>
              <w:t>Brussels Office</w:t>
            </w:r>
          </w:p>
        </w:tc>
      </w:tr>
      <w:tr w:rsidR="00751AD2" w:rsidRPr="0028439F" w14:paraId="0E384F31" w14:textId="77777777" w:rsidTr="00AF5BC1">
        <w:trPr>
          <w:trHeight w:val="1239"/>
          <w:jc w:val="center"/>
        </w:trPr>
        <w:tc>
          <w:tcPr>
            <w:tcW w:w="4601" w:type="dxa"/>
          </w:tcPr>
          <w:p w14:paraId="6E612F54" w14:textId="77777777" w:rsidR="00751AD2" w:rsidRPr="0028439F" w:rsidRDefault="00751AD2" w:rsidP="00AF5BC1">
            <w:pPr>
              <w:jc w:val="center"/>
              <w:rPr>
                <w:rFonts w:asciiTheme="majorHAnsi" w:hAnsiTheme="majorHAnsi" w:cs="Arial"/>
              </w:rPr>
            </w:pPr>
            <w:r w:rsidRPr="0028439F">
              <w:rPr>
                <w:rFonts w:asciiTheme="majorHAnsi" w:hAnsiTheme="majorHAnsi" w:cs="Arial"/>
              </w:rPr>
              <w:t>Østre Stationsvej 33</w:t>
            </w:r>
          </w:p>
          <w:p w14:paraId="21619E7B" w14:textId="77777777" w:rsidR="00751AD2" w:rsidRPr="0028439F" w:rsidRDefault="00751AD2" w:rsidP="00AF5BC1">
            <w:pPr>
              <w:jc w:val="center"/>
              <w:rPr>
                <w:rFonts w:asciiTheme="majorHAnsi" w:hAnsiTheme="majorHAnsi" w:cs="Arial"/>
              </w:rPr>
            </w:pPr>
            <w:r w:rsidRPr="0028439F">
              <w:rPr>
                <w:rFonts w:asciiTheme="majorHAnsi" w:hAnsiTheme="majorHAnsi" w:cs="Arial"/>
              </w:rPr>
              <w:t>DK-5000 Odense C Denmark</w:t>
            </w:r>
          </w:p>
          <w:p w14:paraId="39099CFD" w14:textId="77777777" w:rsidR="00751AD2" w:rsidRPr="0028439F" w:rsidRDefault="00751AD2" w:rsidP="00AF5BC1">
            <w:pPr>
              <w:jc w:val="center"/>
              <w:rPr>
                <w:rFonts w:asciiTheme="majorHAnsi" w:hAnsiTheme="majorHAnsi" w:cs="Arial"/>
              </w:rPr>
            </w:pPr>
            <w:r w:rsidRPr="0028439F">
              <w:rPr>
                <w:rFonts w:asciiTheme="majorHAnsi" w:hAnsiTheme="majorHAnsi" w:cs="Arial"/>
              </w:rPr>
              <w:t>Tel: +45 64 41 00 20</w:t>
            </w:r>
          </w:p>
          <w:p w14:paraId="40D87A9D" w14:textId="77777777" w:rsidR="00751AD2" w:rsidRPr="0028439F" w:rsidRDefault="0028234C" w:rsidP="00AF5BC1">
            <w:pPr>
              <w:tabs>
                <w:tab w:val="center" w:pos="2171"/>
                <w:tab w:val="right" w:pos="4342"/>
              </w:tabs>
              <w:jc w:val="center"/>
              <w:rPr>
                <w:rFonts w:asciiTheme="majorHAnsi" w:hAnsiTheme="majorHAnsi" w:cs="Arial"/>
              </w:rPr>
            </w:pPr>
            <w:hyperlink r:id="rId15" w:history="1">
              <w:r w:rsidR="00751AD2" w:rsidRPr="0028439F">
                <w:rPr>
                  <w:rFonts w:asciiTheme="majorHAnsi" w:hAnsiTheme="majorHAnsi" w:cs="Arial"/>
                </w:rPr>
                <w:t>secretariat@european-agency.org</w:t>
              </w:r>
            </w:hyperlink>
          </w:p>
        </w:tc>
        <w:tc>
          <w:tcPr>
            <w:tcW w:w="4452" w:type="dxa"/>
          </w:tcPr>
          <w:p w14:paraId="4BE4B7AB" w14:textId="77777777" w:rsidR="00751AD2" w:rsidRPr="0028439F" w:rsidRDefault="00751AD2" w:rsidP="00AF5BC1">
            <w:pPr>
              <w:jc w:val="center"/>
              <w:rPr>
                <w:rFonts w:asciiTheme="majorHAnsi" w:hAnsiTheme="majorHAnsi" w:cs="Arial"/>
              </w:rPr>
            </w:pPr>
            <w:r w:rsidRPr="0028439F">
              <w:rPr>
                <w:rFonts w:asciiTheme="majorHAnsi" w:hAnsiTheme="majorHAnsi" w:cs="Arial"/>
              </w:rPr>
              <w:t>Rue Montoyer, 21</w:t>
            </w:r>
          </w:p>
          <w:p w14:paraId="206704C6" w14:textId="77777777" w:rsidR="00751AD2" w:rsidRPr="0028439F" w:rsidRDefault="00751AD2" w:rsidP="00AF5BC1">
            <w:pPr>
              <w:jc w:val="center"/>
              <w:rPr>
                <w:rFonts w:asciiTheme="majorHAnsi" w:hAnsiTheme="majorHAnsi" w:cs="Arial"/>
              </w:rPr>
            </w:pPr>
            <w:r w:rsidRPr="0028439F">
              <w:rPr>
                <w:rFonts w:asciiTheme="majorHAnsi" w:hAnsiTheme="majorHAnsi" w:cs="Arial"/>
              </w:rPr>
              <w:t>BE-1000 Brussels Belgium</w:t>
            </w:r>
          </w:p>
          <w:p w14:paraId="2B2ED7C1" w14:textId="77777777" w:rsidR="00751AD2" w:rsidRPr="0028439F" w:rsidRDefault="00751AD2" w:rsidP="00AF5BC1">
            <w:pPr>
              <w:jc w:val="center"/>
              <w:rPr>
                <w:rFonts w:asciiTheme="majorHAnsi" w:hAnsiTheme="majorHAnsi" w:cs="Arial"/>
              </w:rPr>
            </w:pPr>
            <w:r w:rsidRPr="0028439F">
              <w:rPr>
                <w:rFonts w:asciiTheme="majorHAnsi" w:hAnsiTheme="majorHAnsi" w:cs="Arial"/>
              </w:rPr>
              <w:t>Tel: +32 2 213 62 80</w:t>
            </w:r>
          </w:p>
          <w:p w14:paraId="3F17C6F4" w14:textId="77777777" w:rsidR="00751AD2" w:rsidRPr="0028439F" w:rsidRDefault="0028234C" w:rsidP="00AF5BC1">
            <w:pPr>
              <w:jc w:val="center"/>
              <w:rPr>
                <w:rFonts w:asciiTheme="majorHAnsi" w:hAnsiTheme="majorHAnsi" w:cs="Arial"/>
              </w:rPr>
            </w:pPr>
            <w:hyperlink r:id="rId16" w:history="1">
              <w:r w:rsidR="00751AD2" w:rsidRPr="0028439F">
                <w:rPr>
                  <w:rFonts w:asciiTheme="majorHAnsi" w:hAnsiTheme="majorHAnsi" w:cs="Arial"/>
                </w:rPr>
                <w:t>brussels.office@european-agency.org</w:t>
              </w:r>
            </w:hyperlink>
          </w:p>
        </w:tc>
      </w:tr>
    </w:tbl>
    <w:p w14:paraId="2142C865" w14:textId="77777777" w:rsidR="00751AD2" w:rsidRPr="0028439F" w:rsidRDefault="0028234C" w:rsidP="00751AD2">
      <w:pPr>
        <w:spacing w:before="360"/>
        <w:jc w:val="center"/>
        <w:rPr>
          <w:rFonts w:ascii="Calibri" w:hAnsi="Calibri" w:cs="Calibri"/>
          <w:b/>
        </w:rPr>
      </w:pPr>
      <w:hyperlink r:id="rId17" w:history="1">
        <w:r w:rsidR="00751AD2" w:rsidRPr="0028439F">
          <w:rPr>
            <w:rFonts w:ascii="Calibri" w:hAnsi="Calibri" w:cs="Calibri"/>
            <w:b/>
          </w:rPr>
          <w:t>www.european-agency.org</w:t>
        </w:r>
      </w:hyperlink>
    </w:p>
    <w:p w14:paraId="1A0E8A02" w14:textId="77777777" w:rsidR="00751AD2" w:rsidRPr="0028439F" w:rsidRDefault="00751AD2" w:rsidP="00751AD2">
      <w:pPr>
        <w:rPr>
          <w:rFonts w:ascii="Calibri" w:hAnsi="Calibri"/>
          <w:color w:val="000000" w:themeColor="text1"/>
          <w:sz w:val="28"/>
        </w:rPr>
      </w:pPr>
      <w:r w:rsidRPr="0028439F">
        <w:br w:type="page"/>
      </w:r>
    </w:p>
    <w:p w14:paraId="7702239E" w14:textId="20CB6448" w:rsidR="00DB7AB3" w:rsidRPr="0028439F" w:rsidRDefault="00DB7AB3" w:rsidP="00DB7AB3">
      <w:pPr>
        <w:pStyle w:val="Agency-body-text"/>
        <w:pBdr>
          <w:bottom w:val="single" w:sz="4" w:space="1" w:color="auto"/>
        </w:pBdr>
        <w:spacing w:before="400" w:after="400"/>
        <w:rPr>
          <w:b/>
          <w:caps/>
          <w:sz w:val="40"/>
          <w:szCs w:val="40"/>
        </w:rPr>
      </w:pPr>
      <w:r w:rsidRPr="0028439F">
        <w:rPr>
          <w:b/>
          <w:caps/>
          <w:sz w:val="40"/>
          <w:szCs w:val="40"/>
        </w:rPr>
        <w:lastRenderedPageBreak/>
        <w:t>Contents</w:t>
      </w:r>
    </w:p>
    <w:p w14:paraId="5CD90EFA" w14:textId="347C8118" w:rsidR="004B60B5" w:rsidRDefault="00FD3394">
      <w:pPr>
        <w:pStyle w:val="TOC1"/>
        <w:rPr>
          <w:rFonts w:asciiTheme="minorHAnsi" w:eastAsiaTheme="minorEastAsia" w:hAnsiTheme="minorHAnsi" w:cstheme="minorBidi"/>
          <w:b w:val="0"/>
          <w:caps w:val="0"/>
          <w:noProof/>
          <w:lang w:val="en-IE" w:eastAsia="en-GB"/>
        </w:rPr>
      </w:pPr>
      <w:r w:rsidRPr="0028439F">
        <w:rPr>
          <w:i/>
          <w:szCs w:val="20"/>
        </w:rPr>
        <w:fldChar w:fldCharType="begin"/>
      </w:r>
      <w:r w:rsidRPr="0028439F">
        <w:rPr>
          <w:i/>
          <w:szCs w:val="20"/>
        </w:rPr>
        <w:instrText xml:space="preserve"> TOC \o "1-3" </w:instrText>
      </w:r>
      <w:r w:rsidRPr="0028439F">
        <w:rPr>
          <w:i/>
          <w:szCs w:val="20"/>
        </w:rPr>
        <w:fldChar w:fldCharType="separate"/>
      </w:r>
      <w:r w:rsidR="004B60B5">
        <w:rPr>
          <w:noProof/>
        </w:rPr>
        <w:t>Introduction</w:t>
      </w:r>
      <w:r w:rsidR="004B60B5">
        <w:rPr>
          <w:noProof/>
        </w:rPr>
        <w:tab/>
      </w:r>
      <w:r w:rsidR="004B60B5">
        <w:rPr>
          <w:noProof/>
        </w:rPr>
        <w:fldChar w:fldCharType="begin"/>
      </w:r>
      <w:r w:rsidR="004B60B5">
        <w:rPr>
          <w:noProof/>
        </w:rPr>
        <w:instrText xml:space="preserve"> PAGEREF _Toc26879742 \h </w:instrText>
      </w:r>
      <w:r w:rsidR="004B60B5">
        <w:rPr>
          <w:noProof/>
        </w:rPr>
      </w:r>
      <w:r w:rsidR="004B60B5">
        <w:rPr>
          <w:noProof/>
        </w:rPr>
        <w:fldChar w:fldCharType="separate"/>
      </w:r>
      <w:r w:rsidR="004B60B5">
        <w:rPr>
          <w:noProof/>
        </w:rPr>
        <w:t>4</w:t>
      </w:r>
      <w:r w:rsidR="004B60B5">
        <w:rPr>
          <w:noProof/>
        </w:rPr>
        <w:fldChar w:fldCharType="end"/>
      </w:r>
    </w:p>
    <w:p w14:paraId="0E20795B" w14:textId="70ECA076"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Background</w:t>
      </w:r>
      <w:r>
        <w:rPr>
          <w:noProof/>
        </w:rPr>
        <w:tab/>
      </w:r>
      <w:r>
        <w:rPr>
          <w:noProof/>
        </w:rPr>
        <w:fldChar w:fldCharType="begin"/>
      </w:r>
      <w:r>
        <w:rPr>
          <w:noProof/>
        </w:rPr>
        <w:instrText xml:space="preserve"> PAGEREF _Toc26879743 \h </w:instrText>
      </w:r>
      <w:r>
        <w:rPr>
          <w:noProof/>
        </w:rPr>
      </w:r>
      <w:r>
        <w:rPr>
          <w:noProof/>
        </w:rPr>
        <w:fldChar w:fldCharType="separate"/>
      </w:r>
      <w:r>
        <w:rPr>
          <w:noProof/>
        </w:rPr>
        <w:t>4</w:t>
      </w:r>
      <w:r>
        <w:rPr>
          <w:noProof/>
        </w:rPr>
        <w:fldChar w:fldCharType="end"/>
      </w:r>
    </w:p>
    <w:p w14:paraId="0EDC62D7" w14:textId="15167D84"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sidRPr="00C070CE">
        <w:rPr>
          <w:rFonts w:cs="Calibri"/>
          <w:noProof/>
        </w:rPr>
        <w:t>Using the Policy Self-Review Tool</w:t>
      </w:r>
      <w:r>
        <w:rPr>
          <w:noProof/>
        </w:rPr>
        <w:tab/>
      </w:r>
      <w:r>
        <w:rPr>
          <w:noProof/>
        </w:rPr>
        <w:fldChar w:fldCharType="begin"/>
      </w:r>
      <w:r>
        <w:rPr>
          <w:noProof/>
        </w:rPr>
        <w:instrText xml:space="preserve"> PAGEREF _Toc26879744 \h </w:instrText>
      </w:r>
      <w:r>
        <w:rPr>
          <w:noProof/>
        </w:rPr>
      </w:r>
      <w:r>
        <w:rPr>
          <w:noProof/>
        </w:rPr>
        <w:fldChar w:fldCharType="separate"/>
      </w:r>
      <w:r>
        <w:rPr>
          <w:noProof/>
        </w:rPr>
        <w:t>5</w:t>
      </w:r>
      <w:r>
        <w:rPr>
          <w:noProof/>
        </w:rPr>
        <w:fldChar w:fldCharType="end"/>
      </w:r>
    </w:p>
    <w:p w14:paraId="37C89039" w14:textId="2CCAAFC9" w:rsidR="004B60B5" w:rsidRDefault="004B60B5">
      <w:pPr>
        <w:pStyle w:val="TOC1"/>
        <w:rPr>
          <w:rFonts w:asciiTheme="minorHAnsi" w:eastAsiaTheme="minorEastAsia" w:hAnsiTheme="minorHAnsi" w:cstheme="minorBidi"/>
          <w:b w:val="0"/>
          <w:caps w:val="0"/>
          <w:noProof/>
          <w:lang w:val="en-IE" w:eastAsia="en-GB"/>
        </w:rPr>
      </w:pPr>
      <w:r>
        <w:rPr>
          <w:noProof/>
        </w:rPr>
        <w:t>Section 1: Wider policy context</w:t>
      </w:r>
      <w:r>
        <w:rPr>
          <w:noProof/>
        </w:rPr>
        <w:tab/>
      </w:r>
      <w:r>
        <w:rPr>
          <w:noProof/>
        </w:rPr>
        <w:fldChar w:fldCharType="begin"/>
      </w:r>
      <w:r>
        <w:rPr>
          <w:noProof/>
        </w:rPr>
        <w:instrText xml:space="preserve"> PAGEREF _Toc26879745 \h </w:instrText>
      </w:r>
      <w:r>
        <w:rPr>
          <w:noProof/>
        </w:rPr>
      </w:r>
      <w:r>
        <w:rPr>
          <w:noProof/>
        </w:rPr>
        <w:fldChar w:fldCharType="separate"/>
      </w:r>
      <w:r>
        <w:rPr>
          <w:noProof/>
        </w:rPr>
        <w:t>7</w:t>
      </w:r>
      <w:r>
        <w:rPr>
          <w:noProof/>
        </w:rPr>
        <w:fldChar w:fldCharType="end"/>
      </w:r>
    </w:p>
    <w:p w14:paraId="2451A470" w14:textId="77D53049" w:rsidR="004B60B5" w:rsidRDefault="004B60B5">
      <w:pPr>
        <w:pStyle w:val="TOC1"/>
        <w:rPr>
          <w:rFonts w:asciiTheme="minorHAnsi" w:eastAsiaTheme="minorEastAsia" w:hAnsiTheme="minorHAnsi" w:cstheme="minorBidi"/>
          <w:b w:val="0"/>
          <w:caps w:val="0"/>
          <w:noProof/>
          <w:lang w:val="en-IE" w:eastAsia="en-GB"/>
        </w:rPr>
      </w:pPr>
      <w:r>
        <w:rPr>
          <w:noProof/>
        </w:rPr>
        <w:t>Section 2: Vision and main principles of TPL4I policy</w:t>
      </w:r>
      <w:r>
        <w:rPr>
          <w:noProof/>
        </w:rPr>
        <w:tab/>
      </w:r>
      <w:r>
        <w:rPr>
          <w:noProof/>
        </w:rPr>
        <w:fldChar w:fldCharType="begin"/>
      </w:r>
      <w:r>
        <w:rPr>
          <w:noProof/>
        </w:rPr>
        <w:instrText xml:space="preserve"> PAGEREF _Toc26879746 \h </w:instrText>
      </w:r>
      <w:r>
        <w:rPr>
          <w:noProof/>
        </w:rPr>
      </w:r>
      <w:r>
        <w:rPr>
          <w:noProof/>
        </w:rPr>
        <w:fldChar w:fldCharType="separate"/>
      </w:r>
      <w:r>
        <w:rPr>
          <w:noProof/>
        </w:rPr>
        <w:t>8</w:t>
      </w:r>
      <w:r>
        <w:rPr>
          <w:noProof/>
        </w:rPr>
        <w:fldChar w:fldCharType="end"/>
      </w:r>
    </w:p>
    <w:p w14:paraId="6B1E2C55" w14:textId="08653BF2"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2.1 Policy vision</w:t>
      </w:r>
      <w:r>
        <w:rPr>
          <w:noProof/>
        </w:rPr>
        <w:tab/>
      </w:r>
      <w:r>
        <w:rPr>
          <w:noProof/>
        </w:rPr>
        <w:fldChar w:fldCharType="begin"/>
      </w:r>
      <w:r>
        <w:rPr>
          <w:noProof/>
        </w:rPr>
        <w:instrText xml:space="preserve"> PAGEREF _Toc26879747 \h </w:instrText>
      </w:r>
      <w:r>
        <w:rPr>
          <w:noProof/>
        </w:rPr>
      </w:r>
      <w:r>
        <w:rPr>
          <w:noProof/>
        </w:rPr>
        <w:fldChar w:fldCharType="separate"/>
      </w:r>
      <w:r>
        <w:rPr>
          <w:noProof/>
        </w:rPr>
        <w:t>8</w:t>
      </w:r>
      <w:r>
        <w:rPr>
          <w:noProof/>
        </w:rPr>
        <w:fldChar w:fldCharType="end"/>
      </w:r>
    </w:p>
    <w:p w14:paraId="7F97BC4D" w14:textId="130E947E"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‘Policy vision’</w:t>
      </w:r>
      <w:r>
        <w:rPr>
          <w:noProof/>
        </w:rPr>
        <w:tab/>
      </w:r>
      <w:r>
        <w:rPr>
          <w:noProof/>
        </w:rPr>
        <w:fldChar w:fldCharType="begin"/>
      </w:r>
      <w:r>
        <w:rPr>
          <w:noProof/>
        </w:rPr>
        <w:instrText xml:space="preserve"> PAGEREF _Toc26879748 \h </w:instrText>
      </w:r>
      <w:r>
        <w:rPr>
          <w:noProof/>
        </w:rPr>
      </w:r>
      <w:r>
        <w:rPr>
          <w:noProof/>
        </w:rPr>
        <w:fldChar w:fldCharType="separate"/>
      </w:r>
      <w:r>
        <w:rPr>
          <w:noProof/>
        </w:rPr>
        <w:t>9</w:t>
      </w:r>
      <w:r>
        <w:rPr>
          <w:noProof/>
        </w:rPr>
        <w:fldChar w:fldCharType="end"/>
      </w:r>
    </w:p>
    <w:p w14:paraId="7B1FC6E3" w14:textId="214C068C"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2.2 Main principles</w:t>
      </w:r>
      <w:r>
        <w:rPr>
          <w:noProof/>
        </w:rPr>
        <w:tab/>
      </w:r>
      <w:r>
        <w:rPr>
          <w:noProof/>
        </w:rPr>
        <w:fldChar w:fldCharType="begin"/>
      </w:r>
      <w:r>
        <w:rPr>
          <w:noProof/>
        </w:rPr>
        <w:instrText xml:space="preserve"> PAGEREF _Toc26879749 \h </w:instrText>
      </w:r>
      <w:r>
        <w:rPr>
          <w:noProof/>
        </w:rPr>
      </w:r>
      <w:r>
        <w:rPr>
          <w:noProof/>
        </w:rPr>
        <w:fldChar w:fldCharType="separate"/>
      </w:r>
      <w:r>
        <w:rPr>
          <w:noProof/>
        </w:rPr>
        <w:t>9</w:t>
      </w:r>
      <w:r>
        <w:rPr>
          <w:noProof/>
        </w:rPr>
        <w:fldChar w:fldCharType="end"/>
      </w:r>
    </w:p>
    <w:p w14:paraId="0D1DE87B" w14:textId="2E9E759C"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‘Main principles’</w:t>
      </w:r>
      <w:r>
        <w:rPr>
          <w:noProof/>
        </w:rPr>
        <w:tab/>
      </w:r>
      <w:r>
        <w:rPr>
          <w:noProof/>
        </w:rPr>
        <w:fldChar w:fldCharType="begin"/>
      </w:r>
      <w:r>
        <w:rPr>
          <w:noProof/>
        </w:rPr>
        <w:instrText xml:space="preserve"> PAGEREF _Toc26879750 \h </w:instrText>
      </w:r>
      <w:r>
        <w:rPr>
          <w:noProof/>
        </w:rPr>
      </w:r>
      <w:r>
        <w:rPr>
          <w:noProof/>
        </w:rPr>
        <w:fldChar w:fldCharType="separate"/>
      </w:r>
      <w:r>
        <w:rPr>
          <w:noProof/>
        </w:rPr>
        <w:t>11</w:t>
      </w:r>
      <w:r>
        <w:rPr>
          <w:noProof/>
        </w:rPr>
        <w:fldChar w:fldCharType="end"/>
      </w:r>
    </w:p>
    <w:p w14:paraId="4F6C6D75" w14:textId="4ABB67A6" w:rsidR="004B60B5" w:rsidRDefault="004B60B5">
      <w:pPr>
        <w:pStyle w:val="TOC1"/>
        <w:rPr>
          <w:rFonts w:asciiTheme="minorHAnsi" w:eastAsiaTheme="minorEastAsia" w:hAnsiTheme="minorHAnsi" w:cstheme="minorBidi"/>
          <w:b w:val="0"/>
          <w:caps w:val="0"/>
          <w:noProof/>
          <w:lang w:val="en-IE" w:eastAsia="en-GB"/>
        </w:rPr>
      </w:pPr>
      <w:r w:rsidRPr="00C070CE">
        <w:rPr>
          <w:rFonts w:eastAsiaTheme="majorEastAsia"/>
          <w:noProof/>
        </w:rPr>
        <w:t>Section 3: Goals and continuum of support for TPL4I policy</w:t>
      </w:r>
      <w:r>
        <w:rPr>
          <w:noProof/>
        </w:rPr>
        <w:tab/>
      </w:r>
      <w:r>
        <w:rPr>
          <w:noProof/>
        </w:rPr>
        <w:fldChar w:fldCharType="begin"/>
      </w:r>
      <w:r>
        <w:rPr>
          <w:noProof/>
        </w:rPr>
        <w:instrText xml:space="preserve"> PAGEREF _Toc26879751 \h </w:instrText>
      </w:r>
      <w:r>
        <w:rPr>
          <w:noProof/>
        </w:rPr>
      </w:r>
      <w:r>
        <w:rPr>
          <w:noProof/>
        </w:rPr>
        <w:fldChar w:fldCharType="separate"/>
      </w:r>
      <w:r>
        <w:rPr>
          <w:noProof/>
        </w:rPr>
        <w:t>12</w:t>
      </w:r>
      <w:r>
        <w:rPr>
          <w:noProof/>
        </w:rPr>
        <w:fldChar w:fldCharType="end"/>
      </w:r>
    </w:p>
    <w:p w14:paraId="0DAFF2E1" w14:textId="62E7447A"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sidRPr="00C070CE">
        <w:rPr>
          <w:rFonts w:eastAsiaTheme="majorEastAsia"/>
          <w:noProof/>
        </w:rPr>
        <w:t>3.1 Goals</w:t>
      </w:r>
      <w:r>
        <w:rPr>
          <w:noProof/>
        </w:rPr>
        <w:tab/>
      </w:r>
      <w:r>
        <w:rPr>
          <w:noProof/>
        </w:rPr>
        <w:fldChar w:fldCharType="begin"/>
      </w:r>
      <w:r>
        <w:rPr>
          <w:noProof/>
        </w:rPr>
        <w:instrText xml:space="preserve"> PAGEREF _Toc26879752 \h </w:instrText>
      </w:r>
      <w:r>
        <w:rPr>
          <w:noProof/>
        </w:rPr>
      </w:r>
      <w:r>
        <w:rPr>
          <w:noProof/>
        </w:rPr>
        <w:fldChar w:fldCharType="separate"/>
      </w:r>
      <w:r>
        <w:rPr>
          <w:noProof/>
        </w:rPr>
        <w:t>12</w:t>
      </w:r>
      <w:r>
        <w:rPr>
          <w:noProof/>
        </w:rPr>
        <w:fldChar w:fldCharType="end"/>
      </w:r>
    </w:p>
    <w:p w14:paraId="32055F41" w14:textId="744CCBBC"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‘Goals’</w:t>
      </w:r>
      <w:r>
        <w:rPr>
          <w:noProof/>
        </w:rPr>
        <w:tab/>
      </w:r>
      <w:r>
        <w:rPr>
          <w:noProof/>
        </w:rPr>
        <w:fldChar w:fldCharType="begin"/>
      </w:r>
      <w:r>
        <w:rPr>
          <w:noProof/>
        </w:rPr>
        <w:instrText xml:space="preserve"> PAGEREF _Toc26879753 \h </w:instrText>
      </w:r>
      <w:r>
        <w:rPr>
          <w:noProof/>
        </w:rPr>
      </w:r>
      <w:r>
        <w:rPr>
          <w:noProof/>
        </w:rPr>
        <w:fldChar w:fldCharType="separate"/>
      </w:r>
      <w:r>
        <w:rPr>
          <w:noProof/>
        </w:rPr>
        <w:t>13</w:t>
      </w:r>
      <w:r>
        <w:rPr>
          <w:noProof/>
        </w:rPr>
        <w:fldChar w:fldCharType="end"/>
      </w:r>
    </w:p>
    <w:p w14:paraId="13241F53" w14:textId="5B8D9959"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3.2 Continuum of support</w:t>
      </w:r>
      <w:r>
        <w:rPr>
          <w:noProof/>
        </w:rPr>
        <w:tab/>
      </w:r>
      <w:r>
        <w:rPr>
          <w:noProof/>
        </w:rPr>
        <w:fldChar w:fldCharType="begin"/>
      </w:r>
      <w:r>
        <w:rPr>
          <w:noProof/>
        </w:rPr>
        <w:instrText xml:space="preserve"> PAGEREF _Toc26879754 \h </w:instrText>
      </w:r>
      <w:r>
        <w:rPr>
          <w:noProof/>
        </w:rPr>
      </w:r>
      <w:r>
        <w:rPr>
          <w:noProof/>
        </w:rPr>
        <w:fldChar w:fldCharType="separate"/>
      </w:r>
      <w:r>
        <w:rPr>
          <w:noProof/>
        </w:rPr>
        <w:t>14</w:t>
      </w:r>
      <w:r>
        <w:rPr>
          <w:noProof/>
        </w:rPr>
        <w:fldChar w:fldCharType="end"/>
      </w:r>
    </w:p>
    <w:p w14:paraId="6BD27D67" w14:textId="3DA57D97"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‘Continuum of support’</w:t>
      </w:r>
      <w:r>
        <w:rPr>
          <w:noProof/>
        </w:rPr>
        <w:tab/>
      </w:r>
      <w:r>
        <w:rPr>
          <w:noProof/>
        </w:rPr>
        <w:fldChar w:fldCharType="begin"/>
      </w:r>
      <w:r>
        <w:rPr>
          <w:noProof/>
        </w:rPr>
        <w:instrText xml:space="preserve"> PAGEREF _Toc26879755 \h </w:instrText>
      </w:r>
      <w:r>
        <w:rPr>
          <w:noProof/>
        </w:rPr>
      </w:r>
      <w:r>
        <w:rPr>
          <w:noProof/>
        </w:rPr>
        <w:fldChar w:fldCharType="separate"/>
      </w:r>
      <w:r>
        <w:rPr>
          <w:noProof/>
        </w:rPr>
        <w:t>15</w:t>
      </w:r>
      <w:r>
        <w:rPr>
          <w:noProof/>
        </w:rPr>
        <w:fldChar w:fldCharType="end"/>
      </w:r>
    </w:p>
    <w:p w14:paraId="0521D8D9" w14:textId="42F2EC3F" w:rsidR="004B60B5" w:rsidRDefault="004B60B5">
      <w:pPr>
        <w:pStyle w:val="TOC1"/>
        <w:rPr>
          <w:rFonts w:asciiTheme="minorHAnsi" w:eastAsiaTheme="minorEastAsia" w:hAnsiTheme="minorHAnsi" w:cstheme="minorBidi"/>
          <w:b w:val="0"/>
          <w:caps w:val="0"/>
          <w:noProof/>
          <w:lang w:val="en-IE" w:eastAsia="en-GB"/>
        </w:rPr>
      </w:pPr>
      <w:r>
        <w:rPr>
          <w:noProof/>
        </w:rPr>
        <w:t>Section 4: Capacity building, funding and monitoring of TPL4I policy</w:t>
      </w:r>
      <w:r>
        <w:rPr>
          <w:noProof/>
        </w:rPr>
        <w:tab/>
      </w:r>
      <w:r>
        <w:rPr>
          <w:noProof/>
        </w:rPr>
        <w:fldChar w:fldCharType="begin"/>
      </w:r>
      <w:r>
        <w:rPr>
          <w:noProof/>
        </w:rPr>
        <w:instrText xml:space="preserve"> PAGEREF _Toc26879756 \h </w:instrText>
      </w:r>
      <w:r>
        <w:rPr>
          <w:noProof/>
        </w:rPr>
      </w:r>
      <w:r>
        <w:rPr>
          <w:noProof/>
        </w:rPr>
        <w:fldChar w:fldCharType="separate"/>
      </w:r>
      <w:r>
        <w:rPr>
          <w:noProof/>
        </w:rPr>
        <w:t>16</w:t>
      </w:r>
      <w:r>
        <w:rPr>
          <w:noProof/>
        </w:rPr>
        <w:fldChar w:fldCharType="end"/>
      </w:r>
    </w:p>
    <w:p w14:paraId="7E88BD31" w14:textId="5E2B4B10"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4.1 Capacity building</w:t>
      </w:r>
      <w:r>
        <w:rPr>
          <w:noProof/>
        </w:rPr>
        <w:tab/>
      </w:r>
      <w:r>
        <w:rPr>
          <w:noProof/>
        </w:rPr>
        <w:fldChar w:fldCharType="begin"/>
      </w:r>
      <w:r>
        <w:rPr>
          <w:noProof/>
        </w:rPr>
        <w:instrText xml:space="preserve"> PAGEREF _Toc26879757 \h </w:instrText>
      </w:r>
      <w:r>
        <w:rPr>
          <w:noProof/>
        </w:rPr>
      </w:r>
      <w:r>
        <w:rPr>
          <w:noProof/>
        </w:rPr>
        <w:fldChar w:fldCharType="separate"/>
      </w:r>
      <w:r>
        <w:rPr>
          <w:noProof/>
        </w:rPr>
        <w:t>16</w:t>
      </w:r>
      <w:r>
        <w:rPr>
          <w:noProof/>
        </w:rPr>
        <w:fldChar w:fldCharType="end"/>
      </w:r>
    </w:p>
    <w:p w14:paraId="5ECF0220" w14:textId="7D7A202D"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‘Capacity building’</w:t>
      </w:r>
      <w:r>
        <w:rPr>
          <w:noProof/>
        </w:rPr>
        <w:tab/>
      </w:r>
      <w:r>
        <w:rPr>
          <w:noProof/>
        </w:rPr>
        <w:fldChar w:fldCharType="begin"/>
      </w:r>
      <w:r>
        <w:rPr>
          <w:noProof/>
        </w:rPr>
        <w:instrText xml:space="preserve"> PAGEREF _Toc26879758 \h </w:instrText>
      </w:r>
      <w:r>
        <w:rPr>
          <w:noProof/>
        </w:rPr>
      </w:r>
      <w:r>
        <w:rPr>
          <w:noProof/>
        </w:rPr>
        <w:fldChar w:fldCharType="separate"/>
      </w:r>
      <w:r>
        <w:rPr>
          <w:noProof/>
        </w:rPr>
        <w:t>18</w:t>
      </w:r>
      <w:r>
        <w:rPr>
          <w:noProof/>
        </w:rPr>
        <w:fldChar w:fldCharType="end"/>
      </w:r>
    </w:p>
    <w:p w14:paraId="4691733F" w14:textId="03B68145"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4.2 Funding</w:t>
      </w:r>
      <w:r>
        <w:rPr>
          <w:noProof/>
        </w:rPr>
        <w:tab/>
      </w:r>
      <w:r>
        <w:rPr>
          <w:noProof/>
        </w:rPr>
        <w:fldChar w:fldCharType="begin"/>
      </w:r>
      <w:r>
        <w:rPr>
          <w:noProof/>
        </w:rPr>
        <w:instrText xml:space="preserve"> PAGEREF _Toc26879759 \h </w:instrText>
      </w:r>
      <w:r>
        <w:rPr>
          <w:noProof/>
        </w:rPr>
      </w:r>
      <w:r>
        <w:rPr>
          <w:noProof/>
        </w:rPr>
        <w:fldChar w:fldCharType="separate"/>
      </w:r>
      <w:r>
        <w:rPr>
          <w:noProof/>
        </w:rPr>
        <w:t>19</w:t>
      </w:r>
      <w:r>
        <w:rPr>
          <w:noProof/>
        </w:rPr>
        <w:fldChar w:fldCharType="end"/>
      </w:r>
    </w:p>
    <w:p w14:paraId="54FF07C2" w14:textId="7F11A8D4"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‘Funding’</w:t>
      </w:r>
      <w:r>
        <w:rPr>
          <w:noProof/>
        </w:rPr>
        <w:tab/>
      </w:r>
      <w:r>
        <w:rPr>
          <w:noProof/>
        </w:rPr>
        <w:fldChar w:fldCharType="begin"/>
      </w:r>
      <w:r>
        <w:rPr>
          <w:noProof/>
        </w:rPr>
        <w:instrText xml:space="preserve"> PAGEREF _Toc26879760 \h </w:instrText>
      </w:r>
      <w:r>
        <w:rPr>
          <w:noProof/>
        </w:rPr>
      </w:r>
      <w:r>
        <w:rPr>
          <w:noProof/>
        </w:rPr>
        <w:fldChar w:fldCharType="separate"/>
      </w:r>
      <w:r>
        <w:rPr>
          <w:noProof/>
        </w:rPr>
        <w:t>19</w:t>
      </w:r>
      <w:r>
        <w:rPr>
          <w:noProof/>
        </w:rPr>
        <w:fldChar w:fldCharType="end"/>
      </w:r>
    </w:p>
    <w:p w14:paraId="56D98F71" w14:textId="723ACCDA" w:rsidR="004B60B5" w:rsidRDefault="004B60B5">
      <w:pPr>
        <w:pStyle w:val="TOC2"/>
        <w:tabs>
          <w:tab w:val="right" w:leader="underscore" w:pos="8827"/>
        </w:tabs>
        <w:rPr>
          <w:rFonts w:asciiTheme="minorHAnsi" w:eastAsiaTheme="minorEastAsia" w:hAnsiTheme="minorHAnsi" w:cstheme="minorBidi"/>
          <w:noProof/>
          <w:szCs w:val="24"/>
          <w:lang w:val="en-IE" w:eastAsia="en-GB"/>
        </w:rPr>
      </w:pPr>
      <w:r>
        <w:rPr>
          <w:noProof/>
        </w:rPr>
        <w:t>4.3 Monitoring</w:t>
      </w:r>
      <w:r>
        <w:rPr>
          <w:noProof/>
        </w:rPr>
        <w:tab/>
      </w:r>
      <w:r>
        <w:rPr>
          <w:noProof/>
        </w:rPr>
        <w:fldChar w:fldCharType="begin"/>
      </w:r>
      <w:r>
        <w:rPr>
          <w:noProof/>
        </w:rPr>
        <w:instrText xml:space="preserve"> PAGEREF _Toc26879761 \h </w:instrText>
      </w:r>
      <w:r>
        <w:rPr>
          <w:noProof/>
        </w:rPr>
      </w:r>
      <w:r>
        <w:rPr>
          <w:noProof/>
        </w:rPr>
        <w:fldChar w:fldCharType="separate"/>
      </w:r>
      <w:r>
        <w:rPr>
          <w:noProof/>
        </w:rPr>
        <w:t>20</w:t>
      </w:r>
      <w:r>
        <w:rPr>
          <w:noProof/>
        </w:rPr>
        <w:fldChar w:fldCharType="end"/>
      </w:r>
    </w:p>
    <w:p w14:paraId="7360C674" w14:textId="0C66D7DB" w:rsidR="004B60B5" w:rsidRDefault="004B60B5">
      <w:pPr>
        <w:pStyle w:val="TOC3"/>
        <w:tabs>
          <w:tab w:val="right" w:leader="underscore" w:pos="8827"/>
        </w:tabs>
        <w:rPr>
          <w:rFonts w:asciiTheme="minorHAnsi" w:eastAsiaTheme="minorEastAsia" w:hAnsiTheme="minorHAnsi" w:cstheme="minorBidi"/>
          <w:i w:val="0"/>
          <w:noProof/>
          <w:szCs w:val="24"/>
          <w:lang w:val="en-IE" w:eastAsia="en-GB"/>
        </w:rPr>
      </w:pPr>
      <w:r>
        <w:rPr>
          <w:noProof/>
        </w:rPr>
        <w:t>Evaluative comments for ‘Monitoring’</w:t>
      </w:r>
      <w:r>
        <w:rPr>
          <w:noProof/>
        </w:rPr>
        <w:tab/>
      </w:r>
      <w:r>
        <w:rPr>
          <w:noProof/>
        </w:rPr>
        <w:fldChar w:fldCharType="begin"/>
      </w:r>
      <w:r>
        <w:rPr>
          <w:noProof/>
        </w:rPr>
        <w:instrText xml:space="preserve"> PAGEREF _Toc26879762 \h </w:instrText>
      </w:r>
      <w:r>
        <w:rPr>
          <w:noProof/>
        </w:rPr>
      </w:r>
      <w:r>
        <w:rPr>
          <w:noProof/>
        </w:rPr>
        <w:fldChar w:fldCharType="separate"/>
      </w:r>
      <w:r>
        <w:rPr>
          <w:noProof/>
        </w:rPr>
        <w:t>21</w:t>
      </w:r>
      <w:r>
        <w:rPr>
          <w:noProof/>
        </w:rPr>
        <w:fldChar w:fldCharType="end"/>
      </w:r>
    </w:p>
    <w:p w14:paraId="62AA3943" w14:textId="16E31A13" w:rsidR="004B60B5" w:rsidRDefault="004B60B5">
      <w:pPr>
        <w:pStyle w:val="TOC1"/>
        <w:rPr>
          <w:rFonts w:asciiTheme="minorHAnsi" w:eastAsiaTheme="minorEastAsia" w:hAnsiTheme="minorHAnsi" w:cstheme="minorBidi"/>
          <w:b w:val="0"/>
          <w:caps w:val="0"/>
          <w:noProof/>
          <w:lang w:val="en-IE" w:eastAsia="en-GB"/>
        </w:rPr>
      </w:pPr>
      <w:r>
        <w:rPr>
          <w:noProof/>
        </w:rPr>
        <w:t>References</w:t>
      </w:r>
      <w:r>
        <w:rPr>
          <w:noProof/>
        </w:rPr>
        <w:tab/>
      </w:r>
      <w:r>
        <w:rPr>
          <w:noProof/>
        </w:rPr>
        <w:fldChar w:fldCharType="begin"/>
      </w:r>
      <w:r>
        <w:rPr>
          <w:noProof/>
        </w:rPr>
        <w:instrText xml:space="preserve"> PAGEREF _Toc26879763 \h </w:instrText>
      </w:r>
      <w:r>
        <w:rPr>
          <w:noProof/>
        </w:rPr>
      </w:r>
      <w:r>
        <w:rPr>
          <w:noProof/>
        </w:rPr>
        <w:fldChar w:fldCharType="separate"/>
      </w:r>
      <w:r>
        <w:rPr>
          <w:noProof/>
        </w:rPr>
        <w:t>22</w:t>
      </w:r>
      <w:r>
        <w:rPr>
          <w:noProof/>
        </w:rPr>
        <w:fldChar w:fldCharType="end"/>
      </w:r>
    </w:p>
    <w:p w14:paraId="70B000C0" w14:textId="3763B98C" w:rsidR="00343DAB" w:rsidRPr="0028439F" w:rsidRDefault="00FD3394" w:rsidP="00A570D1">
      <w:pPr>
        <w:pStyle w:val="Agency-body-text"/>
      </w:pPr>
      <w:r w:rsidRPr="0028439F">
        <w:fldChar w:fldCharType="end"/>
      </w:r>
      <w:r w:rsidR="00343DAB" w:rsidRPr="0028439F">
        <w:br w:type="page"/>
      </w:r>
    </w:p>
    <w:p w14:paraId="6F94F611" w14:textId="5174A4B8" w:rsidR="00BF2997" w:rsidRPr="0028439F" w:rsidRDefault="00BF2997" w:rsidP="007361CE">
      <w:pPr>
        <w:pStyle w:val="Agency-heading-1"/>
        <w:tabs>
          <w:tab w:val="left" w:pos="3646"/>
        </w:tabs>
      </w:pPr>
      <w:bookmarkStart w:id="5" w:name="_Toc531164537"/>
      <w:bookmarkStart w:id="6" w:name="_Toc536444986"/>
      <w:bookmarkStart w:id="7" w:name="_Toc26879742"/>
      <w:bookmarkEnd w:id="0"/>
      <w:bookmarkEnd w:id="1"/>
      <w:bookmarkEnd w:id="2"/>
      <w:bookmarkEnd w:id="3"/>
      <w:r w:rsidRPr="0028439F">
        <w:lastRenderedPageBreak/>
        <w:t>Introduction</w:t>
      </w:r>
      <w:bookmarkEnd w:id="5"/>
      <w:bookmarkEnd w:id="6"/>
      <w:bookmarkEnd w:id="7"/>
    </w:p>
    <w:p w14:paraId="3C5D315D" w14:textId="32AE73A4" w:rsidR="00B32835" w:rsidRPr="0028439F" w:rsidRDefault="00E8703B" w:rsidP="00F74887">
      <w:pPr>
        <w:pStyle w:val="Agency-body-text"/>
      </w:pPr>
      <w:r w:rsidRPr="0028439F">
        <w:t xml:space="preserve">International policy and literature clearly </w:t>
      </w:r>
      <w:r w:rsidR="00EA1FF9" w:rsidRPr="0028439F">
        <w:t xml:space="preserve">express </w:t>
      </w:r>
      <w:r w:rsidRPr="0028439F">
        <w:t>t</w:t>
      </w:r>
      <w:r w:rsidR="001C4AAB" w:rsidRPr="0028439F">
        <w:t xml:space="preserve">he need to prepare all teachers for inclusive education. </w:t>
      </w:r>
      <w:r w:rsidR="00B05EE7" w:rsidRPr="0028439F">
        <w:t>T</w:t>
      </w:r>
      <w:r w:rsidR="00581C3E" w:rsidRPr="0028439F">
        <w:t>h</w:t>
      </w:r>
      <w:r w:rsidR="002E3AF6" w:rsidRPr="0028439F">
        <w:t>is</w:t>
      </w:r>
      <w:r w:rsidR="00640467" w:rsidRPr="0028439F">
        <w:t xml:space="preserve"> </w:t>
      </w:r>
      <w:r w:rsidR="00FD265A" w:rsidRPr="0028439F">
        <w:rPr>
          <w:iCs/>
        </w:rPr>
        <w:t xml:space="preserve">Policy </w:t>
      </w:r>
      <w:r w:rsidR="00430EA6" w:rsidRPr="0028439F">
        <w:rPr>
          <w:iCs/>
        </w:rPr>
        <w:t>Self-Review Tool</w:t>
      </w:r>
      <w:r w:rsidR="001C4AAB" w:rsidRPr="0028439F">
        <w:t xml:space="preserve"> </w:t>
      </w:r>
      <w:r w:rsidR="00195352" w:rsidRPr="0028439F">
        <w:t>h</w:t>
      </w:r>
      <w:r w:rsidR="001C4AAB" w:rsidRPr="0028439F">
        <w:t>as</w:t>
      </w:r>
      <w:r w:rsidR="00195352" w:rsidRPr="0028439F">
        <w:t xml:space="preserve"> been</w:t>
      </w:r>
      <w:r w:rsidR="001C4AAB" w:rsidRPr="0028439F">
        <w:t xml:space="preserve"> developed</w:t>
      </w:r>
      <w:r w:rsidR="00B05EE7" w:rsidRPr="0028439F">
        <w:t xml:space="preserve"> </w:t>
      </w:r>
      <w:r w:rsidR="00877BA3" w:rsidRPr="0028439F">
        <w:t xml:space="preserve">within </w:t>
      </w:r>
      <w:r w:rsidR="00B05EE7" w:rsidRPr="0028439F">
        <w:t xml:space="preserve">the </w:t>
      </w:r>
      <w:r w:rsidR="00B05EE7" w:rsidRPr="0028439F">
        <w:rPr>
          <w:iCs/>
        </w:rPr>
        <w:t>Teacher Professional Learning for Inclusion</w:t>
      </w:r>
      <w:r w:rsidR="00B05EE7" w:rsidRPr="0028439F">
        <w:rPr>
          <w:i/>
        </w:rPr>
        <w:t xml:space="preserve"> </w:t>
      </w:r>
      <w:r w:rsidR="00B05EE7" w:rsidRPr="0028439F">
        <w:rPr>
          <w:iCs/>
        </w:rPr>
        <w:t>(TPL4I)</w:t>
      </w:r>
      <w:r w:rsidR="00B05EE7" w:rsidRPr="0028439F">
        <w:t xml:space="preserve"> project (European Agency, 2019)</w:t>
      </w:r>
      <w:r w:rsidR="001C4AAB" w:rsidRPr="0028439F">
        <w:t xml:space="preserve">. </w:t>
      </w:r>
      <w:r w:rsidR="00877BA3" w:rsidRPr="0028439F">
        <w:t>As with</w:t>
      </w:r>
      <w:r w:rsidR="00AC70CC" w:rsidRPr="0028439F">
        <w:t xml:space="preserve"> previous policy analysis tools</w:t>
      </w:r>
      <w:r w:rsidR="00986303" w:rsidRPr="0028439F">
        <w:t xml:space="preserve"> by the European Agency for Special Needs and Inclusive Education (the Agency)</w:t>
      </w:r>
      <w:r w:rsidR="00AC70CC" w:rsidRPr="0028439F">
        <w:t xml:space="preserve">, this </w:t>
      </w:r>
      <w:r w:rsidR="001C4AAB" w:rsidRPr="0028439F">
        <w:t xml:space="preserve">TPL4I </w:t>
      </w:r>
      <w:r w:rsidR="00FF4758" w:rsidRPr="0028439F">
        <w:t xml:space="preserve">Policy </w:t>
      </w:r>
      <w:r w:rsidR="00430EA6" w:rsidRPr="0028439F">
        <w:t>Self-Review Tool</w:t>
      </w:r>
      <w:r w:rsidR="00AC70CC" w:rsidRPr="0028439F">
        <w:t xml:space="preserve"> is open-source</w:t>
      </w:r>
      <w:r w:rsidR="0071062C" w:rsidRPr="0028439F">
        <w:t>.</w:t>
      </w:r>
      <w:r w:rsidR="00AC70CC" w:rsidRPr="0028439F">
        <w:t xml:space="preserve"> </w:t>
      </w:r>
      <w:r w:rsidR="00B763C7" w:rsidRPr="0028439F">
        <w:t>P</w:t>
      </w:r>
      <w:r w:rsidR="00AC70CC" w:rsidRPr="0028439F">
        <w:t>olicy</w:t>
      </w:r>
      <w:r w:rsidR="002C6AAC" w:rsidRPr="0028439F">
        <w:t>-</w:t>
      </w:r>
      <w:r w:rsidR="00AC70CC" w:rsidRPr="0028439F">
        <w:t xml:space="preserve">makers </w:t>
      </w:r>
      <w:r w:rsidR="0071062C" w:rsidRPr="0028439F">
        <w:t>can use it</w:t>
      </w:r>
      <w:r w:rsidR="00AC70CC" w:rsidRPr="0028439F">
        <w:t xml:space="preserve"> to </w:t>
      </w:r>
      <w:r w:rsidR="00B763C7" w:rsidRPr="0028439F">
        <w:t>review</w:t>
      </w:r>
      <w:r w:rsidR="00AC70CC" w:rsidRPr="0028439F">
        <w:t xml:space="preserve"> </w:t>
      </w:r>
      <w:r w:rsidR="00FE1D79" w:rsidRPr="0028439F">
        <w:t xml:space="preserve">policy on </w:t>
      </w:r>
      <w:r w:rsidR="00B90EE5" w:rsidRPr="0028439F">
        <w:t>teacher professional learning for inclusion (</w:t>
      </w:r>
      <w:r w:rsidR="00AC70CC" w:rsidRPr="0028439F">
        <w:t>TPL</w:t>
      </w:r>
      <w:r w:rsidR="00D511E4" w:rsidRPr="0028439F">
        <w:t>4I</w:t>
      </w:r>
      <w:r w:rsidR="002B1512" w:rsidRPr="0028439F">
        <w:t xml:space="preserve"> polic</w:t>
      </w:r>
      <w:r w:rsidR="00D511E4" w:rsidRPr="0028439F">
        <w:t>y</w:t>
      </w:r>
      <w:r w:rsidR="00B90EE5" w:rsidRPr="0028439F">
        <w:t>)</w:t>
      </w:r>
      <w:r w:rsidR="00AC70CC" w:rsidRPr="0028439F">
        <w:t>.</w:t>
      </w:r>
    </w:p>
    <w:p w14:paraId="099A8C0B" w14:textId="3176F9E2" w:rsidR="00BF2997" w:rsidRPr="0028439F" w:rsidRDefault="00BF2997" w:rsidP="002D21DB">
      <w:pPr>
        <w:pStyle w:val="Agency-heading-2"/>
      </w:pPr>
      <w:bookmarkStart w:id="8" w:name="_Toc531164538"/>
      <w:bookmarkStart w:id="9" w:name="_Toc536444987"/>
      <w:bookmarkStart w:id="10" w:name="_Toc26879743"/>
      <w:r w:rsidRPr="0028439F">
        <w:t>Background</w:t>
      </w:r>
      <w:bookmarkEnd w:id="8"/>
      <w:bookmarkEnd w:id="9"/>
      <w:bookmarkEnd w:id="10"/>
    </w:p>
    <w:p w14:paraId="0A0F7E8E" w14:textId="77777777" w:rsidR="00B32835" w:rsidRPr="0028439F" w:rsidRDefault="00AC70CC" w:rsidP="00F74887">
      <w:pPr>
        <w:pStyle w:val="Agency-body-text"/>
        <w:keepNext/>
      </w:pPr>
      <w:r w:rsidRPr="0028439F">
        <w:t xml:space="preserve">The </w:t>
      </w:r>
      <w:r w:rsidR="00BF2997" w:rsidRPr="0028439F">
        <w:t xml:space="preserve">Agency </w:t>
      </w:r>
      <w:r w:rsidRPr="0028439F">
        <w:t>and its member countries are increasingly interested in policy analysis work that help</w:t>
      </w:r>
      <w:r w:rsidR="002C6AAC" w:rsidRPr="0028439F">
        <w:t>s</w:t>
      </w:r>
      <w:r w:rsidRPr="0028439F">
        <w:t xml:space="preserve"> policy-makers </w:t>
      </w:r>
      <w:r w:rsidR="002C6AAC" w:rsidRPr="0028439F">
        <w:t>to:</w:t>
      </w:r>
    </w:p>
    <w:p w14:paraId="01D1A544" w14:textId="02E8AAA5" w:rsidR="002C6AAC" w:rsidRPr="0028439F" w:rsidRDefault="00B763C7" w:rsidP="00F74887">
      <w:pPr>
        <w:pStyle w:val="Agency-body-text"/>
        <w:numPr>
          <w:ilvl w:val="0"/>
          <w:numId w:val="32"/>
        </w:numPr>
      </w:pPr>
      <w:r w:rsidRPr="0028439F">
        <w:t>review</w:t>
      </w:r>
      <w:r w:rsidR="00AC70CC" w:rsidRPr="0028439F">
        <w:t xml:space="preserve"> their </w:t>
      </w:r>
      <w:r w:rsidR="006C1368" w:rsidRPr="0028439F">
        <w:t>policy</w:t>
      </w:r>
      <w:r w:rsidR="00AC70CC" w:rsidRPr="0028439F">
        <w:t xml:space="preserve"> in relation to inclusive education issues</w:t>
      </w:r>
      <w:r w:rsidR="002C6AAC" w:rsidRPr="0028439F">
        <w:t>;</w:t>
      </w:r>
    </w:p>
    <w:p w14:paraId="2A672200" w14:textId="6226315E" w:rsidR="002C6AAC" w:rsidRPr="0028439F" w:rsidRDefault="00AC70CC" w:rsidP="00F74887">
      <w:pPr>
        <w:pStyle w:val="Agency-body-text"/>
        <w:numPr>
          <w:ilvl w:val="0"/>
          <w:numId w:val="32"/>
        </w:numPr>
      </w:pPr>
      <w:r w:rsidRPr="0028439F">
        <w:t>identify gaps</w:t>
      </w:r>
      <w:r w:rsidR="00877BA3" w:rsidRPr="0028439F">
        <w:t xml:space="preserve"> in </w:t>
      </w:r>
      <w:r w:rsidR="00A34CAF" w:rsidRPr="0028439F">
        <w:t>current policy;</w:t>
      </w:r>
    </w:p>
    <w:p w14:paraId="7A548173" w14:textId="2E90C77B" w:rsidR="00AC70CC" w:rsidRPr="0028439F" w:rsidRDefault="002B1512" w:rsidP="00F74887">
      <w:pPr>
        <w:pStyle w:val="Agency-body-text"/>
        <w:numPr>
          <w:ilvl w:val="0"/>
          <w:numId w:val="32"/>
        </w:numPr>
      </w:pPr>
      <w:r w:rsidRPr="0028439F">
        <w:t>deci</w:t>
      </w:r>
      <w:r w:rsidR="009C502C" w:rsidRPr="0028439F">
        <w:t>de</w:t>
      </w:r>
      <w:r w:rsidRPr="0028439F">
        <w:t xml:space="preserve"> on future</w:t>
      </w:r>
      <w:r w:rsidR="00AC70CC" w:rsidRPr="0028439F">
        <w:t xml:space="preserve"> policy development</w:t>
      </w:r>
      <w:r w:rsidRPr="0028439F">
        <w:t xml:space="preserve"> that will promote inclusive education</w:t>
      </w:r>
      <w:r w:rsidR="00DE5EBB" w:rsidRPr="0028439F">
        <w:t>.</w:t>
      </w:r>
    </w:p>
    <w:p w14:paraId="17711F4B" w14:textId="6969770A" w:rsidR="002B1512" w:rsidRPr="0028439F" w:rsidRDefault="002B1512" w:rsidP="00B763C7">
      <w:pPr>
        <w:pStyle w:val="Agency-body-text"/>
        <w:keepNext/>
      </w:pPr>
      <w:r w:rsidRPr="0028439F">
        <w:t>According to the</w:t>
      </w:r>
      <w:r w:rsidR="00CE4FD3" w:rsidRPr="0028439F">
        <w:t xml:space="preserve"> </w:t>
      </w:r>
      <w:hyperlink r:id="rId18" w:history="1">
        <w:r w:rsidR="002C6AAC" w:rsidRPr="0028439F">
          <w:rPr>
            <w:rStyle w:val="Hyperlink"/>
          </w:rPr>
          <w:t>Agency position paper</w:t>
        </w:r>
      </w:hyperlink>
      <w:r w:rsidRPr="0028439F">
        <w:t xml:space="preserve">, inclusive education </w:t>
      </w:r>
      <w:r w:rsidR="003E5A58" w:rsidRPr="0028439F">
        <w:t xml:space="preserve">means that ‘all learners of any age are provided with </w:t>
      </w:r>
      <w:r w:rsidR="00BF2997" w:rsidRPr="0028439F">
        <w:t>meaningful, high-quality educational opportunities in their local community, alongside their friends and peers</w:t>
      </w:r>
      <w:r w:rsidR="00DF5ED5" w:rsidRPr="0028439F">
        <w:t>’ (European Agency, 2</w:t>
      </w:r>
      <w:r w:rsidR="00DF5ED5" w:rsidRPr="0028439F">
        <w:rPr>
          <w:rFonts w:cs="Calibri"/>
        </w:rPr>
        <w:t xml:space="preserve">015, </w:t>
      </w:r>
      <w:r w:rsidR="00DF5ED5" w:rsidRPr="0028439F">
        <w:t>p. 1)</w:t>
      </w:r>
      <w:r w:rsidR="005D06E0" w:rsidRPr="0028439F">
        <w:t>.</w:t>
      </w:r>
      <w:r w:rsidRPr="0028439F">
        <w:t xml:space="preserve"> </w:t>
      </w:r>
      <w:r w:rsidR="00EA1FF9" w:rsidRPr="0028439F">
        <w:t>T</w:t>
      </w:r>
      <w:r w:rsidR="00B763C7" w:rsidRPr="0028439F">
        <w:t>eacher professional learning for inclusion</w:t>
      </w:r>
      <w:r w:rsidR="00EA1FF9" w:rsidRPr="0028439F">
        <w:t xml:space="preserve"> is</w:t>
      </w:r>
      <w:r w:rsidR="00B763C7" w:rsidRPr="0028439F">
        <w:t xml:space="preserve"> an important element in this process</w:t>
      </w:r>
      <w:r w:rsidR="00FD373E" w:rsidRPr="0028439F">
        <w:t>.</w:t>
      </w:r>
      <w:r w:rsidR="00DE5EBB" w:rsidRPr="0028439F">
        <w:t xml:space="preserve"> </w:t>
      </w:r>
    </w:p>
    <w:p w14:paraId="7C7DF8A7" w14:textId="2E0EB764" w:rsidR="00B763C7" w:rsidRPr="0028439F" w:rsidRDefault="00B763C7" w:rsidP="00B763C7">
      <w:pPr>
        <w:pStyle w:val="Agency-body-text"/>
      </w:pPr>
      <w:r w:rsidRPr="0028439F">
        <w:t>Teacher professional learning for inclusion covers the education of teachers working in schools (i.e. initial teacher education, induction, continuing professional development), leadership for inclusive education and the professional development of teacher educators working in tertiary education.</w:t>
      </w:r>
    </w:p>
    <w:p w14:paraId="07B926F7" w14:textId="77777777" w:rsidR="00B763C7" w:rsidRPr="0028439F" w:rsidRDefault="00B763C7" w:rsidP="00B763C7">
      <w:pPr>
        <w:pStyle w:val="Agency-body-text"/>
        <w:keepNext/>
      </w:pPr>
      <w:r w:rsidRPr="0028439F">
        <w:t>This entails preparing all teachers in all teaching roles for inclusive education. For example:</w:t>
      </w:r>
    </w:p>
    <w:p w14:paraId="651894CA" w14:textId="0E08B18C" w:rsidR="00B763C7" w:rsidRPr="0028439F" w:rsidRDefault="00825DC1" w:rsidP="00B763C7">
      <w:pPr>
        <w:pStyle w:val="Agency-body-text"/>
        <w:numPr>
          <w:ilvl w:val="0"/>
          <w:numId w:val="33"/>
        </w:numPr>
      </w:pPr>
      <w:r w:rsidRPr="0028439F">
        <w:t>T</w:t>
      </w:r>
      <w:r w:rsidR="00B763C7" w:rsidRPr="0028439F">
        <w:t>eacher educators need to be prepared to educate all teachers to work with all learners</w:t>
      </w:r>
      <w:r w:rsidRPr="0028439F">
        <w:t>.</w:t>
      </w:r>
    </w:p>
    <w:p w14:paraId="7B10F906" w14:textId="7E900572" w:rsidR="00B763C7" w:rsidRPr="0028439F" w:rsidRDefault="00825DC1" w:rsidP="00B763C7">
      <w:pPr>
        <w:pStyle w:val="Agency-body-text"/>
        <w:numPr>
          <w:ilvl w:val="0"/>
          <w:numId w:val="33"/>
        </w:numPr>
      </w:pPr>
      <w:r w:rsidRPr="0028439F">
        <w:t>E</w:t>
      </w:r>
      <w:r w:rsidR="00B763C7" w:rsidRPr="0028439F">
        <w:t>xperienced mainstream class teachers need to be prepared to support teachers who are starting their careers to create inclusive learning environments</w:t>
      </w:r>
      <w:r w:rsidRPr="0028439F">
        <w:t>.</w:t>
      </w:r>
    </w:p>
    <w:p w14:paraId="552E4DBE" w14:textId="762DF274" w:rsidR="00B763C7" w:rsidRPr="0028439F" w:rsidRDefault="00825DC1" w:rsidP="00B763C7">
      <w:pPr>
        <w:pStyle w:val="Agency-body-text"/>
        <w:numPr>
          <w:ilvl w:val="0"/>
          <w:numId w:val="33"/>
        </w:numPr>
      </w:pPr>
      <w:r w:rsidRPr="0028439F">
        <w:t>S</w:t>
      </w:r>
      <w:r w:rsidR="00B763C7" w:rsidRPr="0028439F">
        <w:t>pecialist teachers need to be prepared to support mainstream class teachers in providing additional support</w:t>
      </w:r>
      <w:r w:rsidRPr="0028439F">
        <w:t>.</w:t>
      </w:r>
    </w:p>
    <w:p w14:paraId="2B4724F3" w14:textId="74DAF67B" w:rsidR="00B32835" w:rsidRPr="0028439F" w:rsidRDefault="001218FE" w:rsidP="00F74887">
      <w:pPr>
        <w:pStyle w:val="Agency-body-text"/>
        <w:keepNext/>
        <w:widowControl w:val="0"/>
      </w:pPr>
      <w:r w:rsidRPr="0028439F">
        <w:t xml:space="preserve">The </w:t>
      </w:r>
      <w:r w:rsidR="004443CF" w:rsidRPr="0028439F">
        <w:t xml:space="preserve">TPL4I </w:t>
      </w:r>
      <w:r w:rsidR="007A0D2C" w:rsidRPr="0028439F">
        <w:t xml:space="preserve">Literature Review </w:t>
      </w:r>
      <w:r w:rsidRPr="0028439F">
        <w:t>(</w:t>
      </w:r>
      <w:r w:rsidR="009B1FD9" w:rsidRPr="0028439F">
        <w:t>European Agency, 2019</w:t>
      </w:r>
      <w:r w:rsidRPr="0028439F">
        <w:t xml:space="preserve">) examined a range of research papers and influential documents </w:t>
      </w:r>
      <w:r w:rsidR="000673DD" w:rsidRPr="0028439F">
        <w:t xml:space="preserve">on the topic </w:t>
      </w:r>
      <w:r w:rsidRPr="0028439F">
        <w:t>prepared by international and European organisations</w:t>
      </w:r>
      <w:r w:rsidR="007A0D2C" w:rsidRPr="0028439F">
        <w:t xml:space="preserve">. It </w:t>
      </w:r>
      <w:r w:rsidR="00B32448" w:rsidRPr="0028439F">
        <w:t>highlighted</w:t>
      </w:r>
      <w:r w:rsidRPr="0028439F">
        <w:t xml:space="preserve"> </w:t>
      </w:r>
      <w:r w:rsidR="00B32448" w:rsidRPr="0028439F">
        <w:t xml:space="preserve">a number of key </w:t>
      </w:r>
      <w:r w:rsidRPr="0028439F">
        <w:t>policy</w:t>
      </w:r>
      <w:r w:rsidR="009E5570" w:rsidRPr="0028439F">
        <w:t xml:space="preserve"> </w:t>
      </w:r>
      <w:r w:rsidR="009A29A5" w:rsidRPr="0028439F">
        <w:t>priorities</w:t>
      </w:r>
      <w:r w:rsidR="0097076C" w:rsidRPr="0028439F">
        <w:t xml:space="preserve"> that the TPL</w:t>
      </w:r>
      <w:r w:rsidR="00D9695C" w:rsidRPr="0028439F">
        <w:t>4I</w:t>
      </w:r>
      <w:r w:rsidR="0097076C" w:rsidRPr="0028439F">
        <w:t xml:space="preserve"> </w:t>
      </w:r>
      <w:r w:rsidR="00FD265A" w:rsidRPr="0028439F">
        <w:t xml:space="preserve">Policy </w:t>
      </w:r>
      <w:r w:rsidR="00430EA6" w:rsidRPr="0028439F">
        <w:t>Self</w:t>
      </w:r>
      <w:r w:rsidR="00BA2B1F" w:rsidRPr="0028439F">
        <w:noBreakHyphen/>
      </w:r>
      <w:r w:rsidR="00430EA6" w:rsidRPr="0028439F">
        <w:t>Review Tool</w:t>
      </w:r>
      <w:r w:rsidR="0076290C" w:rsidRPr="0028439F">
        <w:t xml:space="preserve"> considers</w:t>
      </w:r>
      <w:r w:rsidR="00D25700" w:rsidRPr="0028439F">
        <w:t>. These</w:t>
      </w:r>
      <w:r w:rsidR="00B32448" w:rsidRPr="0028439F">
        <w:t xml:space="preserve"> includ</w:t>
      </w:r>
      <w:r w:rsidR="00D25700" w:rsidRPr="0028439F">
        <w:t>e</w:t>
      </w:r>
      <w:r w:rsidR="00B32448" w:rsidRPr="0028439F">
        <w:t xml:space="preserve">: </w:t>
      </w:r>
    </w:p>
    <w:p w14:paraId="62996DFA" w14:textId="56940B7F" w:rsidR="00581C3E" w:rsidRPr="0028439F" w:rsidRDefault="001218FE" w:rsidP="00F74887">
      <w:pPr>
        <w:pStyle w:val="Agency-body-text"/>
        <w:widowControl w:val="0"/>
        <w:numPr>
          <w:ilvl w:val="0"/>
          <w:numId w:val="5"/>
        </w:numPr>
        <w:ind w:left="714" w:hanging="357"/>
      </w:pPr>
      <w:r w:rsidRPr="0028439F">
        <w:t xml:space="preserve">the need for a national policy vision on </w:t>
      </w:r>
      <w:r w:rsidR="006B247C" w:rsidRPr="0028439F">
        <w:t>teacher professional learning for inclusion</w:t>
      </w:r>
      <w:r w:rsidRPr="0028439F">
        <w:t xml:space="preserve"> that ensures </w:t>
      </w:r>
      <w:r w:rsidR="0088710D" w:rsidRPr="0028439F">
        <w:t xml:space="preserve">all </w:t>
      </w:r>
      <w:r w:rsidRPr="0028439F">
        <w:t xml:space="preserve">teachers’ learning throughout their professional </w:t>
      </w:r>
      <w:r w:rsidR="0088710D" w:rsidRPr="0028439F">
        <w:t>careers</w:t>
      </w:r>
      <w:r w:rsidR="0087218F" w:rsidRPr="0028439F">
        <w:t>;</w:t>
      </w:r>
    </w:p>
    <w:p w14:paraId="03326B44" w14:textId="7E767CF3" w:rsidR="0037076A" w:rsidRPr="0028439F" w:rsidRDefault="001218FE" w:rsidP="00F74887">
      <w:pPr>
        <w:pStyle w:val="Agency-body-text"/>
        <w:widowControl w:val="0"/>
        <w:numPr>
          <w:ilvl w:val="0"/>
          <w:numId w:val="5"/>
        </w:numPr>
        <w:ind w:left="714" w:hanging="357"/>
      </w:pPr>
      <w:r w:rsidRPr="0028439F">
        <w:t xml:space="preserve">the need to agree on the main principles for </w:t>
      </w:r>
      <w:r w:rsidR="00D9695C" w:rsidRPr="0028439F">
        <w:t xml:space="preserve">TPL4I </w:t>
      </w:r>
      <w:r w:rsidRPr="0028439F">
        <w:t>policy (e.g.</w:t>
      </w:r>
      <w:r w:rsidR="0087218F" w:rsidRPr="0028439F">
        <w:t> </w:t>
      </w:r>
      <w:r w:rsidRPr="0028439F">
        <w:t>include all education professionals, enhance collaboration, strengthen cross-sectional discourse on</w:t>
      </w:r>
      <w:r w:rsidR="00581C3E" w:rsidRPr="0028439F">
        <w:t xml:space="preserve"> </w:t>
      </w:r>
      <w:r w:rsidRPr="0028439F">
        <w:lastRenderedPageBreak/>
        <w:t>diversity)</w:t>
      </w:r>
      <w:r w:rsidR="0087218F" w:rsidRPr="0028439F">
        <w:t>;</w:t>
      </w:r>
    </w:p>
    <w:p w14:paraId="3E5D33D2" w14:textId="2F2B624A" w:rsidR="001218FE" w:rsidRPr="0028439F" w:rsidRDefault="0097076C" w:rsidP="00F74887">
      <w:pPr>
        <w:pStyle w:val="Agency-body-text"/>
        <w:numPr>
          <w:ilvl w:val="0"/>
          <w:numId w:val="5"/>
        </w:numPr>
        <w:ind w:left="714" w:hanging="357"/>
      </w:pPr>
      <w:r w:rsidRPr="0028439F">
        <w:t xml:space="preserve">the need for policy goals to </w:t>
      </w:r>
      <w:r w:rsidR="00F86A57" w:rsidRPr="0028439F">
        <w:t xml:space="preserve">provide </w:t>
      </w:r>
      <w:r w:rsidRPr="0028439F">
        <w:t>a continuum of support for all teachers at different p</w:t>
      </w:r>
      <w:r w:rsidR="004B0F2F" w:rsidRPr="0028439F">
        <w:t>oint</w:t>
      </w:r>
      <w:r w:rsidRPr="0028439F">
        <w:t xml:space="preserve">s </w:t>
      </w:r>
      <w:r w:rsidR="0087218F" w:rsidRPr="0028439F">
        <w:t xml:space="preserve">in </w:t>
      </w:r>
      <w:r w:rsidRPr="0028439F">
        <w:t>their careers</w:t>
      </w:r>
      <w:r w:rsidR="009B1FD9" w:rsidRPr="0028439F">
        <w:t>,</w:t>
      </w:r>
      <w:r w:rsidRPr="0028439F">
        <w:t xml:space="preserve"> </w:t>
      </w:r>
      <w:r w:rsidR="001218FE" w:rsidRPr="0028439F">
        <w:t>to build capacity, co</w:t>
      </w:r>
      <w:r w:rsidR="0088710D" w:rsidRPr="0028439F">
        <w:t>-</w:t>
      </w:r>
      <w:r w:rsidR="001218FE" w:rsidRPr="0028439F">
        <w:t>operation</w:t>
      </w:r>
      <w:r w:rsidR="0087218F" w:rsidRPr="0028439F">
        <w:t xml:space="preserve"> and</w:t>
      </w:r>
      <w:r w:rsidR="001218FE" w:rsidRPr="0028439F">
        <w:t xml:space="preserve"> funding</w:t>
      </w:r>
      <w:r w:rsidR="009B1FD9" w:rsidRPr="0028439F">
        <w:t xml:space="preserve">, and </w:t>
      </w:r>
      <w:r w:rsidR="001218FE" w:rsidRPr="0028439F">
        <w:t xml:space="preserve">monitor </w:t>
      </w:r>
      <w:r w:rsidR="006B247C" w:rsidRPr="0028439F">
        <w:t>teacher professional learning for inclusion</w:t>
      </w:r>
      <w:r w:rsidRPr="0028439F">
        <w:t>.</w:t>
      </w:r>
    </w:p>
    <w:p w14:paraId="01539988" w14:textId="11A4F025" w:rsidR="001218FE" w:rsidRPr="0028439F" w:rsidRDefault="0097076C" w:rsidP="00E54ABC">
      <w:pPr>
        <w:pStyle w:val="Agency-body-text"/>
        <w:keepNext/>
      </w:pPr>
      <w:r w:rsidRPr="0028439F">
        <w:t xml:space="preserve">Previous Agency work </w:t>
      </w:r>
      <w:r w:rsidR="00B32448" w:rsidRPr="0028439F">
        <w:t xml:space="preserve">supporting </w:t>
      </w:r>
      <w:r w:rsidRPr="0028439F">
        <w:t xml:space="preserve">policy analysis was also considered </w:t>
      </w:r>
      <w:r w:rsidR="006E7FF1" w:rsidRPr="0028439F">
        <w:t>whe</w:t>
      </w:r>
      <w:r w:rsidRPr="0028439F">
        <w:t>n develop</w:t>
      </w:r>
      <w:r w:rsidR="006E7FF1" w:rsidRPr="0028439F">
        <w:t>i</w:t>
      </w:r>
      <w:r w:rsidRPr="0028439F">
        <w:t>n</w:t>
      </w:r>
      <w:r w:rsidR="006E7FF1" w:rsidRPr="0028439F">
        <w:t>g</w:t>
      </w:r>
      <w:r w:rsidRPr="0028439F">
        <w:t xml:space="preserve"> the TPL</w:t>
      </w:r>
      <w:r w:rsidR="005B46CF" w:rsidRPr="0028439F">
        <w:t>4I</w:t>
      </w:r>
      <w:r w:rsidRPr="0028439F">
        <w:t xml:space="preserve"> </w:t>
      </w:r>
      <w:r w:rsidR="00FD265A" w:rsidRPr="0028439F">
        <w:t xml:space="preserve">Policy </w:t>
      </w:r>
      <w:r w:rsidR="00430EA6" w:rsidRPr="0028439F">
        <w:t>Self-Review Tool</w:t>
      </w:r>
      <w:r w:rsidRPr="0028439F">
        <w:t xml:space="preserve">. In particular, the following Agency analysis frameworks </w:t>
      </w:r>
      <w:r w:rsidR="005B46CF" w:rsidRPr="0028439F">
        <w:t>were considered</w:t>
      </w:r>
      <w:r w:rsidRPr="0028439F">
        <w:t>:</w:t>
      </w:r>
    </w:p>
    <w:p w14:paraId="22AD0ECA" w14:textId="4E16714F" w:rsidR="0097076C" w:rsidRPr="0028439F" w:rsidRDefault="0097076C" w:rsidP="002F18D4">
      <w:pPr>
        <w:pStyle w:val="Agency-body-text"/>
        <w:numPr>
          <w:ilvl w:val="0"/>
          <w:numId w:val="1"/>
        </w:numPr>
      </w:pPr>
      <w:r w:rsidRPr="0028439F">
        <w:t>Analysis Framework for Mapping Inclusive Education Policies</w:t>
      </w:r>
      <w:r w:rsidR="00A029D5" w:rsidRPr="0028439F">
        <w:t xml:space="preserve"> (European Agency, 2018a)</w:t>
      </w:r>
    </w:p>
    <w:p w14:paraId="39A827F3" w14:textId="387FE9DB" w:rsidR="00A029D5" w:rsidRPr="0028439F" w:rsidRDefault="0028234C" w:rsidP="002F18D4">
      <w:pPr>
        <w:pStyle w:val="Agency-body-text"/>
        <w:numPr>
          <w:ilvl w:val="0"/>
          <w:numId w:val="1"/>
        </w:numPr>
      </w:pPr>
      <w:hyperlink r:id="rId19" w:history="1">
        <w:r w:rsidR="00BF2997" w:rsidRPr="0028439F">
          <w:t>Country Policy Review and Analysis</w:t>
        </w:r>
      </w:hyperlink>
      <w:r w:rsidR="00BF2997" w:rsidRPr="0028439F">
        <w:t xml:space="preserve"> </w:t>
      </w:r>
      <w:r w:rsidR="0097076C" w:rsidRPr="0028439F">
        <w:t>framework</w:t>
      </w:r>
      <w:r w:rsidR="00690546" w:rsidRPr="0028439F">
        <w:t xml:space="preserve"> </w:t>
      </w:r>
      <w:r w:rsidR="00A029D5" w:rsidRPr="0028439F">
        <w:t xml:space="preserve">(European Agency, </w:t>
      </w:r>
      <w:r w:rsidR="00964E9F" w:rsidRPr="0028439F">
        <w:t>2016;</w:t>
      </w:r>
      <w:r w:rsidR="0088710D" w:rsidRPr="0028439F">
        <w:t xml:space="preserve"> </w:t>
      </w:r>
      <w:r w:rsidR="00A029D5" w:rsidRPr="0028439F">
        <w:t>2018b)</w:t>
      </w:r>
      <w:r w:rsidR="0087218F" w:rsidRPr="0028439F">
        <w:t>.</w:t>
      </w:r>
    </w:p>
    <w:p w14:paraId="34E45EB6" w14:textId="40D1E8E8" w:rsidR="00BF2997" w:rsidRPr="0028439F" w:rsidRDefault="00EB7367" w:rsidP="00BF2997">
      <w:pPr>
        <w:pStyle w:val="Agency-body-text"/>
      </w:pPr>
      <w:r w:rsidRPr="0028439F">
        <w:t>T</w:t>
      </w:r>
      <w:r w:rsidR="0097076C" w:rsidRPr="0028439F">
        <w:t>he TPL</w:t>
      </w:r>
      <w:r w:rsidR="005B46CF" w:rsidRPr="0028439F">
        <w:t>4I</w:t>
      </w:r>
      <w:r w:rsidR="0097076C" w:rsidRPr="0028439F">
        <w:t xml:space="preserve"> </w:t>
      </w:r>
      <w:r w:rsidR="00FD265A" w:rsidRPr="0028439F">
        <w:t xml:space="preserve">Policy </w:t>
      </w:r>
      <w:r w:rsidR="00430EA6" w:rsidRPr="0028439F">
        <w:t>Self-Review Tool</w:t>
      </w:r>
      <w:r w:rsidRPr="0028439F">
        <w:t xml:space="preserve"> is a comprehensive </w:t>
      </w:r>
      <w:r w:rsidR="00C551E3" w:rsidRPr="0028439F">
        <w:t>resource</w:t>
      </w:r>
      <w:r w:rsidR="00B32448" w:rsidRPr="0028439F">
        <w:t xml:space="preserve"> </w:t>
      </w:r>
      <w:r w:rsidRPr="0028439F">
        <w:t>emerg</w:t>
      </w:r>
      <w:r w:rsidR="00B32448" w:rsidRPr="0028439F">
        <w:t>ing</w:t>
      </w:r>
      <w:r w:rsidRPr="0028439F">
        <w:t xml:space="preserve"> from </w:t>
      </w:r>
      <w:r w:rsidR="00B32448" w:rsidRPr="0028439F">
        <w:t xml:space="preserve">this </w:t>
      </w:r>
      <w:r w:rsidRPr="0028439F">
        <w:t xml:space="preserve">combination of </w:t>
      </w:r>
      <w:r w:rsidR="00DE5C6E" w:rsidRPr="0028439F">
        <w:t>international policy</w:t>
      </w:r>
      <w:r w:rsidR="00B32448" w:rsidRPr="0028439F">
        <w:t xml:space="preserve"> and</w:t>
      </w:r>
      <w:r w:rsidR="00DE5C6E" w:rsidRPr="0028439F">
        <w:t xml:space="preserve"> </w:t>
      </w:r>
      <w:r w:rsidRPr="0028439F">
        <w:t>research literature</w:t>
      </w:r>
      <w:r w:rsidR="00594D40" w:rsidRPr="0028439F">
        <w:t>,</w:t>
      </w:r>
      <w:r w:rsidRPr="0028439F">
        <w:t xml:space="preserve"> </w:t>
      </w:r>
      <w:r w:rsidR="00B32448" w:rsidRPr="0028439F">
        <w:t xml:space="preserve">and </w:t>
      </w:r>
      <w:r w:rsidRPr="0028439F">
        <w:t>previous Agency policy analysis work.</w:t>
      </w:r>
    </w:p>
    <w:p w14:paraId="38124CB3" w14:textId="399AA49D" w:rsidR="00BF2997" w:rsidRPr="0028439F" w:rsidRDefault="003E5A58" w:rsidP="00BF2997">
      <w:pPr>
        <w:pStyle w:val="Agency-heading-2"/>
        <w:rPr>
          <w:rFonts w:cs="Calibri"/>
          <w:szCs w:val="32"/>
        </w:rPr>
      </w:pPr>
      <w:bookmarkStart w:id="11" w:name="_Toc26879744"/>
      <w:r w:rsidRPr="0028439F">
        <w:rPr>
          <w:rFonts w:cs="Calibri"/>
          <w:szCs w:val="32"/>
        </w:rPr>
        <w:t xml:space="preserve">Using </w:t>
      </w:r>
      <w:r w:rsidR="00366996" w:rsidRPr="0028439F">
        <w:rPr>
          <w:rFonts w:cs="Calibri"/>
          <w:szCs w:val="32"/>
        </w:rPr>
        <w:t xml:space="preserve">the </w:t>
      </w:r>
      <w:r w:rsidR="00CA3347" w:rsidRPr="0028439F">
        <w:rPr>
          <w:rFonts w:cs="Calibri"/>
          <w:szCs w:val="32"/>
        </w:rPr>
        <w:t xml:space="preserve">Policy </w:t>
      </w:r>
      <w:r w:rsidR="00430EA6" w:rsidRPr="0028439F">
        <w:rPr>
          <w:rFonts w:cs="Calibri"/>
          <w:szCs w:val="32"/>
        </w:rPr>
        <w:t>Self-Review Tool</w:t>
      </w:r>
      <w:bookmarkEnd w:id="11"/>
    </w:p>
    <w:p w14:paraId="55309CBF" w14:textId="4B83FC3C" w:rsidR="00B8314E" w:rsidRPr="0028439F" w:rsidRDefault="00BF2997" w:rsidP="00B8314E">
      <w:pPr>
        <w:pStyle w:val="Agency-body-text"/>
        <w:rPr>
          <w:rFonts w:cs="Calibri"/>
        </w:rPr>
      </w:pPr>
      <w:r w:rsidRPr="0028439F">
        <w:rPr>
          <w:rFonts w:cs="Calibri"/>
        </w:rPr>
        <w:t xml:space="preserve">The </w:t>
      </w:r>
      <w:r w:rsidR="00B8314E" w:rsidRPr="0028439F">
        <w:rPr>
          <w:rFonts w:cs="Calibri"/>
        </w:rPr>
        <w:t>TPL</w:t>
      </w:r>
      <w:r w:rsidR="00DE5C6E" w:rsidRPr="0028439F">
        <w:rPr>
          <w:rFonts w:cs="Calibri"/>
        </w:rPr>
        <w:t>4I</w:t>
      </w:r>
      <w:r w:rsidR="00B8314E" w:rsidRPr="0028439F">
        <w:rPr>
          <w:rFonts w:cs="Calibri"/>
        </w:rPr>
        <w:t xml:space="preserve"> </w:t>
      </w:r>
      <w:r w:rsidR="00FD265A" w:rsidRPr="0028439F">
        <w:rPr>
          <w:rFonts w:cs="Calibri"/>
        </w:rPr>
        <w:t xml:space="preserve">Policy </w:t>
      </w:r>
      <w:r w:rsidR="00430EA6" w:rsidRPr="0028439F">
        <w:rPr>
          <w:rFonts w:cs="Calibri"/>
        </w:rPr>
        <w:t>Self-Review Tool</w:t>
      </w:r>
      <w:r w:rsidRPr="0028439F">
        <w:rPr>
          <w:rFonts w:cs="Calibri"/>
        </w:rPr>
        <w:t xml:space="preserve"> </w:t>
      </w:r>
      <w:r w:rsidR="0087218F" w:rsidRPr="0028439F">
        <w:rPr>
          <w:rFonts w:cs="Calibri"/>
        </w:rPr>
        <w:t>is</w:t>
      </w:r>
      <w:r w:rsidR="00B8314E" w:rsidRPr="0028439F">
        <w:rPr>
          <w:rFonts w:cs="Calibri"/>
        </w:rPr>
        <w:t xml:space="preserve"> a grid that in</w:t>
      </w:r>
      <w:r w:rsidR="00FE3DB3" w:rsidRPr="0028439F">
        <w:rPr>
          <w:rFonts w:cs="Calibri"/>
        </w:rPr>
        <w:t>dicates</w:t>
      </w:r>
      <w:r w:rsidR="00B8314E" w:rsidRPr="0028439F">
        <w:rPr>
          <w:rFonts w:cs="Calibri"/>
        </w:rPr>
        <w:t xml:space="preserve"> different </w:t>
      </w:r>
      <w:r w:rsidR="00F871C2" w:rsidRPr="0028439F">
        <w:rPr>
          <w:rFonts w:cs="Calibri"/>
        </w:rPr>
        <w:t>policy priorities</w:t>
      </w:r>
      <w:r w:rsidR="0087218F" w:rsidRPr="0028439F">
        <w:rPr>
          <w:rFonts w:cs="Calibri"/>
        </w:rPr>
        <w:t xml:space="preserve">. These </w:t>
      </w:r>
      <w:r w:rsidR="00F871C2" w:rsidRPr="0028439F">
        <w:rPr>
          <w:rFonts w:cs="Calibri"/>
        </w:rPr>
        <w:t xml:space="preserve">priorities </w:t>
      </w:r>
      <w:r w:rsidR="00C01C91" w:rsidRPr="0028439F">
        <w:rPr>
          <w:rFonts w:cs="Calibri"/>
        </w:rPr>
        <w:t xml:space="preserve">address </w:t>
      </w:r>
      <w:r w:rsidR="00B8314E" w:rsidRPr="0028439F">
        <w:rPr>
          <w:rFonts w:cs="Calibri"/>
        </w:rPr>
        <w:t>policy elements that are considered important for develop</w:t>
      </w:r>
      <w:r w:rsidR="004156F2" w:rsidRPr="0028439F">
        <w:rPr>
          <w:rFonts w:cs="Calibri"/>
        </w:rPr>
        <w:t>i</w:t>
      </w:r>
      <w:r w:rsidR="00B8314E" w:rsidRPr="0028439F">
        <w:rPr>
          <w:rFonts w:cs="Calibri"/>
        </w:rPr>
        <w:t>n</w:t>
      </w:r>
      <w:r w:rsidR="004156F2" w:rsidRPr="0028439F">
        <w:rPr>
          <w:rFonts w:cs="Calibri"/>
        </w:rPr>
        <w:t>g</w:t>
      </w:r>
      <w:r w:rsidR="00B8314E" w:rsidRPr="0028439F">
        <w:rPr>
          <w:rFonts w:cs="Calibri"/>
        </w:rPr>
        <w:t xml:space="preserve"> </w:t>
      </w:r>
      <w:r w:rsidR="00D9695C" w:rsidRPr="0028439F">
        <w:rPr>
          <w:rFonts w:cs="Calibri"/>
        </w:rPr>
        <w:t xml:space="preserve">policy </w:t>
      </w:r>
      <w:r w:rsidR="004156F2" w:rsidRPr="0028439F">
        <w:rPr>
          <w:rFonts w:cs="Calibri"/>
        </w:rPr>
        <w:t>t</w:t>
      </w:r>
      <w:r w:rsidR="0087218F" w:rsidRPr="0028439F">
        <w:rPr>
          <w:rFonts w:cs="Calibri"/>
        </w:rPr>
        <w:t>h</w:t>
      </w:r>
      <w:r w:rsidR="004156F2" w:rsidRPr="0028439F">
        <w:rPr>
          <w:rFonts w:cs="Calibri"/>
        </w:rPr>
        <w:t>at</w:t>
      </w:r>
      <w:r w:rsidR="0087218F" w:rsidRPr="0028439F">
        <w:rPr>
          <w:rFonts w:cs="Calibri"/>
        </w:rPr>
        <w:t xml:space="preserve"> </w:t>
      </w:r>
      <w:r w:rsidR="00FE3DB3" w:rsidRPr="0028439F">
        <w:rPr>
          <w:rFonts w:cs="Calibri"/>
        </w:rPr>
        <w:t>effectively supports</w:t>
      </w:r>
      <w:r w:rsidR="00D9695C" w:rsidRPr="0028439F">
        <w:rPr>
          <w:rFonts w:cs="Calibri"/>
        </w:rPr>
        <w:t xml:space="preserve"> teacher professional learning for inclusion</w:t>
      </w:r>
      <w:r w:rsidR="00B8314E" w:rsidRPr="0028439F">
        <w:rPr>
          <w:rFonts w:cs="Calibri"/>
        </w:rPr>
        <w:t>.</w:t>
      </w:r>
    </w:p>
    <w:p w14:paraId="356A4CB2" w14:textId="7F9D8039" w:rsidR="004B634F" w:rsidRPr="0028439F" w:rsidRDefault="004B634F" w:rsidP="00B8314E">
      <w:pPr>
        <w:pStyle w:val="Agency-body-text"/>
        <w:rPr>
          <w:rFonts w:cs="Calibri"/>
        </w:rPr>
      </w:pPr>
      <w:r w:rsidRPr="0028439F">
        <w:rPr>
          <w:rFonts w:cs="Calibri"/>
        </w:rPr>
        <w:t xml:space="preserve">The </w:t>
      </w:r>
      <w:r w:rsidR="00FD265A" w:rsidRPr="0028439F">
        <w:rPr>
          <w:rFonts w:cs="Calibri"/>
        </w:rPr>
        <w:t xml:space="preserve">policy priorities </w:t>
      </w:r>
      <w:r w:rsidR="00B776BA" w:rsidRPr="0028439F">
        <w:rPr>
          <w:rFonts w:cs="Calibri"/>
        </w:rPr>
        <w:t xml:space="preserve">presented </w:t>
      </w:r>
      <w:r w:rsidRPr="0028439F">
        <w:rPr>
          <w:rFonts w:cs="Calibri"/>
        </w:rPr>
        <w:t>in</w:t>
      </w:r>
      <w:r w:rsidR="00F801F1" w:rsidRPr="0028439F">
        <w:rPr>
          <w:rFonts w:cs="Calibri"/>
        </w:rPr>
        <w:t xml:space="preserve"> </w:t>
      </w:r>
      <w:r w:rsidR="00594D40" w:rsidRPr="0028439F">
        <w:rPr>
          <w:rFonts w:cs="Calibri"/>
        </w:rPr>
        <w:t xml:space="preserve">the left-hand </w:t>
      </w:r>
      <w:r w:rsidR="00F801F1" w:rsidRPr="0028439F">
        <w:rPr>
          <w:rFonts w:cs="Calibri"/>
        </w:rPr>
        <w:t xml:space="preserve">column of </w:t>
      </w:r>
      <w:r w:rsidRPr="0028439F">
        <w:rPr>
          <w:rFonts w:cs="Calibri"/>
        </w:rPr>
        <w:t xml:space="preserve">the </w:t>
      </w:r>
      <w:r w:rsidR="00D9695C" w:rsidRPr="0028439F">
        <w:rPr>
          <w:rFonts w:cs="Calibri"/>
        </w:rPr>
        <w:t xml:space="preserve">TPL4I </w:t>
      </w:r>
      <w:r w:rsidR="00FD265A" w:rsidRPr="0028439F">
        <w:rPr>
          <w:rFonts w:cs="Calibri"/>
        </w:rPr>
        <w:t xml:space="preserve">Policy </w:t>
      </w:r>
      <w:r w:rsidR="00430EA6" w:rsidRPr="0028439F">
        <w:rPr>
          <w:rFonts w:cs="Calibri"/>
        </w:rPr>
        <w:t>Self-Review Tool</w:t>
      </w:r>
      <w:r w:rsidR="00D9695C" w:rsidRPr="0028439F">
        <w:rPr>
          <w:rFonts w:cs="Calibri"/>
        </w:rPr>
        <w:t xml:space="preserve"> </w:t>
      </w:r>
      <w:r w:rsidRPr="0028439F">
        <w:rPr>
          <w:rFonts w:cs="Calibri"/>
        </w:rPr>
        <w:t xml:space="preserve">aim to </w:t>
      </w:r>
      <w:r w:rsidR="00B776BA" w:rsidRPr="0028439F">
        <w:rPr>
          <w:rFonts w:cs="Calibri"/>
        </w:rPr>
        <w:t xml:space="preserve">guide </w:t>
      </w:r>
      <w:r w:rsidR="00B258CA" w:rsidRPr="0028439F">
        <w:rPr>
          <w:rFonts w:cs="Calibri"/>
        </w:rPr>
        <w:t>policy</w:t>
      </w:r>
      <w:r w:rsidR="0087218F" w:rsidRPr="0028439F">
        <w:rPr>
          <w:rFonts w:cs="Calibri"/>
        </w:rPr>
        <w:t>-</w:t>
      </w:r>
      <w:r w:rsidR="00B258CA" w:rsidRPr="0028439F">
        <w:rPr>
          <w:rFonts w:cs="Calibri"/>
        </w:rPr>
        <w:t>makers</w:t>
      </w:r>
      <w:r w:rsidRPr="0028439F">
        <w:rPr>
          <w:rFonts w:cs="Calibri"/>
        </w:rPr>
        <w:t xml:space="preserve"> </w:t>
      </w:r>
      <w:r w:rsidR="009E4081" w:rsidRPr="0028439F">
        <w:rPr>
          <w:rFonts w:cs="Calibri"/>
        </w:rPr>
        <w:t>and</w:t>
      </w:r>
      <w:r w:rsidRPr="0028439F">
        <w:rPr>
          <w:rFonts w:cs="Calibri"/>
        </w:rPr>
        <w:t xml:space="preserve"> o</w:t>
      </w:r>
      <w:r w:rsidR="0030066A" w:rsidRPr="0028439F">
        <w:rPr>
          <w:rFonts w:cs="Calibri"/>
        </w:rPr>
        <w:t>th</w:t>
      </w:r>
      <w:r w:rsidRPr="0028439F">
        <w:rPr>
          <w:rFonts w:cs="Calibri"/>
        </w:rPr>
        <w:t>e</w:t>
      </w:r>
      <w:r w:rsidR="0030066A" w:rsidRPr="0028439F">
        <w:rPr>
          <w:rFonts w:cs="Calibri"/>
        </w:rPr>
        <w:t>r</w:t>
      </w:r>
      <w:r w:rsidR="00A77B33" w:rsidRPr="0028439F">
        <w:rPr>
          <w:rFonts w:cs="Calibri"/>
        </w:rPr>
        <w:t xml:space="preserve"> user</w:t>
      </w:r>
      <w:r w:rsidR="0030066A" w:rsidRPr="0028439F">
        <w:rPr>
          <w:rFonts w:cs="Calibri"/>
        </w:rPr>
        <w:t>s</w:t>
      </w:r>
      <w:r w:rsidRPr="0028439F">
        <w:rPr>
          <w:rFonts w:cs="Calibri"/>
        </w:rPr>
        <w:t xml:space="preserve"> to </w:t>
      </w:r>
      <w:r w:rsidR="00B776BA" w:rsidRPr="0028439F">
        <w:rPr>
          <w:rFonts w:cs="Calibri"/>
        </w:rPr>
        <w:t>identify</w:t>
      </w:r>
      <w:r w:rsidRPr="0028439F">
        <w:rPr>
          <w:rFonts w:cs="Calibri"/>
        </w:rPr>
        <w:t xml:space="preserve"> relevant </w:t>
      </w:r>
      <w:r w:rsidR="006C1368" w:rsidRPr="0028439F">
        <w:rPr>
          <w:rFonts w:cs="Calibri"/>
        </w:rPr>
        <w:t>polic</w:t>
      </w:r>
      <w:r w:rsidR="0087218F" w:rsidRPr="0028439F">
        <w:rPr>
          <w:rFonts w:cs="Calibri"/>
        </w:rPr>
        <w:t>ies</w:t>
      </w:r>
      <w:r w:rsidRPr="0028439F">
        <w:rPr>
          <w:rFonts w:cs="Calibri"/>
        </w:rPr>
        <w:t xml:space="preserve"> and </w:t>
      </w:r>
      <w:r w:rsidR="00D205C2" w:rsidRPr="0028439F">
        <w:rPr>
          <w:rFonts w:cs="Calibri"/>
        </w:rPr>
        <w:t xml:space="preserve">provide </w:t>
      </w:r>
      <w:r w:rsidR="00B258CA" w:rsidRPr="0028439F">
        <w:rPr>
          <w:rFonts w:cs="Calibri"/>
        </w:rPr>
        <w:t>a</w:t>
      </w:r>
      <w:r w:rsidRPr="0028439F">
        <w:rPr>
          <w:rFonts w:cs="Calibri"/>
        </w:rPr>
        <w:t xml:space="preserve"> picture </w:t>
      </w:r>
      <w:r w:rsidR="00D205C2" w:rsidRPr="0028439F">
        <w:rPr>
          <w:rFonts w:cs="Calibri"/>
        </w:rPr>
        <w:t>o</w:t>
      </w:r>
      <w:r w:rsidRPr="0028439F">
        <w:rPr>
          <w:rFonts w:cs="Calibri"/>
        </w:rPr>
        <w:t xml:space="preserve">f each topic raised. </w:t>
      </w:r>
      <w:r w:rsidR="00FD265A" w:rsidRPr="0028439F">
        <w:t>W</w:t>
      </w:r>
      <w:r w:rsidR="005B46CF" w:rsidRPr="0028439F">
        <w:t>hen asking for ‘policy’</w:t>
      </w:r>
      <w:r w:rsidR="00B776BA" w:rsidRPr="0028439F">
        <w:t xml:space="preserve"> information</w:t>
      </w:r>
      <w:r w:rsidR="005B46CF" w:rsidRPr="0028439F">
        <w:t xml:space="preserve">, </w:t>
      </w:r>
      <w:r w:rsidR="00FD265A" w:rsidRPr="0028439F">
        <w:t>the priorities</w:t>
      </w:r>
      <w:r w:rsidR="005B46CF" w:rsidRPr="0028439F">
        <w:t xml:space="preserve"> refer to any policy from any ministry and/or any topic relating to </w:t>
      </w:r>
      <w:r w:rsidR="00D9695C" w:rsidRPr="0028439F">
        <w:t>teacher professional learning for inclusion</w:t>
      </w:r>
      <w:r w:rsidR="001727F8" w:rsidRPr="0028439F">
        <w:t>.</w:t>
      </w:r>
    </w:p>
    <w:p w14:paraId="67202A67" w14:textId="3BC8FAE9" w:rsidR="00BF2997" w:rsidRPr="0028439F" w:rsidRDefault="00BF2997" w:rsidP="00F74887">
      <w:pPr>
        <w:pStyle w:val="Agency-body-text"/>
        <w:keepNext/>
        <w:rPr>
          <w:rFonts w:cs="Calibri"/>
        </w:rPr>
      </w:pPr>
      <w:r w:rsidRPr="0028439F">
        <w:rPr>
          <w:rFonts w:cs="Calibri"/>
        </w:rPr>
        <w:t xml:space="preserve">The main components </w:t>
      </w:r>
      <w:r w:rsidR="00B8314E" w:rsidRPr="0028439F">
        <w:rPr>
          <w:rFonts w:cs="Calibri"/>
        </w:rPr>
        <w:t>of the TPL</w:t>
      </w:r>
      <w:r w:rsidR="00B258CA" w:rsidRPr="0028439F">
        <w:rPr>
          <w:rFonts w:cs="Calibri"/>
        </w:rPr>
        <w:t>4I</w:t>
      </w:r>
      <w:r w:rsidR="00B8314E" w:rsidRPr="0028439F">
        <w:rPr>
          <w:rFonts w:cs="Calibri"/>
        </w:rPr>
        <w:t xml:space="preserve"> </w:t>
      </w:r>
      <w:r w:rsidR="00FD265A" w:rsidRPr="0028439F">
        <w:rPr>
          <w:rFonts w:cs="Calibri"/>
        </w:rPr>
        <w:t xml:space="preserve">Policy </w:t>
      </w:r>
      <w:r w:rsidR="00430EA6" w:rsidRPr="0028439F">
        <w:rPr>
          <w:rFonts w:cs="Calibri"/>
        </w:rPr>
        <w:t>Self-Review Tool</w:t>
      </w:r>
      <w:r w:rsidR="00B8314E" w:rsidRPr="0028439F">
        <w:rPr>
          <w:rFonts w:cs="Calibri"/>
        </w:rPr>
        <w:t xml:space="preserve"> are:</w:t>
      </w:r>
    </w:p>
    <w:p w14:paraId="5E4741FB" w14:textId="22A67010" w:rsidR="0044160B" w:rsidRPr="0028439F" w:rsidRDefault="00A029D5" w:rsidP="002F18D4">
      <w:pPr>
        <w:pStyle w:val="Agency-body-text"/>
        <w:numPr>
          <w:ilvl w:val="0"/>
          <w:numId w:val="4"/>
        </w:numPr>
      </w:pPr>
      <w:bookmarkStart w:id="12" w:name="_Toc536444990"/>
      <w:r w:rsidRPr="0028439F">
        <w:t>Vision and main principles of TPL</w:t>
      </w:r>
      <w:r w:rsidR="00B258CA" w:rsidRPr="0028439F">
        <w:t>4I</w:t>
      </w:r>
      <w:r w:rsidRPr="0028439F">
        <w:t xml:space="preserve"> </w:t>
      </w:r>
      <w:r w:rsidR="00D9695C" w:rsidRPr="0028439F">
        <w:t>policy</w:t>
      </w:r>
    </w:p>
    <w:p w14:paraId="1CABDB1C" w14:textId="0556050C" w:rsidR="008A3C18" w:rsidRPr="0028439F" w:rsidRDefault="000628ED" w:rsidP="002F18D4">
      <w:pPr>
        <w:pStyle w:val="Agency-body-text"/>
        <w:numPr>
          <w:ilvl w:val="0"/>
          <w:numId w:val="4"/>
        </w:numPr>
      </w:pPr>
      <w:r w:rsidRPr="0028439F">
        <w:t>Goals</w:t>
      </w:r>
      <w:r w:rsidR="00A029D5" w:rsidRPr="0028439F">
        <w:t xml:space="preserve"> and continuum of support </w:t>
      </w:r>
      <w:r w:rsidR="00690546" w:rsidRPr="0028439F">
        <w:t>o</w:t>
      </w:r>
      <w:r w:rsidR="00A029D5" w:rsidRPr="0028439F">
        <w:t>f TPL</w:t>
      </w:r>
      <w:r w:rsidR="00B258CA" w:rsidRPr="0028439F">
        <w:t>4I</w:t>
      </w:r>
      <w:r w:rsidR="00A029D5" w:rsidRPr="0028439F">
        <w:t xml:space="preserve"> </w:t>
      </w:r>
      <w:r w:rsidR="00D9695C" w:rsidRPr="0028439F">
        <w:t>policy</w:t>
      </w:r>
    </w:p>
    <w:p w14:paraId="3D616C9F" w14:textId="0DE51A8E" w:rsidR="00A029D5" w:rsidRPr="0028439F" w:rsidRDefault="00A029D5" w:rsidP="002F18D4">
      <w:pPr>
        <w:pStyle w:val="Agency-body-text"/>
        <w:numPr>
          <w:ilvl w:val="0"/>
          <w:numId w:val="4"/>
        </w:numPr>
      </w:pPr>
      <w:r w:rsidRPr="0028439F">
        <w:t>Capacity building, funding and monitoring of</w:t>
      </w:r>
      <w:r w:rsidR="00B258CA" w:rsidRPr="0028439F">
        <w:t xml:space="preserve"> TPL4I </w:t>
      </w:r>
      <w:r w:rsidR="00D9695C" w:rsidRPr="0028439F">
        <w:t>policy</w:t>
      </w:r>
      <w:r w:rsidR="006E76AD" w:rsidRPr="0028439F">
        <w:t>.</w:t>
      </w:r>
    </w:p>
    <w:p w14:paraId="2938668C" w14:textId="584D012B" w:rsidR="00767ABC" w:rsidRPr="0028439F" w:rsidRDefault="00767ABC" w:rsidP="00767ABC">
      <w:pPr>
        <w:pStyle w:val="Agency-body-text"/>
      </w:pPr>
      <w:r w:rsidRPr="0028439F">
        <w:t xml:space="preserve">Each of these is presented </w:t>
      </w:r>
      <w:r w:rsidR="00594D40" w:rsidRPr="0028439F">
        <w:t xml:space="preserve">in </w:t>
      </w:r>
      <w:r w:rsidRPr="0028439F">
        <w:t>a separate section of the grid.</w:t>
      </w:r>
    </w:p>
    <w:bookmarkEnd w:id="12"/>
    <w:p w14:paraId="6F2ED596" w14:textId="05DCE828" w:rsidR="00B32835" w:rsidRPr="0028439F" w:rsidRDefault="00F801F1" w:rsidP="00F74887">
      <w:pPr>
        <w:pStyle w:val="Agency-body-text"/>
        <w:keepNext/>
        <w:rPr>
          <w:rFonts w:cs="Calibri"/>
        </w:rPr>
      </w:pPr>
      <w:r w:rsidRPr="0028439F">
        <w:rPr>
          <w:rFonts w:cs="Calibri"/>
        </w:rPr>
        <w:t>Reviewing</w:t>
      </w:r>
      <w:r w:rsidR="00606751" w:rsidRPr="0028439F">
        <w:rPr>
          <w:rFonts w:cs="Calibri"/>
        </w:rPr>
        <w:t xml:space="preserve"> TPL</w:t>
      </w:r>
      <w:r w:rsidR="007A3799" w:rsidRPr="0028439F">
        <w:rPr>
          <w:rFonts w:cs="Calibri"/>
        </w:rPr>
        <w:t>4I</w:t>
      </w:r>
      <w:r w:rsidR="00606751" w:rsidRPr="0028439F">
        <w:rPr>
          <w:rFonts w:cs="Calibri"/>
        </w:rPr>
        <w:t xml:space="preserve"> polic</w:t>
      </w:r>
      <w:r w:rsidR="00D9695C" w:rsidRPr="0028439F">
        <w:rPr>
          <w:rFonts w:cs="Calibri"/>
        </w:rPr>
        <w:t>y</w:t>
      </w:r>
      <w:r w:rsidR="00606751" w:rsidRPr="0028439F">
        <w:rPr>
          <w:rFonts w:cs="Calibri"/>
        </w:rPr>
        <w:t xml:space="preserve"> using the grid </w:t>
      </w:r>
      <w:r w:rsidR="0088710D" w:rsidRPr="0028439F">
        <w:rPr>
          <w:rFonts w:cs="Calibri"/>
        </w:rPr>
        <w:t xml:space="preserve">involves identifying elements of existing </w:t>
      </w:r>
      <w:r w:rsidR="006C1368" w:rsidRPr="0028439F">
        <w:rPr>
          <w:rFonts w:cs="Calibri"/>
        </w:rPr>
        <w:t>policy</w:t>
      </w:r>
      <w:r w:rsidR="00606751" w:rsidRPr="0028439F">
        <w:rPr>
          <w:rFonts w:cs="Calibri"/>
        </w:rPr>
        <w:t xml:space="preserve"> that correspond to each policy </w:t>
      </w:r>
      <w:r w:rsidR="009A29A5" w:rsidRPr="0028439F">
        <w:rPr>
          <w:rFonts w:cs="Calibri"/>
        </w:rPr>
        <w:t>priority</w:t>
      </w:r>
      <w:r w:rsidR="00606751" w:rsidRPr="0028439F">
        <w:rPr>
          <w:rFonts w:cs="Calibri"/>
        </w:rPr>
        <w:t xml:space="preserve">. </w:t>
      </w:r>
      <w:r w:rsidR="00767ABC" w:rsidRPr="0028439F">
        <w:rPr>
          <w:rFonts w:cs="Calibri"/>
        </w:rPr>
        <w:t>Extracts in the form of direct quotes</w:t>
      </w:r>
      <w:r w:rsidR="006E76AD" w:rsidRPr="0028439F">
        <w:rPr>
          <w:rFonts w:cs="Calibri"/>
        </w:rPr>
        <w:t xml:space="preserve"> from official policy documents </w:t>
      </w:r>
      <w:r w:rsidR="00606751" w:rsidRPr="0028439F">
        <w:rPr>
          <w:rFonts w:cs="Calibri"/>
        </w:rPr>
        <w:t xml:space="preserve">can be </w:t>
      </w:r>
      <w:r w:rsidR="006A68A5" w:rsidRPr="0028439F">
        <w:rPr>
          <w:rFonts w:cs="Calibri"/>
        </w:rPr>
        <w:t xml:space="preserve">inserted </w:t>
      </w:r>
      <w:r w:rsidR="00606751" w:rsidRPr="0028439F">
        <w:rPr>
          <w:rFonts w:cs="Calibri"/>
        </w:rPr>
        <w:t>in</w:t>
      </w:r>
      <w:r w:rsidR="00594D40" w:rsidRPr="0028439F">
        <w:rPr>
          <w:rFonts w:cs="Calibri"/>
        </w:rPr>
        <w:t>to</w:t>
      </w:r>
      <w:r w:rsidR="00606751" w:rsidRPr="0028439F">
        <w:rPr>
          <w:rFonts w:cs="Calibri"/>
        </w:rPr>
        <w:t xml:space="preserve"> the</w:t>
      </w:r>
      <w:r w:rsidR="002C4AA8" w:rsidRPr="0028439F">
        <w:rPr>
          <w:rFonts w:cs="Calibri"/>
        </w:rPr>
        <w:t xml:space="preserve"> </w:t>
      </w:r>
      <w:r w:rsidR="00594D40" w:rsidRPr="0028439F">
        <w:rPr>
          <w:rFonts w:cs="Calibri"/>
        </w:rPr>
        <w:t>right-</w:t>
      </w:r>
      <w:r w:rsidR="002C4AA8" w:rsidRPr="0028439F">
        <w:rPr>
          <w:rFonts w:cs="Calibri"/>
        </w:rPr>
        <w:t xml:space="preserve">hand column of the </w:t>
      </w:r>
      <w:r w:rsidR="00606751" w:rsidRPr="0028439F">
        <w:rPr>
          <w:rFonts w:cs="Calibri"/>
        </w:rPr>
        <w:t>grid</w:t>
      </w:r>
      <w:r w:rsidR="005F6F1F" w:rsidRPr="0028439F">
        <w:rPr>
          <w:rFonts w:cs="Calibri"/>
        </w:rPr>
        <w:t>. These documents</w:t>
      </w:r>
      <w:r w:rsidR="00EF5FA1" w:rsidRPr="0028439F">
        <w:rPr>
          <w:rFonts w:cs="Calibri"/>
        </w:rPr>
        <w:t xml:space="preserve"> may</w:t>
      </w:r>
      <w:r w:rsidR="005F6F1F" w:rsidRPr="0028439F">
        <w:rPr>
          <w:rFonts w:cs="Calibri"/>
        </w:rPr>
        <w:t xml:space="preserve"> include</w:t>
      </w:r>
      <w:r w:rsidR="006E76AD" w:rsidRPr="0028439F">
        <w:rPr>
          <w:rFonts w:cs="Calibri"/>
        </w:rPr>
        <w:t>:</w:t>
      </w:r>
    </w:p>
    <w:p w14:paraId="086B4E1F" w14:textId="77777777" w:rsidR="002C4AA8" w:rsidRPr="0028439F" w:rsidRDefault="002C4AA8" w:rsidP="002C4AA8">
      <w:pPr>
        <w:pStyle w:val="Agency-body-text"/>
        <w:numPr>
          <w:ilvl w:val="0"/>
          <w:numId w:val="46"/>
        </w:numPr>
      </w:pPr>
      <w:r w:rsidRPr="0028439F">
        <w:t>Legislation and legislative regulations</w:t>
      </w:r>
    </w:p>
    <w:p w14:paraId="17A0C2D2" w14:textId="0325D792" w:rsidR="002C4AA8" w:rsidRPr="0028439F" w:rsidRDefault="002C4AA8" w:rsidP="002C4AA8">
      <w:pPr>
        <w:pStyle w:val="Agency-body-text"/>
        <w:numPr>
          <w:ilvl w:val="0"/>
          <w:numId w:val="46"/>
        </w:numPr>
      </w:pPr>
      <w:r w:rsidRPr="0028439F">
        <w:t>National, European and international documents commenting on legislation for education generally and special needs/inclusive education specifically</w:t>
      </w:r>
    </w:p>
    <w:p w14:paraId="0D5EB7AD" w14:textId="77777777" w:rsidR="002C4AA8" w:rsidRPr="0028439F" w:rsidRDefault="002C4AA8" w:rsidP="002C4AA8">
      <w:pPr>
        <w:pStyle w:val="Agency-body-text"/>
        <w:numPr>
          <w:ilvl w:val="0"/>
          <w:numId w:val="46"/>
        </w:numPr>
      </w:pPr>
      <w:r w:rsidRPr="0028439F">
        <w:t>All relevant policy documents and statements (codes of practice, details of national targets and goals for education)</w:t>
      </w:r>
    </w:p>
    <w:p w14:paraId="05B922F8" w14:textId="77777777" w:rsidR="002C4AA8" w:rsidRPr="0028439F" w:rsidRDefault="002C4AA8" w:rsidP="002C4AA8">
      <w:pPr>
        <w:pStyle w:val="Agency-body-text"/>
        <w:numPr>
          <w:ilvl w:val="0"/>
          <w:numId w:val="46"/>
        </w:numPr>
      </w:pPr>
      <w:r w:rsidRPr="0028439F">
        <w:t>Policy implementation guidelines</w:t>
      </w:r>
    </w:p>
    <w:p w14:paraId="2A7F43A2" w14:textId="77777777" w:rsidR="002C4AA8" w:rsidRPr="0028439F" w:rsidRDefault="002C4AA8" w:rsidP="002C4AA8">
      <w:pPr>
        <w:pStyle w:val="Agency-body-text"/>
        <w:numPr>
          <w:ilvl w:val="0"/>
          <w:numId w:val="46"/>
        </w:numPr>
      </w:pPr>
      <w:r w:rsidRPr="0028439F">
        <w:lastRenderedPageBreak/>
        <w:t>Quality assurance frameworks</w:t>
      </w:r>
    </w:p>
    <w:p w14:paraId="6F5278E3" w14:textId="77777777" w:rsidR="002C4AA8" w:rsidRPr="0028439F" w:rsidRDefault="002C4AA8" w:rsidP="002C4AA8">
      <w:pPr>
        <w:pStyle w:val="Agency-body-text"/>
        <w:numPr>
          <w:ilvl w:val="0"/>
          <w:numId w:val="46"/>
        </w:numPr>
      </w:pPr>
      <w:r w:rsidRPr="0028439F">
        <w:t>Requirements for professionals</w:t>
      </w:r>
    </w:p>
    <w:p w14:paraId="49F490E7" w14:textId="77777777" w:rsidR="002C4AA8" w:rsidRPr="0028439F" w:rsidRDefault="002C4AA8" w:rsidP="002C4AA8">
      <w:pPr>
        <w:pStyle w:val="Agency-body-text"/>
        <w:numPr>
          <w:ilvl w:val="0"/>
          <w:numId w:val="46"/>
        </w:numPr>
      </w:pPr>
      <w:r w:rsidRPr="0028439F">
        <w:t>Different forms of system data (qualitative/quantitative, review and evaluation, etc.)</w:t>
      </w:r>
    </w:p>
    <w:p w14:paraId="4667D23F" w14:textId="77777777" w:rsidR="002C4AA8" w:rsidRPr="0028439F" w:rsidRDefault="002C4AA8" w:rsidP="002C4AA8">
      <w:pPr>
        <w:pStyle w:val="Agency-body-text"/>
        <w:numPr>
          <w:ilvl w:val="0"/>
          <w:numId w:val="46"/>
        </w:numPr>
      </w:pPr>
      <w:r w:rsidRPr="0028439F">
        <w:t>Education expenditure figures</w:t>
      </w:r>
    </w:p>
    <w:p w14:paraId="09033474" w14:textId="01FAD62F" w:rsidR="00767ABC" w:rsidRPr="0028439F" w:rsidRDefault="002C4AA8" w:rsidP="00001C38">
      <w:pPr>
        <w:pStyle w:val="Agency-body-text"/>
        <w:numPr>
          <w:ilvl w:val="0"/>
          <w:numId w:val="46"/>
        </w:numPr>
        <w:rPr>
          <w:rFonts w:cs="Calibri"/>
        </w:rPr>
      </w:pPr>
      <w:r w:rsidRPr="0028439F">
        <w:t>National standards and competence criteria.</w:t>
      </w:r>
    </w:p>
    <w:p w14:paraId="500059F9" w14:textId="1AD1B752" w:rsidR="00B32835" w:rsidRPr="0028439F" w:rsidRDefault="00FE175C" w:rsidP="00BF2997">
      <w:pPr>
        <w:pStyle w:val="Agency-body-text"/>
        <w:rPr>
          <w:rFonts w:cs="Calibri"/>
        </w:rPr>
      </w:pPr>
      <w:r w:rsidRPr="0028439F">
        <w:rPr>
          <w:rFonts w:cs="Calibri"/>
        </w:rPr>
        <w:t>Extracts from existing policy documents</w:t>
      </w:r>
      <w:r w:rsidR="00D03376" w:rsidRPr="0028439F">
        <w:rPr>
          <w:rFonts w:cs="Calibri"/>
        </w:rPr>
        <w:t xml:space="preserve"> inserted in the </w:t>
      </w:r>
      <w:r w:rsidR="008F14B3" w:rsidRPr="0028439F">
        <w:rPr>
          <w:rFonts w:cs="Calibri"/>
        </w:rPr>
        <w:t>right-</w:t>
      </w:r>
      <w:r w:rsidRPr="0028439F">
        <w:rPr>
          <w:rFonts w:cs="Calibri"/>
        </w:rPr>
        <w:t xml:space="preserve">hand column of the </w:t>
      </w:r>
      <w:r w:rsidR="00D03376" w:rsidRPr="0028439F">
        <w:rPr>
          <w:rFonts w:cs="Calibri"/>
        </w:rPr>
        <w:t>grid</w:t>
      </w:r>
      <w:r w:rsidRPr="0028439F">
        <w:rPr>
          <w:rFonts w:cs="Calibri"/>
        </w:rPr>
        <w:t xml:space="preserve"> </w:t>
      </w:r>
      <w:r w:rsidR="008F14B3" w:rsidRPr="0028439F">
        <w:rPr>
          <w:rFonts w:cs="Calibri"/>
        </w:rPr>
        <w:t>(</w:t>
      </w:r>
      <w:r w:rsidRPr="0028439F">
        <w:rPr>
          <w:rFonts w:cs="Calibri"/>
        </w:rPr>
        <w:t>Findings</w:t>
      </w:r>
      <w:r w:rsidR="008F14B3" w:rsidRPr="0028439F">
        <w:rPr>
          <w:rFonts w:cs="Calibri"/>
        </w:rPr>
        <w:t>)</w:t>
      </w:r>
      <w:r w:rsidRPr="0028439F">
        <w:rPr>
          <w:rFonts w:cs="Calibri"/>
        </w:rPr>
        <w:t xml:space="preserve"> </w:t>
      </w:r>
      <w:r w:rsidR="00FD265A" w:rsidRPr="0028439F">
        <w:rPr>
          <w:rFonts w:cs="Calibri"/>
        </w:rPr>
        <w:t>address each policy priority</w:t>
      </w:r>
      <w:r w:rsidRPr="0028439F">
        <w:rPr>
          <w:rFonts w:cs="Calibri"/>
        </w:rPr>
        <w:t xml:space="preserve">. These findings </w:t>
      </w:r>
      <w:r w:rsidR="00D03376" w:rsidRPr="0028439F">
        <w:rPr>
          <w:rFonts w:cs="Calibri"/>
        </w:rPr>
        <w:t xml:space="preserve">indicate that </w:t>
      </w:r>
      <w:r w:rsidR="000059D9" w:rsidRPr="0028439F">
        <w:rPr>
          <w:rFonts w:cs="Calibri"/>
        </w:rPr>
        <w:t xml:space="preserve">there are </w:t>
      </w:r>
      <w:r w:rsidR="00D03376" w:rsidRPr="0028439F">
        <w:rPr>
          <w:rFonts w:cs="Calibri"/>
        </w:rPr>
        <w:t xml:space="preserve">policy actions on the corresponding policy </w:t>
      </w:r>
      <w:r w:rsidR="00D9695C" w:rsidRPr="0028439F">
        <w:rPr>
          <w:rFonts w:cs="Calibri"/>
        </w:rPr>
        <w:t>element</w:t>
      </w:r>
      <w:r w:rsidR="00D03376" w:rsidRPr="0028439F">
        <w:rPr>
          <w:rFonts w:cs="Calibri"/>
        </w:rPr>
        <w:t>.</w:t>
      </w:r>
    </w:p>
    <w:p w14:paraId="36405EC4" w14:textId="045FF4A6" w:rsidR="00F801F1" w:rsidRPr="0028439F" w:rsidRDefault="008F14B3" w:rsidP="00BF2997">
      <w:pPr>
        <w:pStyle w:val="Agency-body-text"/>
        <w:rPr>
          <w:rFonts w:cs="Calibri"/>
        </w:rPr>
      </w:pPr>
      <w:r w:rsidRPr="0028439F">
        <w:rPr>
          <w:rFonts w:cs="Calibri"/>
        </w:rPr>
        <w:t xml:space="preserve">At </w:t>
      </w:r>
      <w:r w:rsidR="00F801F1" w:rsidRPr="0028439F">
        <w:rPr>
          <w:rFonts w:cs="Calibri"/>
        </w:rPr>
        <w:t xml:space="preserve">the end of each sub-section is </w:t>
      </w:r>
      <w:r w:rsidRPr="0028439F">
        <w:rPr>
          <w:rFonts w:cs="Calibri"/>
        </w:rPr>
        <w:t xml:space="preserve">an </w:t>
      </w:r>
      <w:r w:rsidR="00F801F1" w:rsidRPr="0028439F">
        <w:rPr>
          <w:rFonts w:cs="Calibri"/>
        </w:rPr>
        <w:t xml:space="preserve">‘Evaluative </w:t>
      </w:r>
      <w:r w:rsidR="007D103E" w:rsidRPr="0028439F">
        <w:rPr>
          <w:rFonts w:cs="Calibri"/>
        </w:rPr>
        <w:t>c</w:t>
      </w:r>
      <w:r w:rsidR="00F801F1" w:rsidRPr="0028439F">
        <w:rPr>
          <w:rFonts w:cs="Calibri"/>
        </w:rPr>
        <w:t>omments’ area</w:t>
      </w:r>
      <w:r w:rsidRPr="0028439F">
        <w:rPr>
          <w:rFonts w:cs="Calibri"/>
        </w:rPr>
        <w:t>.</w:t>
      </w:r>
      <w:r w:rsidR="00F801F1" w:rsidRPr="0028439F">
        <w:rPr>
          <w:rFonts w:cs="Calibri"/>
        </w:rPr>
        <w:t xml:space="preserve"> </w:t>
      </w:r>
      <w:r w:rsidRPr="0028439F">
        <w:rPr>
          <w:rFonts w:cs="Calibri"/>
        </w:rPr>
        <w:t>H</w:t>
      </w:r>
      <w:r w:rsidR="00F801F1" w:rsidRPr="0028439F">
        <w:rPr>
          <w:rFonts w:cs="Calibri"/>
        </w:rPr>
        <w:t>ere</w:t>
      </w:r>
      <w:r w:rsidRPr="0028439F">
        <w:rPr>
          <w:rFonts w:cs="Calibri"/>
        </w:rPr>
        <w:t>,</w:t>
      </w:r>
      <w:r w:rsidR="00F801F1" w:rsidRPr="0028439F">
        <w:rPr>
          <w:rFonts w:cs="Calibri"/>
        </w:rPr>
        <w:t xml:space="preserve"> any other relevant information can be added, such as plans for future policy.</w:t>
      </w:r>
    </w:p>
    <w:p w14:paraId="02E262CF" w14:textId="356BCC40" w:rsidR="00B32835" w:rsidRPr="0028439F" w:rsidRDefault="0035315F" w:rsidP="00C950A2">
      <w:pPr>
        <w:pStyle w:val="Agency-body-text"/>
        <w:rPr>
          <w:rFonts w:cs="Calibri"/>
        </w:rPr>
      </w:pPr>
      <w:r w:rsidRPr="0028439F">
        <w:rPr>
          <w:rFonts w:cs="Calibri"/>
        </w:rPr>
        <w:t xml:space="preserve">The completed </w:t>
      </w:r>
      <w:r w:rsidR="00DD4504" w:rsidRPr="0028439F">
        <w:rPr>
          <w:rFonts w:cs="Calibri"/>
        </w:rPr>
        <w:t>grid will reflect the extent to which national</w:t>
      </w:r>
      <w:r w:rsidR="00B776BA" w:rsidRPr="0028439F">
        <w:rPr>
          <w:rFonts w:cs="Calibri"/>
        </w:rPr>
        <w:t xml:space="preserve"> and</w:t>
      </w:r>
      <w:r w:rsidR="008F14B3" w:rsidRPr="0028439F">
        <w:rPr>
          <w:rFonts w:cs="Calibri"/>
        </w:rPr>
        <w:t>/</w:t>
      </w:r>
      <w:r w:rsidR="00B776BA" w:rsidRPr="0028439F">
        <w:rPr>
          <w:rFonts w:cs="Calibri"/>
        </w:rPr>
        <w:t>or regional</w:t>
      </w:r>
      <w:r w:rsidR="00DD4504" w:rsidRPr="0028439F">
        <w:rPr>
          <w:rFonts w:cs="Calibri"/>
        </w:rPr>
        <w:t xml:space="preserve"> polic</w:t>
      </w:r>
      <w:r w:rsidR="0088710D" w:rsidRPr="0028439F">
        <w:rPr>
          <w:rFonts w:cs="Calibri"/>
        </w:rPr>
        <w:t>y frameworks</w:t>
      </w:r>
      <w:r w:rsidR="00DD4504" w:rsidRPr="0028439F">
        <w:rPr>
          <w:rFonts w:cs="Calibri"/>
        </w:rPr>
        <w:t xml:space="preserve"> reflect the </w:t>
      </w:r>
      <w:r w:rsidR="003015E0" w:rsidRPr="0028439F">
        <w:rPr>
          <w:rFonts w:cs="Calibri"/>
        </w:rPr>
        <w:t xml:space="preserve">priorities highlighted in the </w:t>
      </w:r>
      <w:r w:rsidR="004443CF" w:rsidRPr="0028439F">
        <w:rPr>
          <w:rFonts w:cs="Calibri"/>
        </w:rPr>
        <w:t>TPL4I</w:t>
      </w:r>
      <w:r w:rsidR="00D9695C" w:rsidRPr="0028439F">
        <w:rPr>
          <w:rFonts w:cs="Calibri"/>
        </w:rPr>
        <w:t xml:space="preserve"> Li</w:t>
      </w:r>
      <w:r w:rsidR="003015E0" w:rsidRPr="0028439F">
        <w:rPr>
          <w:rFonts w:cs="Calibri"/>
        </w:rPr>
        <w:t xml:space="preserve">terature </w:t>
      </w:r>
      <w:r w:rsidR="006E76AD" w:rsidRPr="0028439F">
        <w:rPr>
          <w:rFonts w:cs="Calibri"/>
        </w:rPr>
        <w:t xml:space="preserve">Review </w:t>
      </w:r>
      <w:r w:rsidR="00D9695C" w:rsidRPr="0028439F">
        <w:rPr>
          <w:rFonts w:cs="Calibri"/>
        </w:rPr>
        <w:t>(European Agency, 2019)</w:t>
      </w:r>
      <w:r w:rsidR="00DD4504" w:rsidRPr="0028439F">
        <w:rPr>
          <w:rFonts w:cs="Calibri"/>
        </w:rPr>
        <w:t xml:space="preserve">. </w:t>
      </w:r>
      <w:r w:rsidR="00B776BA" w:rsidRPr="0028439F">
        <w:rPr>
          <w:rFonts w:cs="Calibri"/>
        </w:rPr>
        <w:t>P</w:t>
      </w:r>
      <w:r w:rsidR="00AD7BD0" w:rsidRPr="0028439F">
        <w:rPr>
          <w:rFonts w:cs="Calibri"/>
        </w:rPr>
        <w:t xml:space="preserve">olicy </w:t>
      </w:r>
      <w:r w:rsidR="00DD4504" w:rsidRPr="0028439F">
        <w:rPr>
          <w:rFonts w:cs="Calibri"/>
        </w:rPr>
        <w:t xml:space="preserve">analysis </w:t>
      </w:r>
      <w:r w:rsidR="003E5A58" w:rsidRPr="0028439F">
        <w:rPr>
          <w:rFonts w:cs="Calibri"/>
        </w:rPr>
        <w:t xml:space="preserve">using </w:t>
      </w:r>
      <w:r w:rsidR="00DD4504" w:rsidRPr="0028439F">
        <w:rPr>
          <w:rFonts w:cs="Calibri"/>
        </w:rPr>
        <w:t xml:space="preserve">the grid will enable policy-makers and other stakeholders to </w:t>
      </w:r>
      <w:r w:rsidR="003015E0" w:rsidRPr="0028439F">
        <w:rPr>
          <w:rFonts w:cs="Calibri"/>
        </w:rPr>
        <w:t xml:space="preserve">identify </w:t>
      </w:r>
      <w:r w:rsidR="00DD4504" w:rsidRPr="0028439F">
        <w:rPr>
          <w:rFonts w:cs="Calibri"/>
        </w:rPr>
        <w:t xml:space="preserve">the policy areas that are </w:t>
      </w:r>
      <w:r w:rsidR="00FE175C" w:rsidRPr="0028439F">
        <w:rPr>
          <w:rFonts w:cs="Calibri"/>
        </w:rPr>
        <w:t>currently</w:t>
      </w:r>
      <w:r w:rsidR="004443CF" w:rsidRPr="0028439F">
        <w:rPr>
          <w:rFonts w:cs="Calibri"/>
        </w:rPr>
        <w:t xml:space="preserve"> </w:t>
      </w:r>
      <w:r w:rsidR="00DD4504" w:rsidRPr="0028439F">
        <w:rPr>
          <w:rFonts w:cs="Calibri"/>
        </w:rPr>
        <w:t>addressed</w:t>
      </w:r>
      <w:r w:rsidR="00557753" w:rsidRPr="0028439F">
        <w:rPr>
          <w:rFonts w:cs="Calibri"/>
        </w:rPr>
        <w:t xml:space="preserve"> according to international policy recommendations and research evidence</w:t>
      </w:r>
      <w:r w:rsidR="00305393" w:rsidRPr="0028439F">
        <w:rPr>
          <w:rFonts w:cs="Calibri"/>
        </w:rPr>
        <w:t>. It will also highlight</w:t>
      </w:r>
      <w:r w:rsidR="00557753" w:rsidRPr="0028439F">
        <w:rPr>
          <w:rFonts w:cs="Calibri"/>
        </w:rPr>
        <w:t xml:space="preserve"> </w:t>
      </w:r>
      <w:r w:rsidR="00DD4504" w:rsidRPr="0028439F">
        <w:rPr>
          <w:rFonts w:cs="Calibri"/>
        </w:rPr>
        <w:t>the areas to consider for future policy development.</w:t>
      </w:r>
    </w:p>
    <w:p w14:paraId="23EADD21" w14:textId="456217A0" w:rsidR="002D21DB" w:rsidRPr="0028439F" w:rsidRDefault="002D21DB" w:rsidP="002D21DB">
      <w:pPr>
        <w:pStyle w:val="Agency-body-text"/>
      </w:pPr>
      <w:bookmarkStart w:id="13" w:name="_Toc531164540"/>
      <w:bookmarkStart w:id="14" w:name="_Toc536444993"/>
      <w:r w:rsidRPr="0028439F">
        <w:br w:type="page"/>
      </w:r>
    </w:p>
    <w:p w14:paraId="2E47B3A8" w14:textId="68DE1DD1" w:rsidR="00CC5956" w:rsidRPr="0028439F" w:rsidRDefault="00632878" w:rsidP="002D21DB">
      <w:pPr>
        <w:pStyle w:val="Agency-heading-1"/>
      </w:pPr>
      <w:bookmarkStart w:id="15" w:name="_Toc26879745"/>
      <w:r w:rsidRPr="0028439F">
        <w:lastRenderedPageBreak/>
        <w:t xml:space="preserve">Section </w:t>
      </w:r>
      <w:r w:rsidR="00BF0509" w:rsidRPr="0028439F">
        <w:t>1: W</w:t>
      </w:r>
      <w:r w:rsidR="00CC5956" w:rsidRPr="0028439F">
        <w:t xml:space="preserve">ider </w:t>
      </w:r>
      <w:r w:rsidR="002334A2" w:rsidRPr="0028439F">
        <w:t>policy context</w:t>
      </w:r>
      <w:bookmarkEnd w:id="15"/>
    </w:p>
    <w:p w14:paraId="6F0A390B" w14:textId="2E0DD570" w:rsidR="00CC5956" w:rsidRPr="0028439F" w:rsidRDefault="00FE175C" w:rsidP="005978D6">
      <w:pPr>
        <w:pStyle w:val="Agency-body-text"/>
        <w:rPr>
          <w:strike/>
        </w:rPr>
      </w:pPr>
      <w:bookmarkStart w:id="16" w:name="_Toc105226304"/>
      <w:r w:rsidRPr="0028439F">
        <w:t xml:space="preserve">This section can be used to identify </w:t>
      </w:r>
      <w:r w:rsidR="00BC3AB2" w:rsidRPr="0028439F">
        <w:t xml:space="preserve">information about </w:t>
      </w:r>
      <w:r w:rsidR="003F32E3" w:rsidRPr="0028439F">
        <w:t xml:space="preserve">the </w:t>
      </w:r>
      <w:r w:rsidR="00BC3AB2" w:rsidRPr="0028439F">
        <w:t xml:space="preserve">current wider policy context that may guide or impact on any specific policy initiatives for teacher professional learning for </w:t>
      </w:r>
      <w:r w:rsidR="00FD265A" w:rsidRPr="0028439F">
        <w:t>inclusion</w:t>
      </w:r>
      <w:r w:rsidR="00BC3AB2" w:rsidRPr="0028439F">
        <w:t>.</w:t>
      </w:r>
    </w:p>
    <w:tbl>
      <w:tblPr>
        <w:tblStyle w:val="TableGrid"/>
        <w:tblW w:w="5000" w:type="pct"/>
        <w:tblLook w:val="04A0" w:firstRow="1" w:lastRow="0" w:firstColumn="1" w:lastColumn="0" w:noHBand="0" w:noVBand="1"/>
        <w:tblCaption w:val="Wider policy context"/>
      </w:tblPr>
      <w:tblGrid>
        <w:gridCol w:w="8827"/>
      </w:tblGrid>
      <w:tr w:rsidR="00CC5956" w:rsidRPr="0028439F" w14:paraId="5CE493C2" w14:textId="77777777" w:rsidTr="00615BD9">
        <w:trPr>
          <w:tblHeader/>
        </w:trPr>
        <w:tc>
          <w:tcPr>
            <w:tcW w:w="0" w:type="auto"/>
            <w:shd w:val="clear" w:color="auto" w:fill="D9D9D9" w:themeFill="background1" w:themeFillShade="D9"/>
          </w:tcPr>
          <w:p w14:paraId="763B52CE" w14:textId="50650F1A" w:rsidR="00CC5956" w:rsidRPr="0028439F" w:rsidRDefault="00CC5956" w:rsidP="009F6EE9">
            <w:pPr>
              <w:pStyle w:val="Agency-body-text"/>
              <w:keepNext/>
              <w:rPr>
                <w:b/>
              </w:rPr>
            </w:pPr>
            <w:r w:rsidRPr="0028439F">
              <w:rPr>
                <w:b/>
              </w:rPr>
              <w:t xml:space="preserve">Wider </w:t>
            </w:r>
            <w:r w:rsidR="002334A2" w:rsidRPr="0028439F">
              <w:rPr>
                <w:b/>
              </w:rPr>
              <w:t>policy context</w:t>
            </w:r>
          </w:p>
        </w:tc>
      </w:tr>
      <w:tr w:rsidR="00CC5956" w:rsidRPr="0028439F" w14:paraId="10850EA7" w14:textId="77777777" w:rsidTr="00615BD9">
        <w:trPr>
          <w:trHeight w:val="8505"/>
        </w:trPr>
        <w:tc>
          <w:tcPr>
            <w:tcW w:w="0" w:type="auto"/>
          </w:tcPr>
          <w:p w14:paraId="48055B1C" w14:textId="298FD83B" w:rsidR="005F3CC3" w:rsidRPr="0028439F" w:rsidRDefault="005F3CC3" w:rsidP="009F6EE9">
            <w:pPr>
              <w:pStyle w:val="Agency-body-text"/>
            </w:pPr>
          </w:p>
        </w:tc>
      </w:tr>
    </w:tbl>
    <w:p w14:paraId="5B8FC919" w14:textId="77777777" w:rsidR="00CC5956" w:rsidRPr="0028439F" w:rsidRDefault="00CC5956" w:rsidP="00CC5956">
      <w:pPr>
        <w:pStyle w:val="Agency-body-text"/>
        <w:sectPr w:rsidR="00CC5956" w:rsidRPr="0028439F" w:rsidSect="00A570D1">
          <w:headerReference w:type="even" r:id="rId20"/>
          <w:headerReference w:type="default" r:id="rId21"/>
          <w:footerReference w:type="even" r:id="rId22"/>
          <w:footerReference w:type="default" r:id="rId23"/>
          <w:pgSz w:w="11899" w:h="16838"/>
          <w:pgMar w:top="1134" w:right="1531" w:bottom="1276" w:left="1531" w:header="709" w:footer="709" w:gutter="0"/>
          <w:cols w:space="708"/>
          <w:titlePg/>
          <w:docGrid w:linePitch="360"/>
        </w:sectPr>
      </w:pPr>
    </w:p>
    <w:p w14:paraId="3E367BC2" w14:textId="1F94195D" w:rsidR="00BF2997" w:rsidRPr="0028439F" w:rsidRDefault="4B1B1259" w:rsidP="00085C78">
      <w:pPr>
        <w:pStyle w:val="Agency-heading-1"/>
      </w:pPr>
      <w:bookmarkStart w:id="17" w:name="_Toc26879746"/>
      <w:bookmarkEnd w:id="16"/>
      <w:r w:rsidRPr="0028439F">
        <w:lastRenderedPageBreak/>
        <w:t>Section </w:t>
      </w:r>
      <w:r w:rsidR="00BF0509" w:rsidRPr="0028439F">
        <w:t>2</w:t>
      </w:r>
      <w:r w:rsidRPr="0028439F">
        <w:t xml:space="preserve">: </w:t>
      </w:r>
      <w:r w:rsidR="002334A2" w:rsidRPr="0028439F">
        <w:t xml:space="preserve">Vision </w:t>
      </w:r>
      <w:r w:rsidRPr="0028439F">
        <w:t xml:space="preserve">and main principles of </w:t>
      </w:r>
      <w:r w:rsidR="002334A2" w:rsidRPr="0028439F">
        <w:t>TPL4I</w:t>
      </w:r>
      <w:r w:rsidRPr="0028439F">
        <w:t xml:space="preserve"> policy</w:t>
      </w:r>
      <w:bookmarkEnd w:id="13"/>
      <w:bookmarkEnd w:id="14"/>
      <w:bookmarkEnd w:id="17"/>
    </w:p>
    <w:p w14:paraId="43BCCC48" w14:textId="106E8288" w:rsidR="00B22035" w:rsidRPr="0028439F" w:rsidRDefault="00C22CE4" w:rsidP="00C22CE4">
      <w:pPr>
        <w:pStyle w:val="Agency-heading-2"/>
      </w:pPr>
      <w:bookmarkStart w:id="18" w:name="_Toc26879747"/>
      <w:bookmarkStart w:id="19" w:name="_Toc531164541"/>
      <w:bookmarkStart w:id="20" w:name="_Toc536444994"/>
      <w:r w:rsidRPr="0028439F">
        <w:t xml:space="preserve">2.1 </w:t>
      </w:r>
      <w:r w:rsidR="00B90EE5" w:rsidRPr="0028439F">
        <w:t>Policy v</w:t>
      </w:r>
      <w:r w:rsidR="00B22035" w:rsidRPr="0028439F">
        <w:t>ision</w:t>
      </w:r>
      <w:bookmarkEnd w:id="18"/>
    </w:p>
    <w:p w14:paraId="03B0461A" w14:textId="75C61093" w:rsidR="001F1876" w:rsidRPr="0028439F" w:rsidRDefault="00964E9F" w:rsidP="00A10C7E">
      <w:pPr>
        <w:pStyle w:val="Agency-body-text"/>
        <w:keepNext/>
      </w:pPr>
      <w:r w:rsidRPr="0028439F">
        <w:t xml:space="preserve">The underpinning policy vision </w:t>
      </w:r>
      <w:r w:rsidR="00B92B8D" w:rsidRPr="0028439F">
        <w:t>to guide</w:t>
      </w:r>
      <w:r w:rsidRPr="0028439F">
        <w:t xml:space="preserve"> teacher professional </w:t>
      </w:r>
      <w:r w:rsidR="00D9695C" w:rsidRPr="0028439F">
        <w:t xml:space="preserve">learning </w:t>
      </w:r>
      <w:r w:rsidRPr="0028439F">
        <w:t xml:space="preserve">for inclusion is that all teachers should </w:t>
      </w:r>
      <w:r w:rsidR="004B0186" w:rsidRPr="0028439F">
        <w:t xml:space="preserve">have the attitudes and skills to meet </w:t>
      </w:r>
      <w:r w:rsidRPr="0028439F">
        <w:t xml:space="preserve">the needs of all learners. This means that the following </w:t>
      </w:r>
      <w:r w:rsidR="004E4273" w:rsidRPr="0028439F">
        <w:t>policy priorities</w:t>
      </w:r>
      <w:r w:rsidRPr="0028439F">
        <w:t xml:space="preserve"> need to be addressed</w:t>
      </w:r>
      <w:r w:rsidR="009504FD" w:rsidRPr="0028439F">
        <w:t>:</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licy priorities and findings for 'Policy vision'"/>
      </w:tblPr>
      <w:tblGrid>
        <w:gridCol w:w="5046"/>
        <w:gridCol w:w="9372"/>
      </w:tblGrid>
      <w:tr w:rsidR="00B25B12" w:rsidRPr="0028439F" w14:paraId="32D03B9E" w14:textId="4BDC94BC" w:rsidTr="00E67B6B">
        <w:trPr>
          <w:tblHeader/>
        </w:trPr>
        <w:tc>
          <w:tcPr>
            <w:tcW w:w="1750" w:type="pct"/>
            <w:shd w:val="clear" w:color="auto" w:fill="F2F2F2" w:themeFill="background1" w:themeFillShade="F2"/>
            <w:noWrap/>
          </w:tcPr>
          <w:p w14:paraId="2031D54A" w14:textId="5766D4F8" w:rsidR="003E289B" w:rsidRPr="0028439F" w:rsidRDefault="003E289B" w:rsidP="00E67B6B">
            <w:pPr>
              <w:pStyle w:val="Agency-body-text"/>
              <w:keepNext/>
              <w:rPr>
                <w:rFonts w:cs="Calibri"/>
                <w:b/>
                <w:bCs/>
                <w:szCs w:val="24"/>
              </w:rPr>
            </w:pPr>
            <w:r w:rsidRPr="0028439F">
              <w:rPr>
                <w:rFonts w:cs="Calibri"/>
                <w:b/>
                <w:bCs/>
                <w:szCs w:val="24"/>
              </w:rPr>
              <w:t>Policy priorities</w:t>
            </w:r>
          </w:p>
        </w:tc>
        <w:tc>
          <w:tcPr>
            <w:tcW w:w="3250" w:type="pct"/>
            <w:shd w:val="clear" w:color="auto" w:fill="F2F2F2" w:themeFill="background1" w:themeFillShade="F2"/>
          </w:tcPr>
          <w:p w14:paraId="0767D94D" w14:textId="2E3A0A5E" w:rsidR="003E289B" w:rsidRPr="0028439F" w:rsidRDefault="003E289B" w:rsidP="00E67B6B">
            <w:pPr>
              <w:pStyle w:val="Agency-body-text"/>
              <w:keepNext/>
              <w:rPr>
                <w:rFonts w:cs="Calibri"/>
                <w:b/>
                <w:bCs/>
                <w:szCs w:val="24"/>
              </w:rPr>
            </w:pPr>
            <w:r w:rsidRPr="0028439F">
              <w:rPr>
                <w:rFonts w:cs="Calibri"/>
                <w:b/>
                <w:bCs/>
                <w:szCs w:val="24"/>
              </w:rPr>
              <w:t>Findings</w:t>
            </w:r>
          </w:p>
        </w:tc>
      </w:tr>
      <w:tr w:rsidR="003E289B" w:rsidRPr="0028439F" w14:paraId="6FB74C66" w14:textId="6562B19C" w:rsidTr="00E67B6B">
        <w:tc>
          <w:tcPr>
            <w:tcW w:w="1750" w:type="pct"/>
          </w:tcPr>
          <w:p w14:paraId="13A30303" w14:textId="00094841" w:rsidR="003E289B" w:rsidRPr="0028439F" w:rsidRDefault="003E289B" w:rsidP="004B0186">
            <w:pPr>
              <w:pStyle w:val="Agency-body-text"/>
              <w:numPr>
                <w:ilvl w:val="2"/>
                <w:numId w:val="16"/>
              </w:numPr>
              <w:rPr>
                <w:color w:val="auto"/>
                <w:szCs w:val="24"/>
              </w:rPr>
            </w:pPr>
            <w:r w:rsidRPr="0028439F">
              <w:t>Policy is guided by a vision that all teachers (i.e. student teachers, beginning teachers, experienced teachers, teacher educators) can access career-long professional learning opportunities regarding the principles of inclusive education</w:t>
            </w:r>
          </w:p>
        </w:tc>
        <w:tc>
          <w:tcPr>
            <w:tcW w:w="3250" w:type="pct"/>
          </w:tcPr>
          <w:p w14:paraId="6C76D171" w14:textId="0AF029E9" w:rsidR="003E289B" w:rsidRPr="0028439F" w:rsidRDefault="003E289B" w:rsidP="00E67B6B">
            <w:pPr>
              <w:pStyle w:val="Agency-body-text"/>
              <w:rPr>
                <w:rFonts w:cs="Calibri"/>
                <w:szCs w:val="24"/>
              </w:rPr>
            </w:pPr>
          </w:p>
        </w:tc>
      </w:tr>
      <w:tr w:rsidR="003E289B" w:rsidRPr="0028439F" w14:paraId="4A2C1BBA" w14:textId="60096780" w:rsidTr="00E67B6B">
        <w:tc>
          <w:tcPr>
            <w:tcW w:w="1750" w:type="pct"/>
          </w:tcPr>
          <w:p w14:paraId="743902C4" w14:textId="6001A4DB" w:rsidR="003E289B" w:rsidRPr="0028439F" w:rsidRDefault="003E289B" w:rsidP="00BF0509">
            <w:pPr>
              <w:pStyle w:val="Agency-body-text"/>
              <w:numPr>
                <w:ilvl w:val="2"/>
                <w:numId w:val="16"/>
              </w:numPr>
              <w:rPr>
                <w:rFonts w:cs="Calibri"/>
                <w:szCs w:val="24"/>
              </w:rPr>
            </w:pPr>
            <w:r w:rsidRPr="0028439F">
              <w:t>Policy is guided</w:t>
            </w:r>
            <w:r w:rsidRPr="0028439F">
              <w:rPr>
                <w:rFonts w:cs="Calibri"/>
                <w:szCs w:val="24"/>
              </w:rPr>
              <w:t xml:space="preserve"> by a vision that all teachers receive education regarding their role and collaboration in and contribution to inclusive education</w:t>
            </w:r>
          </w:p>
        </w:tc>
        <w:tc>
          <w:tcPr>
            <w:tcW w:w="3250" w:type="pct"/>
          </w:tcPr>
          <w:p w14:paraId="349D7717" w14:textId="7DB45BAF" w:rsidR="003E289B" w:rsidRPr="0028439F" w:rsidRDefault="003E289B" w:rsidP="00E67B6B">
            <w:pPr>
              <w:pStyle w:val="Agency-body-text"/>
              <w:rPr>
                <w:rFonts w:cs="Calibri"/>
                <w:szCs w:val="24"/>
              </w:rPr>
            </w:pPr>
          </w:p>
        </w:tc>
      </w:tr>
      <w:tr w:rsidR="003E289B" w:rsidRPr="0028439F" w14:paraId="0257B7D7" w14:textId="72A99CD0" w:rsidTr="00E67B6B">
        <w:tc>
          <w:tcPr>
            <w:tcW w:w="1750" w:type="pct"/>
          </w:tcPr>
          <w:p w14:paraId="47DCF2B4" w14:textId="77777777" w:rsidR="003E289B" w:rsidRPr="0028439F" w:rsidRDefault="003E289B" w:rsidP="00E67B6B">
            <w:pPr>
              <w:pStyle w:val="Agency-body-text"/>
              <w:keepLines/>
              <w:numPr>
                <w:ilvl w:val="2"/>
                <w:numId w:val="16"/>
              </w:numPr>
              <w:rPr>
                <w:rFonts w:cs="Calibri"/>
                <w:szCs w:val="24"/>
              </w:rPr>
            </w:pPr>
            <w:r w:rsidRPr="0028439F">
              <w:lastRenderedPageBreak/>
              <w:t>Policy is guided</w:t>
            </w:r>
            <w:r w:rsidRPr="0028439F">
              <w:rPr>
                <w:rFonts w:cs="Calibri"/>
                <w:szCs w:val="24"/>
              </w:rPr>
              <w:t xml:space="preserve"> by a vision that all teachers receive education regarding their pedagogical responsibility to promote the interaction, learning, participation and collaboration of all learners</w:t>
            </w:r>
          </w:p>
        </w:tc>
        <w:tc>
          <w:tcPr>
            <w:tcW w:w="3250" w:type="pct"/>
          </w:tcPr>
          <w:p w14:paraId="7B7C684B" w14:textId="0A9B6667" w:rsidR="003E289B" w:rsidRPr="0028439F" w:rsidRDefault="003E289B" w:rsidP="00E67B6B">
            <w:pPr>
              <w:pStyle w:val="Agency-body-text"/>
              <w:rPr>
                <w:rFonts w:cs="Calibri"/>
                <w:szCs w:val="24"/>
              </w:rPr>
            </w:pPr>
          </w:p>
        </w:tc>
      </w:tr>
    </w:tbl>
    <w:p w14:paraId="211867C5" w14:textId="17AC29AB" w:rsidR="00081384" w:rsidRPr="0028439F" w:rsidRDefault="00394A9F" w:rsidP="00A10C7E">
      <w:pPr>
        <w:pStyle w:val="Agency-heading-3"/>
      </w:pPr>
      <w:bookmarkStart w:id="21" w:name="_Toc26879748"/>
      <w:bookmarkEnd w:id="19"/>
      <w:bookmarkEnd w:id="20"/>
      <w:r w:rsidRPr="0028439F">
        <w:t>Evaluative comments for ‘Policy vision’</w:t>
      </w:r>
      <w:bookmarkEnd w:id="21"/>
    </w:p>
    <w:tbl>
      <w:tblPr>
        <w:tblStyle w:val="TableGrid"/>
        <w:tblW w:w="5000" w:type="pct"/>
        <w:tblLook w:val="04A0" w:firstRow="1" w:lastRow="0" w:firstColumn="1" w:lastColumn="0" w:noHBand="0" w:noVBand="1"/>
        <w:tblCaption w:val="Evaluative comments for ‘Policy vision’"/>
      </w:tblPr>
      <w:tblGrid>
        <w:gridCol w:w="14418"/>
      </w:tblGrid>
      <w:tr w:rsidR="00394A9F" w:rsidRPr="0028439F" w14:paraId="7EDA6BEF" w14:textId="77777777" w:rsidTr="00E67B6B">
        <w:tc>
          <w:tcPr>
            <w:tcW w:w="5000" w:type="pct"/>
          </w:tcPr>
          <w:p w14:paraId="5EBC74D1" w14:textId="77777777" w:rsidR="00394A9F" w:rsidRPr="0028439F" w:rsidRDefault="00394A9F" w:rsidP="000D5472">
            <w:pPr>
              <w:pStyle w:val="Agency-body-text"/>
            </w:pPr>
          </w:p>
        </w:tc>
      </w:tr>
    </w:tbl>
    <w:p w14:paraId="149C2E37" w14:textId="4730A799" w:rsidR="000D5472" w:rsidRPr="0028439F" w:rsidRDefault="00C22CE4" w:rsidP="00C22CE4">
      <w:pPr>
        <w:pStyle w:val="Agency-heading-2"/>
      </w:pPr>
      <w:bookmarkStart w:id="22" w:name="_Toc15387303"/>
      <w:bookmarkStart w:id="23" w:name="_Toc15387468"/>
      <w:bookmarkStart w:id="24" w:name="_Toc15387521"/>
      <w:bookmarkStart w:id="25" w:name="_Toc15387585"/>
      <w:bookmarkStart w:id="26" w:name="_Toc26879749"/>
      <w:bookmarkEnd w:id="22"/>
      <w:bookmarkEnd w:id="23"/>
      <w:bookmarkEnd w:id="24"/>
      <w:bookmarkEnd w:id="25"/>
      <w:r w:rsidRPr="0028439F">
        <w:t xml:space="preserve">2.2 </w:t>
      </w:r>
      <w:r w:rsidR="000D5472" w:rsidRPr="0028439F">
        <w:t>Main principles</w:t>
      </w:r>
      <w:bookmarkEnd w:id="26"/>
    </w:p>
    <w:p w14:paraId="681AB804" w14:textId="0FE6C3CE" w:rsidR="00C17BAB" w:rsidRPr="0028439F" w:rsidRDefault="00C17BAB" w:rsidP="00A10C7E">
      <w:pPr>
        <w:pStyle w:val="Agency-body-text"/>
        <w:keepNext/>
      </w:pPr>
      <w:r w:rsidRPr="0028439F">
        <w:t xml:space="preserve">The main principles underpinning policy for teacher professional learning </w:t>
      </w:r>
      <w:r w:rsidR="002A11D2" w:rsidRPr="0028439F">
        <w:t xml:space="preserve">for inclusion </w:t>
      </w:r>
      <w:r w:rsidRPr="0028439F">
        <w:t xml:space="preserve">are that all teachers (student teachers, beginning teachers, experienced teachers, teacher educators) receive appropriate education to understand and implement inclusive education. This means that the following </w:t>
      </w:r>
      <w:r w:rsidR="00F871C2" w:rsidRPr="0028439F">
        <w:t>policy priorities</w:t>
      </w:r>
      <w:r w:rsidRPr="0028439F">
        <w:t xml:space="preserve"> need to be addressed</w:t>
      </w:r>
      <w:r w:rsidR="009504FD" w:rsidRPr="0028439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licy priorities and findings for 'Main principles'"/>
      </w:tblPr>
      <w:tblGrid>
        <w:gridCol w:w="5046"/>
        <w:gridCol w:w="9372"/>
      </w:tblGrid>
      <w:tr w:rsidR="00B25B12" w:rsidRPr="0028439F" w14:paraId="3D918925" w14:textId="77777777" w:rsidTr="00E67B6B">
        <w:trPr>
          <w:tblHeader/>
        </w:trPr>
        <w:tc>
          <w:tcPr>
            <w:tcW w:w="1750" w:type="pct"/>
            <w:shd w:val="clear" w:color="auto" w:fill="F2F2F2" w:themeFill="background1" w:themeFillShade="F2"/>
          </w:tcPr>
          <w:p w14:paraId="07FE74DD" w14:textId="7E2DC3DB" w:rsidR="003E289B" w:rsidRPr="0028439F" w:rsidRDefault="003E289B" w:rsidP="00E67B6B">
            <w:pPr>
              <w:pStyle w:val="Agency-body-text"/>
              <w:keepNext/>
              <w:rPr>
                <w:rFonts w:cs="Calibri"/>
                <w:b/>
                <w:bCs/>
                <w:szCs w:val="24"/>
              </w:rPr>
            </w:pPr>
            <w:r w:rsidRPr="0028439F">
              <w:rPr>
                <w:rFonts w:cs="Calibri"/>
                <w:b/>
                <w:bCs/>
                <w:szCs w:val="24"/>
              </w:rPr>
              <w:t>Policy priorities</w:t>
            </w:r>
          </w:p>
        </w:tc>
        <w:tc>
          <w:tcPr>
            <w:tcW w:w="3250" w:type="pct"/>
            <w:shd w:val="clear" w:color="auto" w:fill="F2F2F2" w:themeFill="background1" w:themeFillShade="F2"/>
          </w:tcPr>
          <w:p w14:paraId="47D5E9FF" w14:textId="7AADE890" w:rsidR="003E289B" w:rsidRPr="0028439F" w:rsidRDefault="003E289B" w:rsidP="00E67B6B">
            <w:pPr>
              <w:pStyle w:val="Agency-body-text"/>
              <w:keepNext/>
              <w:rPr>
                <w:rFonts w:cs="Calibri"/>
                <w:b/>
                <w:bCs/>
                <w:szCs w:val="24"/>
              </w:rPr>
            </w:pPr>
            <w:r w:rsidRPr="0028439F">
              <w:rPr>
                <w:rFonts w:cs="Calibri"/>
                <w:b/>
                <w:bCs/>
                <w:szCs w:val="24"/>
              </w:rPr>
              <w:t>Findings</w:t>
            </w:r>
          </w:p>
        </w:tc>
      </w:tr>
      <w:tr w:rsidR="003E289B" w:rsidRPr="0028439F" w14:paraId="3BC78E71" w14:textId="42B0D5D2" w:rsidTr="00E67B6B">
        <w:tc>
          <w:tcPr>
            <w:tcW w:w="1750" w:type="pct"/>
            <w:shd w:val="clear" w:color="auto" w:fill="auto"/>
          </w:tcPr>
          <w:p w14:paraId="7D04CA08" w14:textId="0313554D" w:rsidR="003E289B" w:rsidRPr="0028439F" w:rsidRDefault="003E289B" w:rsidP="002C4AA8">
            <w:pPr>
              <w:pStyle w:val="Agency-body-text"/>
              <w:numPr>
                <w:ilvl w:val="2"/>
                <w:numId w:val="17"/>
              </w:numPr>
              <w:rPr>
                <w:rFonts w:cs="Calibri"/>
                <w:szCs w:val="24"/>
              </w:rPr>
            </w:pPr>
            <w:r w:rsidRPr="0028439F">
              <w:rPr>
                <w:rFonts w:cs="Calibri"/>
                <w:szCs w:val="24"/>
              </w:rPr>
              <w:t>Teacher professional learning is defined in policy as a prerequisite for inclusive education</w:t>
            </w:r>
          </w:p>
        </w:tc>
        <w:tc>
          <w:tcPr>
            <w:tcW w:w="3250" w:type="pct"/>
          </w:tcPr>
          <w:p w14:paraId="6BCE6AD0" w14:textId="01990497" w:rsidR="003E289B" w:rsidRPr="0028439F" w:rsidRDefault="003E289B" w:rsidP="00117ED3">
            <w:pPr>
              <w:pStyle w:val="Agency-body-text"/>
              <w:rPr>
                <w:rFonts w:cs="Calibri"/>
                <w:szCs w:val="24"/>
              </w:rPr>
            </w:pPr>
          </w:p>
        </w:tc>
      </w:tr>
      <w:tr w:rsidR="003E289B" w:rsidRPr="0028439F" w14:paraId="140D3B55" w14:textId="468C9039" w:rsidTr="00E67B6B">
        <w:tc>
          <w:tcPr>
            <w:tcW w:w="1750" w:type="pct"/>
            <w:shd w:val="clear" w:color="auto" w:fill="auto"/>
          </w:tcPr>
          <w:p w14:paraId="71B05080" w14:textId="7E34C661" w:rsidR="003E289B" w:rsidRPr="0028439F" w:rsidRDefault="003E289B" w:rsidP="00C82651">
            <w:pPr>
              <w:pStyle w:val="Agency-body-text"/>
              <w:numPr>
                <w:ilvl w:val="2"/>
                <w:numId w:val="17"/>
              </w:numPr>
              <w:rPr>
                <w:rFonts w:cs="Calibri"/>
                <w:szCs w:val="24"/>
              </w:rPr>
            </w:pPr>
            <w:r w:rsidRPr="0028439F">
              <w:rPr>
                <w:rFonts w:cs="Calibri"/>
                <w:szCs w:val="24"/>
              </w:rPr>
              <w:t>Policy states that the principles and practice of inclusive education should be part of initial teacher education</w:t>
            </w:r>
          </w:p>
        </w:tc>
        <w:tc>
          <w:tcPr>
            <w:tcW w:w="3250" w:type="pct"/>
          </w:tcPr>
          <w:p w14:paraId="5E8C1206" w14:textId="691AC696" w:rsidR="003E289B" w:rsidRPr="0028439F" w:rsidRDefault="003E289B" w:rsidP="00E97C8C">
            <w:pPr>
              <w:pStyle w:val="Agency-body-text"/>
              <w:rPr>
                <w:rFonts w:cs="Calibri"/>
                <w:szCs w:val="24"/>
              </w:rPr>
            </w:pPr>
          </w:p>
        </w:tc>
      </w:tr>
      <w:tr w:rsidR="003E289B" w:rsidRPr="0028439F" w14:paraId="4576CEDD" w14:textId="11444932" w:rsidTr="00E67B6B">
        <w:tc>
          <w:tcPr>
            <w:tcW w:w="1750" w:type="pct"/>
            <w:shd w:val="clear" w:color="auto" w:fill="auto"/>
          </w:tcPr>
          <w:p w14:paraId="5AA9F708" w14:textId="49AB7019" w:rsidR="003E289B" w:rsidRPr="0028439F" w:rsidRDefault="003E289B" w:rsidP="00A10C7E">
            <w:pPr>
              <w:pStyle w:val="Agency-body-text"/>
              <w:numPr>
                <w:ilvl w:val="2"/>
                <w:numId w:val="17"/>
              </w:numPr>
              <w:ind w:left="738" w:hanging="738"/>
              <w:rPr>
                <w:rFonts w:cs="Calibri"/>
                <w:szCs w:val="24"/>
              </w:rPr>
            </w:pPr>
            <w:r w:rsidRPr="0028439F">
              <w:rPr>
                <w:rFonts w:cs="Calibri"/>
                <w:szCs w:val="24"/>
              </w:rPr>
              <w:lastRenderedPageBreak/>
              <w:t>Policy states that beginning teachers should receive appropriate education and support to enable them to acquire the knowledge, attitudes and skills for inclusive education</w:t>
            </w:r>
          </w:p>
        </w:tc>
        <w:tc>
          <w:tcPr>
            <w:tcW w:w="3250" w:type="pct"/>
          </w:tcPr>
          <w:p w14:paraId="6BBA55B7" w14:textId="3D188055" w:rsidR="003E289B" w:rsidRPr="0028439F" w:rsidRDefault="003E289B" w:rsidP="00C877B7">
            <w:pPr>
              <w:pStyle w:val="Agency-body-text"/>
              <w:rPr>
                <w:rFonts w:cs="Calibri"/>
                <w:szCs w:val="24"/>
              </w:rPr>
            </w:pPr>
          </w:p>
        </w:tc>
      </w:tr>
      <w:tr w:rsidR="003E289B" w:rsidRPr="0028439F" w14:paraId="4031B074" w14:textId="0B076E6E" w:rsidTr="00E67B6B">
        <w:tc>
          <w:tcPr>
            <w:tcW w:w="1750" w:type="pct"/>
            <w:shd w:val="clear" w:color="auto" w:fill="auto"/>
          </w:tcPr>
          <w:p w14:paraId="79EACFC5" w14:textId="50F84879" w:rsidR="003E289B" w:rsidRPr="0028439F" w:rsidRDefault="003E289B" w:rsidP="00334AB4">
            <w:pPr>
              <w:pStyle w:val="Agency-body-text"/>
              <w:numPr>
                <w:ilvl w:val="2"/>
                <w:numId w:val="17"/>
              </w:numPr>
              <w:ind w:left="738" w:hanging="738"/>
              <w:rPr>
                <w:rFonts w:cs="Calibri"/>
                <w:szCs w:val="24"/>
              </w:rPr>
            </w:pPr>
            <w:r w:rsidRPr="0028439F">
              <w:rPr>
                <w:rFonts w:cs="Calibri"/>
                <w:szCs w:val="24"/>
              </w:rPr>
              <w:t>Policy ensures that experienced teachers receive appropriate education and support to enable them to acquire the knowledge, attitudes and skills for inclusive education</w:t>
            </w:r>
          </w:p>
        </w:tc>
        <w:tc>
          <w:tcPr>
            <w:tcW w:w="3250" w:type="pct"/>
          </w:tcPr>
          <w:p w14:paraId="0D7CFB87" w14:textId="2C80F179" w:rsidR="003E289B" w:rsidRPr="0028439F" w:rsidRDefault="003E289B" w:rsidP="00E97C8C">
            <w:pPr>
              <w:pStyle w:val="Agency-body-text"/>
              <w:rPr>
                <w:rFonts w:cs="Calibri"/>
                <w:szCs w:val="24"/>
              </w:rPr>
            </w:pPr>
          </w:p>
        </w:tc>
      </w:tr>
      <w:tr w:rsidR="003E289B" w:rsidRPr="0028439F" w14:paraId="55BB26AF" w14:textId="16F12C40" w:rsidTr="00E67B6B">
        <w:tc>
          <w:tcPr>
            <w:tcW w:w="1750" w:type="pct"/>
            <w:shd w:val="clear" w:color="auto" w:fill="auto"/>
          </w:tcPr>
          <w:p w14:paraId="4D4B1D98" w14:textId="7AB926FD" w:rsidR="003E289B" w:rsidRPr="0028439F" w:rsidRDefault="003E289B" w:rsidP="00334AB4">
            <w:pPr>
              <w:pStyle w:val="Agency-body-text"/>
              <w:numPr>
                <w:ilvl w:val="2"/>
                <w:numId w:val="17"/>
              </w:numPr>
              <w:ind w:left="738" w:hanging="738"/>
              <w:rPr>
                <w:rFonts w:cs="Calibri"/>
                <w:szCs w:val="24"/>
                <w:lang w:eastAsia="fr-BE" w:bidi="x-none"/>
              </w:rPr>
            </w:pPr>
            <w:r w:rsidRPr="0028439F">
              <w:rPr>
                <w:rFonts w:cs="Calibri"/>
                <w:szCs w:val="24"/>
              </w:rPr>
              <w:t xml:space="preserve">Policy states </w:t>
            </w:r>
            <w:r w:rsidRPr="0028439F">
              <w:rPr>
                <w:rFonts w:cs="Calibri"/>
                <w:szCs w:val="24"/>
                <w:lang w:eastAsia="fr-BE" w:bidi="x-none"/>
              </w:rPr>
              <w:t xml:space="preserve">that specialist teachers and other professionals (e.g. speech and language therapists, multilingual education teachers and other professionals who work in schools) </w:t>
            </w:r>
            <w:r w:rsidRPr="0028439F">
              <w:rPr>
                <w:rFonts w:cs="Calibri"/>
                <w:szCs w:val="24"/>
              </w:rPr>
              <w:t>receive appropriate education and support to enable them to acquire the knowledge, attitudes and skills for inclusive education</w:t>
            </w:r>
          </w:p>
        </w:tc>
        <w:tc>
          <w:tcPr>
            <w:tcW w:w="3250" w:type="pct"/>
          </w:tcPr>
          <w:p w14:paraId="74F2ED98" w14:textId="69BC6C79" w:rsidR="003E289B" w:rsidRPr="0028439F" w:rsidRDefault="003E289B" w:rsidP="001A5AE7">
            <w:pPr>
              <w:pStyle w:val="Agency-body-text"/>
              <w:rPr>
                <w:rFonts w:cs="Calibri"/>
                <w:szCs w:val="24"/>
                <w:lang w:eastAsia="fr-BE" w:bidi="x-none"/>
              </w:rPr>
            </w:pPr>
          </w:p>
        </w:tc>
      </w:tr>
      <w:tr w:rsidR="003E289B" w:rsidRPr="0028439F" w14:paraId="05A3ACC6" w14:textId="26E289AC" w:rsidTr="00E67B6B">
        <w:tc>
          <w:tcPr>
            <w:tcW w:w="1750" w:type="pct"/>
            <w:shd w:val="clear" w:color="auto" w:fill="auto"/>
          </w:tcPr>
          <w:p w14:paraId="1DA60893" w14:textId="36E2AE43" w:rsidR="003E289B" w:rsidRPr="0028439F" w:rsidRDefault="003E289B" w:rsidP="00E67B6B">
            <w:pPr>
              <w:pStyle w:val="Agency-body-text"/>
              <w:keepLines/>
              <w:numPr>
                <w:ilvl w:val="2"/>
                <w:numId w:val="17"/>
              </w:numPr>
              <w:ind w:left="737" w:hanging="737"/>
              <w:rPr>
                <w:rFonts w:cs="Calibri"/>
                <w:szCs w:val="24"/>
                <w:lang w:eastAsia="fr-BE" w:bidi="x-none"/>
              </w:rPr>
            </w:pPr>
            <w:r w:rsidRPr="0028439F">
              <w:rPr>
                <w:rFonts w:cs="Calibri"/>
                <w:szCs w:val="24"/>
              </w:rPr>
              <w:lastRenderedPageBreak/>
              <w:t xml:space="preserve">Policy states </w:t>
            </w:r>
            <w:r w:rsidRPr="0028439F">
              <w:rPr>
                <w:rFonts w:cs="Calibri"/>
                <w:szCs w:val="24"/>
                <w:lang w:eastAsia="fr-BE" w:bidi="x-none"/>
              </w:rPr>
              <w:t xml:space="preserve">that teacher educators working in university education departments or pedagogical institutes </w:t>
            </w:r>
            <w:r w:rsidRPr="0028439F">
              <w:rPr>
                <w:rFonts w:cs="Calibri"/>
                <w:szCs w:val="24"/>
              </w:rPr>
              <w:t>should be trained and committed to the inclusive education agenda in their courses, as understood in the United Nations Convention on the Rights of Persons with Disabilities and the European Disability Strategy</w:t>
            </w:r>
          </w:p>
        </w:tc>
        <w:tc>
          <w:tcPr>
            <w:tcW w:w="3250" w:type="pct"/>
          </w:tcPr>
          <w:p w14:paraId="2C285D9A" w14:textId="7C9A3CAA" w:rsidR="003E289B" w:rsidRPr="0028439F" w:rsidRDefault="003E289B" w:rsidP="001A5AE7">
            <w:pPr>
              <w:pStyle w:val="Agency-body-text"/>
              <w:rPr>
                <w:rFonts w:cs="Calibri"/>
                <w:szCs w:val="24"/>
                <w:lang w:eastAsia="fr-BE" w:bidi="x-none"/>
              </w:rPr>
            </w:pPr>
          </w:p>
        </w:tc>
      </w:tr>
    </w:tbl>
    <w:p w14:paraId="76F08CD5" w14:textId="31441C6E" w:rsidR="00450C62" w:rsidRPr="0028439F" w:rsidRDefault="00450C62" w:rsidP="00334AB4">
      <w:pPr>
        <w:pStyle w:val="Agency-heading-3"/>
      </w:pPr>
      <w:bookmarkStart w:id="27" w:name="_Toc26879750"/>
      <w:r w:rsidRPr="0028439F">
        <w:t>Evaluative comments for ‘Main principles’</w:t>
      </w:r>
      <w:bookmarkEnd w:id="27"/>
    </w:p>
    <w:tbl>
      <w:tblPr>
        <w:tblStyle w:val="TableGrid"/>
        <w:tblW w:w="5000" w:type="pct"/>
        <w:tblLook w:val="04A0" w:firstRow="1" w:lastRow="0" w:firstColumn="1" w:lastColumn="0" w:noHBand="0" w:noVBand="1"/>
        <w:tblCaption w:val="Evaluative comments for ‘Main principles’"/>
      </w:tblPr>
      <w:tblGrid>
        <w:gridCol w:w="14418"/>
      </w:tblGrid>
      <w:tr w:rsidR="00450C62" w:rsidRPr="0028439F" w14:paraId="123A6032" w14:textId="77777777" w:rsidTr="00E67B6B">
        <w:tc>
          <w:tcPr>
            <w:tcW w:w="5000" w:type="pct"/>
          </w:tcPr>
          <w:p w14:paraId="0557BEAB" w14:textId="77777777" w:rsidR="00450C62" w:rsidRPr="0028439F" w:rsidRDefault="00450C62" w:rsidP="009F6EE9">
            <w:pPr>
              <w:pStyle w:val="Agency-body-text"/>
            </w:pPr>
          </w:p>
        </w:tc>
      </w:tr>
    </w:tbl>
    <w:p w14:paraId="368676EF" w14:textId="77777777" w:rsidR="00061AD7" w:rsidRPr="0028439F" w:rsidRDefault="00061AD7" w:rsidP="005978D6">
      <w:pPr>
        <w:pStyle w:val="Agency-body-text"/>
        <w:rPr>
          <w:rFonts w:eastAsiaTheme="majorEastAsia"/>
        </w:rPr>
      </w:pPr>
      <w:r w:rsidRPr="0028439F">
        <w:rPr>
          <w:rFonts w:eastAsiaTheme="majorEastAsia"/>
        </w:rPr>
        <w:br w:type="page"/>
      </w:r>
    </w:p>
    <w:p w14:paraId="1FDCEEA1" w14:textId="007409C7" w:rsidR="00AD13C1" w:rsidRPr="0028439F" w:rsidRDefault="4B1B1259" w:rsidP="00950114">
      <w:pPr>
        <w:pStyle w:val="Agency-heading-1"/>
        <w:rPr>
          <w:rFonts w:eastAsiaTheme="majorEastAsia"/>
        </w:rPr>
      </w:pPr>
      <w:bookmarkStart w:id="28" w:name="_Toc26879751"/>
      <w:r w:rsidRPr="0028439F">
        <w:rPr>
          <w:rFonts w:eastAsiaTheme="majorEastAsia"/>
        </w:rPr>
        <w:lastRenderedPageBreak/>
        <w:t>Section </w:t>
      </w:r>
      <w:r w:rsidR="00BF0509" w:rsidRPr="0028439F">
        <w:rPr>
          <w:rFonts w:eastAsiaTheme="majorEastAsia"/>
        </w:rPr>
        <w:t>3</w:t>
      </w:r>
      <w:r w:rsidRPr="0028439F">
        <w:rPr>
          <w:rFonts w:eastAsiaTheme="majorEastAsia"/>
        </w:rPr>
        <w:t xml:space="preserve">: </w:t>
      </w:r>
      <w:r w:rsidR="00C3592E" w:rsidRPr="0028439F">
        <w:rPr>
          <w:rFonts w:eastAsiaTheme="majorEastAsia"/>
        </w:rPr>
        <w:t xml:space="preserve">Goals </w:t>
      </w:r>
      <w:r w:rsidRPr="0028439F">
        <w:rPr>
          <w:rFonts w:eastAsiaTheme="majorEastAsia"/>
        </w:rPr>
        <w:t xml:space="preserve">and continuum of support </w:t>
      </w:r>
      <w:r w:rsidR="00C3592E" w:rsidRPr="0028439F">
        <w:rPr>
          <w:rFonts w:eastAsiaTheme="majorEastAsia"/>
        </w:rPr>
        <w:t>for TPL4I</w:t>
      </w:r>
      <w:r w:rsidRPr="0028439F">
        <w:rPr>
          <w:rFonts w:eastAsiaTheme="majorEastAsia"/>
        </w:rPr>
        <w:t xml:space="preserve"> </w:t>
      </w:r>
      <w:r w:rsidR="00184D4B" w:rsidRPr="0028439F">
        <w:rPr>
          <w:rFonts w:eastAsiaTheme="majorEastAsia"/>
        </w:rPr>
        <w:t>policy</w:t>
      </w:r>
      <w:bookmarkEnd w:id="28"/>
    </w:p>
    <w:p w14:paraId="7EA7CF69" w14:textId="0D2B0D4B" w:rsidR="00950114" w:rsidRPr="0028439F" w:rsidRDefault="00C22CE4" w:rsidP="003A1CC1">
      <w:pPr>
        <w:pStyle w:val="Agency-heading-2"/>
        <w:rPr>
          <w:rFonts w:eastAsiaTheme="majorEastAsia"/>
        </w:rPr>
      </w:pPr>
      <w:bookmarkStart w:id="29" w:name="_Toc26879752"/>
      <w:r w:rsidRPr="0028439F">
        <w:rPr>
          <w:rFonts w:eastAsiaTheme="majorEastAsia"/>
        </w:rPr>
        <w:t xml:space="preserve">3.1 </w:t>
      </w:r>
      <w:r w:rsidR="00950114" w:rsidRPr="0028439F">
        <w:rPr>
          <w:rFonts w:eastAsiaTheme="majorEastAsia"/>
        </w:rPr>
        <w:t>Goals</w:t>
      </w:r>
      <w:bookmarkEnd w:id="29"/>
    </w:p>
    <w:p w14:paraId="63939BD7" w14:textId="08EDC83F" w:rsidR="00C17BAB" w:rsidRPr="0028439F" w:rsidRDefault="4B1B1259" w:rsidP="00334AB4">
      <w:pPr>
        <w:pStyle w:val="Agency-body-text"/>
        <w:keepNext/>
        <w:rPr>
          <w:rFonts w:eastAsiaTheme="majorEastAsia"/>
        </w:rPr>
      </w:pPr>
      <w:r w:rsidRPr="0028439F">
        <w:rPr>
          <w:rFonts w:eastAsiaTheme="majorEastAsia"/>
        </w:rPr>
        <w:t xml:space="preserve">Policy </w:t>
      </w:r>
      <w:r w:rsidR="00C3592E" w:rsidRPr="0028439F">
        <w:rPr>
          <w:rFonts w:eastAsiaTheme="majorEastAsia"/>
        </w:rPr>
        <w:t>must</w:t>
      </w:r>
      <w:r w:rsidRPr="0028439F">
        <w:rPr>
          <w:rFonts w:eastAsiaTheme="majorEastAsia"/>
        </w:rPr>
        <w:t xml:space="preserve"> state the goals of teacher professional learning for inclusion to ensure it covers a range of issues (such as competence development, pedagogies for inclusion, dialogue about inclusion, etc.) that contribute </w:t>
      </w:r>
      <w:r w:rsidR="00EC7260" w:rsidRPr="0028439F">
        <w:rPr>
          <w:rFonts w:eastAsiaTheme="majorEastAsia"/>
        </w:rPr>
        <w:t xml:space="preserve">to </w:t>
      </w:r>
      <w:r w:rsidRPr="0028439F">
        <w:rPr>
          <w:rFonts w:eastAsiaTheme="majorEastAsia"/>
        </w:rPr>
        <w:t xml:space="preserve">understanding and implementing inclusive education. This means that the following </w:t>
      </w:r>
      <w:r w:rsidR="00746D15" w:rsidRPr="0028439F">
        <w:rPr>
          <w:rFonts w:eastAsiaTheme="majorEastAsia"/>
        </w:rPr>
        <w:t>policy priorities</w:t>
      </w:r>
      <w:r w:rsidRPr="0028439F">
        <w:rPr>
          <w:rFonts w:eastAsiaTheme="majorEastAsia"/>
        </w:rPr>
        <w:t xml:space="preserve"> need to be addressed</w:t>
      </w:r>
      <w:r w:rsidR="00EC7260" w:rsidRPr="0028439F">
        <w:rPr>
          <w:rFonts w:eastAsiaTheme="major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licy priorities and findings for 'Goals'"/>
      </w:tblPr>
      <w:tblGrid>
        <w:gridCol w:w="5046"/>
        <w:gridCol w:w="9372"/>
      </w:tblGrid>
      <w:tr w:rsidR="00B25B12" w:rsidRPr="0028439F" w14:paraId="45B0878C" w14:textId="77777777" w:rsidTr="00842CA9">
        <w:trPr>
          <w:tblHeader/>
        </w:trPr>
        <w:tc>
          <w:tcPr>
            <w:tcW w:w="1750" w:type="pct"/>
            <w:shd w:val="clear" w:color="auto" w:fill="F2F2F2" w:themeFill="background1" w:themeFillShade="F2"/>
          </w:tcPr>
          <w:p w14:paraId="7E0861A1" w14:textId="09732DB5" w:rsidR="003E289B" w:rsidRPr="0028439F" w:rsidRDefault="003E289B" w:rsidP="00842CA9">
            <w:pPr>
              <w:pStyle w:val="Agency-body-text"/>
              <w:keepNext/>
              <w:rPr>
                <w:rFonts w:asciiTheme="majorHAnsi" w:eastAsiaTheme="majorEastAsia" w:hAnsiTheme="majorHAnsi" w:cstheme="majorBidi"/>
                <w:b/>
                <w:bCs/>
                <w:szCs w:val="24"/>
              </w:rPr>
            </w:pPr>
            <w:bookmarkStart w:id="30" w:name="_Hlk14168330"/>
            <w:r w:rsidRPr="0028439F">
              <w:rPr>
                <w:rFonts w:cs="Calibri"/>
                <w:b/>
                <w:bCs/>
                <w:szCs w:val="24"/>
              </w:rPr>
              <w:t>Policy priorities</w:t>
            </w:r>
          </w:p>
        </w:tc>
        <w:tc>
          <w:tcPr>
            <w:tcW w:w="3250" w:type="pct"/>
            <w:shd w:val="clear" w:color="auto" w:fill="F2F2F2" w:themeFill="background1" w:themeFillShade="F2"/>
          </w:tcPr>
          <w:p w14:paraId="229655AD" w14:textId="7CBFE5F4" w:rsidR="003E289B" w:rsidRPr="0028439F" w:rsidRDefault="003E289B" w:rsidP="00842CA9">
            <w:pPr>
              <w:pStyle w:val="Agency-body-text"/>
              <w:keepNext/>
              <w:rPr>
                <w:rFonts w:asciiTheme="majorHAnsi" w:eastAsiaTheme="majorEastAsia" w:hAnsiTheme="majorHAnsi" w:cstheme="majorBidi"/>
                <w:b/>
                <w:bCs/>
                <w:szCs w:val="24"/>
              </w:rPr>
            </w:pPr>
            <w:r w:rsidRPr="0028439F">
              <w:rPr>
                <w:rFonts w:eastAsiaTheme="majorEastAsia" w:cstheme="majorBidi"/>
                <w:b/>
                <w:bCs/>
                <w:szCs w:val="24"/>
              </w:rPr>
              <w:t>Findings</w:t>
            </w:r>
          </w:p>
        </w:tc>
      </w:tr>
      <w:tr w:rsidR="003E289B" w:rsidRPr="0028439F" w14:paraId="0D5AAB5C" w14:textId="45DDCD7D"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7F056759" w14:textId="15964115" w:rsidR="003E289B" w:rsidRPr="0028439F" w:rsidRDefault="003E289B" w:rsidP="00F40C70">
            <w:pPr>
              <w:pStyle w:val="Agency-body-text"/>
              <w:numPr>
                <w:ilvl w:val="2"/>
                <w:numId w:val="20"/>
              </w:numPr>
              <w:spacing w:before="100" w:after="100"/>
              <w:rPr>
                <w:rFonts w:cs="Calibri"/>
              </w:rPr>
            </w:pPr>
            <w:r w:rsidRPr="0028439F">
              <w:rPr>
                <w:rFonts w:asciiTheme="majorHAnsi" w:eastAsiaTheme="majorEastAsia" w:hAnsiTheme="majorHAnsi" w:cstheme="majorBidi"/>
                <w:szCs w:val="24"/>
              </w:rPr>
              <w:t>Policy states that all teachers should have qualifications that reflect an inclusive education agenda</w:t>
            </w:r>
          </w:p>
        </w:tc>
        <w:tc>
          <w:tcPr>
            <w:tcW w:w="3250" w:type="pct"/>
            <w:tcBorders>
              <w:top w:val="single" w:sz="4" w:space="0" w:color="auto"/>
              <w:left w:val="single" w:sz="4" w:space="0" w:color="auto"/>
              <w:bottom w:val="single" w:sz="4" w:space="0" w:color="auto"/>
              <w:right w:val="single" w:sz="4" w:space="0" w:color="auto"/>
            </w:tcBorders>
          </w:tcPr>
          <w:p w14:paraId="4241D7CD" w14:textId="20DF4EF8" w:rsidR="003E289B" w:rsidRPr="0028439F" w:rsidRDefault="003E289B" w:rsidP="00F40C70">
            <w:pPr>
              <w:pStyle w:val="Agency-body-text"/>
              <w:spacing w:before="100" w:after="100"/>
              <w:rPr>
                <w:rFonts w:asciiTheme="majorHAnsi" w:eastAsiaTheme="majorEastAsia" w:hAnsiTheme="majorHAnsi" w:cstheme="majorBidi"/>
                <w:szCs w:val="24"/>
              </w:rPr>
            </w:pPr>
          </w:p>
        </w:tc>
      </w:tr>
      <w:tr w:rsidR="003E289B" w:rsidRPr="0028439F" w14:paraId="323DB987" w14:textId="50A1A00C"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0E1AB927" w14:textId="2D52D9FC" w:rsidR="003E289B" w:rsidRPr="0028439F" w:rsidRDefault="003E289B" w:rsidP="00F40C70">
            <w:pPr>
              <w:pStyle w:val="Agency-body-text"/>
              <w:numPr>
                <w:ilvl w:val="2"/>
                <w:numId w:val="20"/>
              </w:numPr>
              <w:spacing w:before="100" w:after="100"/>
              <w:rPr>
                <w:rFonts w:cs="Calibri"/>
              </w:rPr>
            </w:pPr>
            <w:r w:rsidRPr="0028439F">
              <w:rPr>
                <w:rFonts w:asciiTheme="majorHAnsi" w:eastAsiaTheme="majorEastAsia" w:hAnsiTheme="majorHAnsi" w:cstheme="majorBidi"/>
                <w:szCs w:val="24"/>
              </w:rPr>
              <w:t xml:space="preserve">Policy states </w:t>
            </w:r>
            <w:r w:rsidRPr="0028439F">
              <w:t>competence areas for inclusive education for all teachers working at different levels of education</w:t>
            </w:r>
            <w:r w:rsidRPr="0028439F">
              <w:rPr>
                <w:rFonts w:cs="Calibri"/>
              </w:rPr>
              <w:t xml:space="preserve"> (e.g. professional development of all teachers to facilitate their involvement in co</w:t>
            </w:r>
            <w:r w:rsidRPr="0028439F">
              <w:rPr>
                <w:rFonts w:cs="Calibri"/>
              </w:rPr>
              <w:noBreakHyphen/>
              <w:t>teaching, planning together, developing differentiated materials collaboratively, etc.)</w:t>
            </w:r>
          </w:p>
        </w:tc>
        <w:tc>
          <w:tcPr>
            <w:tcW w:w="3250" w:type="pct"/>
            <w:tcBorders>
              <w:top w:val="single" w:sz="4" w:space="0" w:color="auto"/>
              <w:left w:val="single" w:sz="4" w:space="0" w:color="auto"/>
              <w:bottom w:val="single" w:sz="4" w:space="0" w:color="auto"/>
              <w:right w:val="single" w:sz="4" w:space="0" w:color="auto"/>
            </w:tcBorders>
          </w:tcPr>
          <w:p w14:paraId="6D9B518E" w14:textId="77777777" w:rsidR="003E289B" w:rsidRPr="0028439F" w:rsidRDefault="003E289B" w:rsidP="00F40C70">
            <w:pPr>
              <w:pStyle w:val="Agency-body-text"/>
              <w:spacing w:before="100" w:after="100"/>
            </w:pPr>
          </w:p>
        </w:tc>
      </w:tr>
      <w:bookmarkEnd w:id="30"/>
      <w:tr w:rsidR="003E289B" w:rsidRPr="0028439F" w14:paraId="486D3C60" w14:textId="45DD5D95"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036266E" w14:textId="77699C53" w:rsidR="003E289B" w:rsidRPr="0028439F" w:rsidRDefault="003E289B" w:rsidP="00F40C70">
            <w:pPr>
              <w:pStyle w:val="Agency-body-text"/>
              <w:numPr>
                <w:ilvl w:val="2"/>
                <w:numId w:val="20"/>
              </w:numPr>
              <w:spacing w:before="100" w:after="100"/>
              <w:rPr>
                <w:rFonts w:cs="Calibri"/>
              </w:rPr>
            </w:pPr>
            <w:r w:rsidRPr="0028439F">
              <w:rPr>
                <w:rFonts w:asciiTheme="majorHAnsi" w:eastAsiaTheme="majorEastAsia" w:hAnsiTheme="majorHAnsi" w:cstheme="majorBidi"/>
                <w:szCs w:val="24"/>
              </w:rPr>
              <w:t xml:space="preserve">Policy states </w:t>
            </w:r>
            <w:r w:rsidRPr="0028439F">
              <w:rPr>
                <w:rFonts w:cs="Calibri"/>
              </w:rPr>
              <w:t>that all teacher professional learning opportunities consider teacher competences for inclusive education</w:t>
            </w:r>
          </w:p>
        </w:tc>
        <w:tc>
          <w:tcPr>
            <w:tcW w:w="3250" w:type="pct"/>
            <w:tcBorders>
              <w:top w:val="single" w:sz="4" w:space="0" w:color="auto"/>
              <w:left w:val="single" w:sz="4" w:space="0" w:color="auto"/>
              <w:bottom w:val="single" w:sz="4" w:space="0" w:color="auto"/>
              <w:right w:val="single" w:sz="4" w:space="0" w:color="auto"/>
            </w:tcBorders>
          </w:tcPr>
          <w:p w14:paraId="1E1B5E97" w14:textId="1166A955" w:rsidR="003E289B" w:rsidRPr="0028439F" w:rsidRDefault="003E289B" w:rsidP="00F40C70">
            <w:pPr>
              <w:pStyle w:val="Agency-body-text"/>
              <w:spacing w:before="100" w:after="100"/>
            </w:pPr>
          </w:p>
        </w:tc>
      </w:tr>
      <w:tr w:rsidR="003E289B" w:rsidRPr="0028439F" w14:paraId="302C0253" w14:textId="398E604A"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7DE408A1" w14:textId="5AA7E07A" w:rsidR="003E289B" w:rsidRPr="0028439F" w:rsidRDefault="003E289B" w:rsidP="00351A94">
            <w:pPr>
              <w:pStyle w:val="Agency-body-text"/>
              <w:keepLines/>
              <w:numPr>
                <w:ilvl w:val="2"/>
                <w:numId w:val="20"/>
              </w:numPr>
              <w:spacing w:before="100" w:after="100"/>
              <w:rPr>
                <w:rFonts w:cs="Calibri"/>
              </w:rPr>
            </w:pPr>
            <w:r w:rsidRPr="0028439F">
              <w:rPr>
                <w:rFonts w:cs="Calibri"/>
              </w:rPr>
              <w:lastRenderedPageBreak/>
              <w:t>There is a formal strategy for promoting dialogue between ministries, regional/local authorities/municipalities and teacher educators to agree on the requirements of teacher professional development opportunities for inclusion</w:t>
            </w:r>
          </w:p>
        </w:tc>
        <w:tc>
          <w:tcPr>
            <w:tcW w:w="3250" w:type="pct"/>
            <w:tcBorders>
              <w:top w:val="single" w:sz="4" w:space="0" w:color="auto"/>
              <w:left w:val="single" w:sz="4" w:space="0" w:color="auto"/>
              <w:bottom w:val="single" w:sz="4" w:space="0" w:color="auto"/>
              <w:right w:val="single" w:sz="4" w:space="0" w:color="auto"/>
            </w:tcBorders>
          </w:tcPr>
          <w:p w14:paraId="2E538C34" w14:textId="77777777" w:rsidR="003E289B" w:rsidRPr="0028439F" w:rsidRDefault="003E289B" w:rsidP="00F40C70">
            <w:pPr>
              <w:pStyle w:val="Agency-body-text"/>
              <w:spacing w:before="100" w:after="100"/>
              <w:rPr>
                <w:rFonts w:cs="Calibri"/>
              </w:rPr>
            </w:pPr>
          </w:p>
        </w:tc>
      </w:tr>
      <w:tr w:rsidR="003E289B" w:rsidRPr="0028439F" w14:paraId="3131253E" w14:textId="7C15690E"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7427AD52" w14:textId="77B666CC" w:rsidR="003E289B" w:rsidRPr="0028439F" w:rsidRDefault="003E289B" w:rsidP="00F40C70">
            <w:pPr>
              <w:pStyle w:val="Agency-body-text"/>
              <w:numPr>
                <w:ilvl w:val="2"/>
                <w:numId w:val="20"/>
              </w:numPr>
              <w:spacing w:before="100" w:after="100"/>
              <w:rPr>
                <w:rFonts w:cs="Calibri"/>
              </w:rPr>
            </w:pPr>
            <w:r w:rsidRPr="0028439F">
              <w:rPr>
                <w:rFonts w:cs="Calibri"/>
              </w:rPr>
              <w:t>There is a mechanism to ensure that all professional learning opportunities available to teachers are aligned with national- and local-level policy goals for an understanding of inclusive education</w:t>
            </w:r>
          </w:p>
        </w:tc>
        <w:tc>
          <w:tcPr>
            <w:tcW w:w="3250" w:type="pct"/>
            <w:tcBorders>
              <w:top w:val="single" w:sz="4" w:space="0" w:color="auto"/>
              <w:left w:val="single" w:sz="4" w:space="0" w:color="auto"/>
              <w:bottom w:val="single" w:sz="4" w:space="0" w:color="auto"/>
              <w:right w:val="single" w:sz="4" w:space="0" w:color="auto"/>
            </w:tcBorders>
          </w:tcPr>
          <w:p w14:paraId="27B41B3D" w14:textId="77777777" w:rsidR="003E289B" w:rsidRPr="0028439F" w:rsidRDefault="003E289B" w:rsidP="00F40C70">
            <w:pPr>
              <w:pStyle w:val="Agency-body-text"/>
              <w:spacing w:before="100" w:after="100"/>
              <w:rPr>
                <w:rFonts w:cs="Calibri"/>
              </w:rPr>
            </w:pPr>
          </w:p>
        </w:tc>
      </w:tr>
      <w:tr w:rsidR="003E289B" w:rsidRPr="0028439F" w14:paraId="5209B6F5" w14:textId="53E5387B"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3CB39FE4" w14:textId="489B936A" w:rsidR="003E289B" w:rsidRPr="0028439F" w:rsidRDefault="003E289B" w:rsidP="00F40C70">
            <w:pPr>
              <w:pStyle w:val="Agency-body-text"/>
              <w:numPr>
                <w:ilvl w:val="2"/>
                <w:numId w:val="20"/>
              </w:numPr>
              <w:spacing w:before="100" w:after="100"/>
              <w:rPr>
                <w:rFonts w:cs="Calibri"/>
              </w:rPr>
            </w:pPr>
            <w:r w:rsidRPr="0028439F">
              <w:rPr>
                <w:rFonts w:cs="Calibri"/>
              </w:rPr>
              <w:t>There are strategies to ensure that local</w:t>
            </w:r>
            <w:r w:rsidR="00844916" w:rsidRPr="0028439F">
              <w:rPr>
                <w:rFonts w:cs="Calibri"/>
              </w:rPr>
              <w:noBreakHyphen/>
            </w:r>
            <w:r w:rsidRPr="0028439F">
              <w:rPr>
                <w:rFonts w:cs="Calibri"/>
              </w:rPr>
              <w:t>level professional opportunities for teachers are flexible/adaptable to local school contexts and school development plans for inclusive education</w:t>
            </w:r>
          </w:p>
        </w:tc>
        <w:tc>
          <w:tcPr>
            <w:tcW w:w="3250" w:type="pct"/>
            <w:tcBorders>
              <w:top w:val="single" w:sz="4" w:space="0" w:color="auto"/>
              <w:left w:val="single" w:sz="4" w:space="0" w:color="auto"/>
              <w:bottom w:val="single" w:sz="4" w:space="0" w:color="auto"/>
              <w:right w:val="single" w:sz="4" w:space="0" w:color="auto"/>
            </w:tcBorders>
          </w:tcPr>
          <w:p w14:paraId="406ABFCF" w14:textId="5CE18414" w:rsidR="003E289B" w:rsidRPr="0028439F" w:rsidRDefault="003E289B" w:rsidP="00F40C70">
            <w:pPr>
              <w:pStyle w:val="Agency-body-text"/>
              <w:spacing w:before="100" w:after="100"/>
              <w:rPr>
                <w:rFonts w:cs="Calibri"/>
              </w:rPr>
            </w:pPr>
          </w:p>
        </w:tc>
      </w:tr>
      <w:tr w:rsidR="003E289B" w:rsidRPr="0028439F" w14:paraId="1DFFA0F4" w14:textId="6C04A2B2"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0F7531AE" w14:textId="152A3C1B" w:rsidR="003E289B" w:rsidRPr="0028439F" w:rsidRDefault="003E289B" w:rsidP="00F40C70">
            <w:pPr>
              <w:pStyle w:val="Agency-body-text"/>
              <w:numPr>
                <w:ilvl w:val="2"/>
                <w:numId w:val="20"/>
              </w:numPr>
              <w:spacing w:before="100" w:after="100"/>
              <w:rPr>
                <w:rFonts w:cs="Calibri"/>
              </w:rPr>
            </w:pPr>
            <w:r w:rsidRPr="0028439F">
              <w:rPr>
                <w:rFonts w:cs="Calibri"/>
              </w:rPr>
              <w:t>There is a medium- and long-term review strategy for teacher professional learning opportunities to ensure they meet system requirements for an inclusive education system</w:t>
            </w:r>
          </w:p>
        </w:tc>
        <w:tc>
          <w:tcPr>
            <w:tcW w:w="3250" w:type="pct"/>
            <w:tcBorders>
              <w:top w:val="single" w:sz="4" w:space="0" w:color="auto"/>
              <w:left w:val="single" w:sz="4" w:space="0" w:color="auto"/>
              <w:bottom w:val="single" w:sz="4" w:space="0" w:color="auto"/>
              <w:right w:val="single" w:sz="4" w:space="0" w:color="auto"/>
            </w:tcBorders>
          </w:tcPr>
          <w:p w14:paraId="6AC276FE" w14:textId="77777777" w:rsidR="003E289B" w:rsidRPr="0028439F" w:rsidRDefault="003E289B" w:rsidP="00F40C70">
            <w:pPr>
              <w:pStyle w:val="Agency-body-text"/>
              <w:spacing w:before="100" w:after="100"/>
              <w:rPr>
                <w:rFonts w:cs="Calibri"/>
              </w:rPr>
            </w:pPr>
          </w:p>
        </w:tc>
      </w:tr>
    </w:tbl>
    <w:p w14:paraId="23D6797F" w14:textId="0EE684D1" w:rsidR="00684937" w:rsidRPr="0028439F" w:rsidRDefault="00684937" w:rsidP="00351A94">
      <w:pPr>
        <w:pStyle w:val="Agency-heading-3"/>
        <w:spacing w:before="120"/>
      </w:pPr>
      <w:bookmarkStart w:id="31" w:name="_Toc26879753"/>
      <w:r w:rsidRPr="0028439F">
        <w:t>Evaluative comments for ‘Goals’</w:t>
      </w:r>
      <w:bookmarkEnd w:id="31"/>
    </w:p>
    <w:tbl>
      <w:tblPr>
        <w:tblStyle w:val="TableGrid"/>
        <w:tblW w:w="5000" w:type="pct"/>
        <w:tblLook w:val="04A0" w:firstRow="1" w:lastRow="0" w:firstColumn="1" w:lastColumn="0" w:noHBand="0" w:noVBand="1"/>
        <w:tblCaption w:val="Evaluative comments for ‘Goals’"/>
      </w:tblPr>
      <w:tblGrid>
        <w:gridCol w:w="14418"/>
      </w:tblGrid>
      <w:tr w:rsidR="00684937" w:rsidRPr="0028439F" w14:paraId="7040A503" w14:textId="77777777" w:rsidTr="00842CA9">
        <w:tc>
          <w:tcPr>
            <w:tcW w:w="5000" w:type="pct"/>
          </w:tcPr>
          <w:p w14:paraId="75FFC54A" w14:textId="77777777" w:rsidR="00684937" w:rsidRPr="0028439F" w:rsidRDefault="00684937" w:rsidP="009F6EE9">
            <w:pPr>
              <w:pStyle w:val="Agency-body-text"/>
            </w:pPr>
          </w:p>
        </w:tc>
      </w:tr>
    </w:tbl>
    <w:p w14:paraId="75E6FC60" w14:textId="20F4C003" w:rsidR="00085C78" w:rsidRPr="0028439F" w:rsidRDefault="00C22CE4" w:rsidP="00C22CE4">
      <w:pPr>
        <w:pStyle w:val="Agency-heading-2"/>
      </w:pPr>
      <w:bookmarkStart w:id="32" w:name="_Toc15387472"/>
      <w:bookmarkStart w:id="33" w:name="_Toc15387525"/>
      <w:bookmarkStart w:id="34" w:name="_Toc15387589"/>
      <w:bookmarkStart w:id="35" w:name="_Toc26879754"/>
      <w:bookmarkEnd w:id="32"/>
      <w:bookmarkEnd w:id="33"/>
      <w:bookmarkEnd w:id="34"/>
      <w:r w:rsidRPr="0028439F">
        <w:lastRenderedPageBreak/>
        <w:t xml:space="preserve">3.2 </w:t>
      </w:r>
      <w:r w:rsidR="00085C78" w:rsidRPr="0028439F">
        <w:t>Continuum of support</w:t>
      </w:r>
      <w:bookmarkEnd w:id="35"/>
    </w:p>
    <w:p w14:paraId="4D2DD1D1" w14:textId="0ECD8AFC" w:rsidR="00D72852" w:rsidRPr="0028439F" w:rsidRDefault="00FC7450" w:rsidP="00334AB4">
      <w:pPr>
        <w:pStyle w:val="Agency-body-text"/>
        <w:keepNext/>
      </w:pPr>
      <w:r w:rsidRPr="0028439F">
        <w:t xml:space="preserve">Policy </w:t>
      </w:r>
      <w:r w:rsidR="00E27BC3" w:rsidRPr="0028439F">
        <w:t>must</w:t>
      </w:r>
      <w:r w:rsidRPr="0028439F">
        <w:t xml:space="preserve"> ensure that</w:t>
      </w:r>
      <w:r w:rsidR="009F4585" w:rsidRPr="0028439F">
        <w:t xml:space="preserve"> professional learning opportunities cover a </w:t>
      </w:r>
      <w:r w:rsidRPr="0028439F">
        <w:t xml:space="preserve">continuum of </w:t>
      </w:r>
      <w:r w:rsidR="00563ECF" w:rsidRPr="0028439F">
        <w:t xml:space="preserve">support for all teachers </w:t>
      </w:r>
      <w:r w:rsidR="009F4585" w:rsidRPr="0028439F">
        <w:t xml:space="preserve">working at different levels of education and </w:t>
      </w:r>
      <w:r w:rsidR="00E27BC3" w:rsidRPr="0028439F">
        <w:t xml:space="preserve">with </w:t>
      </w:r>
      <w:r w:rsidR="009F4585" w:rsidRPr="0028439F">
        <w:t xml:space="preserve">different roles </w:t>
      </w:r>
      <w:r w:rsidR="00E27BC3" w:rsidRPr="0028439F">
        <w:t xml:space="preserve">in </w:t>
      </w:r>
      <w:r w:rsidR="009F4585" w:rsidRPr="0028439F">
        <w:t xml:space="preserve">schools/higher education institutions. </w:t>
      </w:r>
      <w:r w:rsidRPr="0028439F">
        <w:t xml:space="preserve">This means that the following </w:t>
      </w:r>
      <w:r w:rsidR="00746D15" w:rsidRPr="0028439F">
        <w:t>policy priorities</w:t>
      </w:r>
      <w:r w:rsidRPr="0028439F">
        <w:t xml:space="preserve"> need to be addressed</w:t>
      </w:r>
      <w:r w:rsidR="00661257" w:rsidRPr="0028439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olicy priorities and findings for 'Continuum of support'"/>
      </w:tblPr>
      <w:tblGrid>
        <w:gridCol w:w="5046"/>
        <w:gridCol w:w="9372"/>
      </w:tblGrid>
      <w:tr w:rsidR="00B25B12" w:rsidRPr="0028439F" w14:paraId="478F907E" w14:textId="77777777" w:rsidTr="00842CA9">
        <w:trPr>
          <w:tblHeader/>
        </w:trPr>
        <w:tc>
          <w:tcPr>
            <w:tcW w:w="1750" w:type="pct"/>
            <w:shd w:val="clear" w:color="auto" w:fill="F2F2F2" w:themeFill="background1" w:themeFillShade="F2"/>
          </w:tcPr>
          <w:p w14:paraId="4E71A685" w14:textId="77777777" w:rsidR="003E289B" w:rsidRPr="0028439F" w:rsidRDefault="003E289B" w:rsidP="00842CA9">
            <w:pPr>
              <w:pStyle w:val="Agency-body-text"/>
              <w:keepNext/>
              <w:rPr>
                <w:rFonts w:asciiTheme="majorHAnsi" w:eastAsiaTheme="majorEastAsia" w:hAnsiTheme="majorHAnsi" w:cstheme="majorBidi"/>
                <w:b/>
                <w:bCs/>
                <w:szCs w:val="24"/>
              </w:rPr>
            </w:pPr>
            <w:bookmarkStart w:id="36" w:name="_Hlk14168531"/>
            <w:r w:rsidRPr="0028439F">
              <w:rPr>
                <w:rFonts w:cs="Calibri"/>
                <w:b/>
                <w:bCs/>
                <w:szCs w:val="24"/>
              </w:rPr>
              <w:t>Policy priorities</w:t>
            </w:r>
          </w:p>
        </w:tc>
        <w:tc>
          <w:tcPr>
            <w:tcW w:w="3250" w:type="pct"/>
            <w:shd w:val="clear" w:color="auto" w:fill="F2F2F2" w:themeFill="background1" w:themeFillShade="F2"/>
          </w:tcPr>
          <w:p w14:paraId="790E0DD6" w14:textId="2E855B0C" w:rsidR="003E289B" w:rsidRPr="0028439F" w:rsidRDefault="003E289B" w:rsidP="00842CA9">
            <w:pPr>
              <w:pStyle w:val="Agency-body-text"/>
              <w:keepNext/>
              <w:rPr>
                <w:rFonts w:asciiTheme="majorHAnsi" w:eastAsiaTheme="majorEastAsia" w:hAnsiTheme="majorHAnsi" w:cstheme="majorBidi"/>
                <w:b/>
                <w:bCs/>
                <w:szCs w:val="24"/>
              </w:rPr>
            </w:pPr>
            <w:r w:rsidRPr="0028439F">
              <w:rPr>
                <w:rFonts w:eastAsiaTheme="majorEastAsia" w:cstheme="majorBidi"/>
                <w:b/>
                <w:bCs/>
                <w:szCs w:val="24"/>
              </w:rPr>
              <w:t>Findings</w:t>
            </w:r>
          </w:p>
        </w:tc>
      </w:tr>
      <w:tr w:rsidR="003E289B" w:rsidRPr="0028439F" w14:paraId="7B9D385F"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69A703BE" w14:textId="0C6C1DDF" w:rsidR="003E289B" w:rsidRPr="0028439F" w:rsidRDefault="003E289B" w:rsidP="00BF0509">
            <w:pPr>
              <w:pStyle w:val="Agency-body-text"/>
              <w:numPr>
                <w:ilvl w:val="2"/>
                <w:numId w:val="22"/>
              </w:numPr>
              <w:rPr>
                <w:rFonts w:cs="Calibri"/>
              </w:rPr>
            </w:pPr>
            <w:r w:rsidRPr="0028439F">
              <w:rPr>
                <w:rFonts w:cs="Calibri"/>
              </w:rPr>
              <w:t>There is a strategy to ensure a continuum of diverse professional learning opportunities for inclusive education – for pre-service, beginning and experienced teachers, as well as teacher educators and support teachers – across all levels where teachers work</w:t>
            </w:r>
          </w:p>
        </w:tc>
        <w:tc>
          <w:tcPr>
            <w:tcW w:w="3250" w:type="pct"/>
            <w:tcBorders>
              <w:top w:val="single" w:sz="4" w:space="0" w:color="auto"/>
              <w:left w:val="single" w:sz="4" w:space="0" w:color="auto"/>
              <w:bottom w:val="single" w:sz="4" w:space="0" w:color="auto"/>
              <w:right w:val="single" w:sz="4" w:space="0" w:color="auto"/>
            </w:tcBorders>
          </w:tcPr>
          <w:p w14:paraId="47478549" w14:textId="77777777" w:rsidR="003E289B" w:rsidRPr="0028439F" w:rsidRDefault="003E289B" w:rsidP="00D72852">
            <w:pPr>
              <w:pStyle w:val="Agency-body-text"/>
              <w:rPr>
                <w:rFonts w:asciiTheme="majorHAnsi" w:eastAsiaTheme="majorEastAsia" w:hAnsiTheme="majorHAnsi" w:cstheme="majorBidi"/>
                <w:szCs w:val="24"/>
              </w:rPr>
            </w:pPr>
          </w:p>
        </w:tc>
      </w:tr>
      <w:tr w:rsidR="003E289B" w:rsidRPr="0028439F" w14:paraId="17D87B25"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9889F21" w14:textId="6AA97F53" w:rsidR="003E289B" w:rsidRPr="0028439F" w:rsidRDefault="003E289B" w:rsidP="003A6DF3">
            <w:pPr>
              <w:pStyle w:val="Agency-body-text"/>
              <w:numPr>
                <w:ilvl w:val="2"/>
                <w:numId w:val="22"/>
              </w:numPr>
              <w:rPr>
                <w:rFonts w:cs="Calibri"/>
              </w:rPr>
            </w:pPr>
            <w:r w:rsidRPr="0028439F">
              <w:rPr>
                <w:rFonts w:cs="Calibri"/>
              </w:rPr>
              <w:t>There are strategies for developing leadership competences (e.g. school leadership or learning support leadership roles) for inclusive education in all relevant professional learning opportunities</w:t>
            </w:r>
          </w:p>
        </w:tc>
        <w:tc>
          <w:tcPr>
            <w:tcW w:w="3250" w:type="pct"/>
            <w:tcBorders>
              <w:top w:val="single" w:sz="4" w:space="0" w:color="auto"/>
              <w:left w:val="single" w:sz="4" w:space="0" w:color="auto"/>
              <w:bottom w:val="single" w:sz="4" w:space="0" w:color="auto"/>
              <w:right w:val="single" w:sz="4" w:space="0" w:color="auto"/>
            </w:tcBorders>
          </w:tcPr>
          <w:p w14:paraId="694D9053" w14:textId="77777777" w:rsidR="003E289B" w:rsidRPr="0028439F" w:rsidRDefault="003E289B" w:rsidP="00D72852">
            <w:pPr>
              <w:pStyle w:val="Agency-body-text"/>
            </w:pPr>
          </w:p>
        </w:tc>
      </w:tr>
      <w:tr w:rsidR="003E289B" w:rsidRPr="0028439F" w14:paraId="3BE3A1AE"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4335D919" w14:textId="507F1993" w:rsidR="003E289B" w:rsidRPr="0028439F" w:rsidRDefault="003E289B" w:rsidP="002C4AA8">
            <w:pPr>
              <w:pStyle w:val="Agency-body-text"/>
              <w:keepLines/>
              <w:numPr>
                <w:ilvl w:val="2"/>
                <w:numId w:val="22"/>
              </w:numPr>
              <w:rPr>
                <w:rFonts w:cs="Calibri"/>
              </w:rPr>
            </w:pPr>
            <w:r w:rsidRPr="0028439F">
              <w:rPr>
                <w:rFonts w:cs="Calibri"/>
              </w:rPr>
              <w:t>There are mechanisms to support schools/higher education institutions to develop strategic plans for teacher professional learning in inclusive education</w:t>
            </w:r>
          </w:p>
        </w:tc>
        <w:tc>
          <w:tcPr>
            <w:tcW w:w="3250" w:type="pct"/>
            <w:tcBorders>
              <w:top w:val="single" w:sz="4" w:space="0" w:color="auto"/>
              <w:left w:val="single" w:sz="4" w:space="0" w:color="auto"/>
              <w:bottom w:val="single" w:sz="4" w:space="0" w:color="auto"/>
              <w:right w:val="single" w:sz="4" w:space="0" w:color="auto"/>
            </w:tcBorders>
          </w:tcPr>
          <w:p w14:paraId="03D6629C" w14:textId="77777777" w:rsidR="003E289B" w:rsidRPr="0028439F" w:rsidRDefault="003E289B" w:rsidP="00D72852">
            <w:pPr>
              <w:pStyle w:val="Agency-body-text"/>
            </w:pPr>
          </w:p>
        </w:tc>
      </w:tr>
      <w:tr w:rsidR="003E289B" w:rsidRPr="0028439F" w14:paraId="420158DD"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359C3A66" w14:textId="60B71CAF" w:rsidR="003E289B" w:rsidRPr="0028439F" w:rsidRDefault="003E289B" w:rsidP="00334AB4">
            <w:pPr>
              <w:pStyle w:val="Agency-body-text"/>
              <w:numPr>
                <w:ilvl w:val="2"/>
                <w:numId w:val="22"/>
              </w:numPr>
              <w:rPr>
                <w:rFonts w:cs="Calibri"/>
              </w:rPr>
            </w:pPr>
            <w:r w:rsidRPr="0028439F">
              <w:rPr>
                <w:rFonts w:cs="Calibri"/>
              </w:rPr>
              <w:lastRenderedPageBreak/>
              <w:t>There are strategies to support effective collaboration and joint work between schools and higher education institutions/universities</w:t>
            </w:r>
          </w:p>
        </w:tc>
        <w:tc>
          <w:tcPr>
            <w:tcW w:w="3250" w:type="pct"/>
            <w:tcBorders>
              <w:top w:val="single" w:sz="4" w:space="0" w:color="auto"/>
              <w:left w:val="single" w:sz="4" w:space="0" w:color="auto"/>
              <w:bottom w:val="single" w:sz="4" w:space="0" w:color="auto"/>
              <w:right w:val="single" w:sz="4" w:space="0" w:color="auto"/>
            </w:tcBorders>
          </w:tcPr>
          <w:p w14:paraId="45793831" w14:textId="77777777" w:rsidR="003E289B" w:rsidRPr="0028439F" w:rsidRDefault="003E289B" w:rsidP="00D72852">
            <w:pPr>
              <w:pStyle w:val="Agency-body-text"/>
            </w:pPr>
          </w:p>
        </w:tc>
      </w:tr>
    </w:tbl>
    <w:p w14:paraId="6290F390" w14:textId="6FB15FEC" w:rsidR="00E870B1" w:rsidRPr="0028439F" w:rsidRDefault="00E870B1" w:rsidP="00334AB4">
      <w:pPr>
        <w:pStyle w:val="Agency-heading-3"/>
      </w:pPr>
      <w:bookmarkStart w:id="37" w:name="_Toc26879755"/>
      <w:bookmarkEnd w:id="36"/>
      <w:r w:rsidRPr="0028439F">
        <w:t>Evaluative comments for ‘Continuum of support’</w:t>
      </w:r>
      <w:bookmarkEnd w:id="37"/>
    </w:p>
    <w:tbl>
      <w:tblPr>
        <w:tblStyle w:val="TableGrid"/>
        <w:tblW w:w="5000" w:type="pct"/>
        <w:tblLook w:val="04A0" w:firstRow="1" w:lastRow="0" w:firstColumn="1" w:lastColumn="0" w:noHBand="0" w:noVBand="1"/>
        <w:tblCaption w:val="Evaluative comments for ‘Continuum of support’"/>
      </w:tblPr>
      <w:tblGrid>
        <w:gridCol w:w="14418"/>
      </w:tblGrid>
      <w:tr w:rsidR="00E870B1" w:rsidRPr="0028439F" w14:paraId="4A5A4598" w14:textId="77777777" w:rsidTr="00842CA9">
        <w:tc>
          <w:tcPr>
            <w:tcW w:w="5000" w:type="pct"/>
          </w:tcPr>
          <w:p w14:paraId="6DDCCABA" w14:textId="77777777" w:rsidR="00E870B1" w:rsidRPr="0028439F" w:rsidRDefault="00E870B1" w:rsidP="009F6EE9">
            <w:pPr>
              <w:pStyle w:val="Agency-body-text"/>
            </w:pPr>
          </w:p>
        </w:tc>
      </w:tr>
    </w:tbl>
    <w:p w14:paraId="148FB31B" w14:textId="77777777" w:rsidR="00B372C6" w:rsidRPr="0028439F" w:rsidRDefault="00B372C6" w:rsidP="00B372C6">
      <w:pPr>
        <w:pStyle w:val="Agency-body-text"/>
        <w:rPr>
          <w:sz w:val="40"/>
          <w:szCs w:val="40"/>
        </w:rPr>
      </w:pPr>
      <w:r w:rsidRPr="0028439F">
        <w:br w:type="page"/>
      </w:r>
    </w:p>
    <w:p w14:paraId="2FC7E4CE" w14:textId="2506A5AD" w:rsidR="00ED757E" w:rsidRPr="0028439F" w:rsidRDefault="00E870B1" w:rsidP="00F74887">
      <w:pPr>
        <w:pStyle w:val="Agency-heading-1"/>
      </w:pPr>
      <w:bookmarkStart w:id="38" w:name="_Toc26879756"/>
      <w:r w:rsidRPr="0028439F">
        <w:lastRenderedPageBreak/>
        <w:t>Section </w:t>
      </w:r>
      <w:r w:rsidR="00BF0509" w:rsidRPr="0028439F">
        <w:t>4</w:t>
      </w:r>
      <w:r w:rsidR="00ED757E" w:rsidRPr="0028439F">
        <w:t xml:space="preserve">: </w:t>
      </w:r>
      <w:r w:rsidR="005F3CC3" w:rsidRPr="0028439F">
        <w:t>C</w:t>
      </w:r>
      <w:r w:rsidR="00ED757E" w:rsidRPr="0028439F">
        <w:t>apacity</w:t>
      </w:r>
      <w:r w:rsidRPr="0028439F">
        <w:t xml:space="preserve"> </w:t>
      </w:r>
      <w:r w:rsidR="00ED757E" w:rsidRPr="0028439F">
        <w:t xml:space="preserve">building, </w:t>
      </w:r>
      <w:r w:rsidR="002112D2" w:rsidRPr="0028439F">
        <w:t xml:space="preserve">funding and monitoring of </w:t>
      </w:r>
      <w:r w:rsidR="005F3CC3" w:rsidRPr="0028439F">
        <w:t>TPL</w:t>
      </w:r>
      <w:r w:rsidRPr="0028439F">
        <w:t>4I</w:t>
      </w:r>
      <w:r w:rsidR="002112D2" w:rsidRPr="0028439F">
        <w:t xml:space="preserve"> pol</w:t>
      </w:r>
      <w:r w:rsidR="000472B1" w:rsidRPr="0028439F">
        <w:t>ic</w:t>
      </w:r>
      <w:r w:rsidR="00B90EE5" w:rsidRPr="0028439F">
        <w:t>y</w:t>
      </w:r>
      <w:bookmarkEnd w:id="38"/>
    </w:p>
    <w:p w14:paraId="0B0E98E5" w14:textId="6B9222B1" w:rsidR="008D3450" w:rsidRPr="0028439F" w:rsidRDefault="00C22CE4" w:rsidP="00F67670">
      <w:pPr>
        <w:pStyle w:val="Agency-heading-2"/>
      </w:pPr>
      <w:bookmarkStart w:id="39" w:name="_Toc26879757"/>
      <w:r w:rsidRPr="0028439F">
        <w:t xml:space="preserve">4.1 </w:t>
      </w:r>
      <w:r w:rsidR="008D3450" w:rsidRPr="0028439F">
        <w:t>Capacity building</w:t>
      </w:r>
      <w:bookmarkEnd w:id="39"/>
    </w:p>
    <w:p w14:paraId="48E664E7" w14:textId="58CA8FD1" w:rsidR="005B639A" w:rsidRPr="0028439F" w:rsidRDefault="005B639A" w:rsidP="00334AB4">
      <w:pPr>
        <w:pStyle w:val="Agency-body-text"/>
        <w:keepNext/>
      </w:pPr>
      <w:r w:rsidRPr="0028439F">
        <w:t xml:space="preserve">Policy </w:t>
      </w:r>
      <w:r w:rsidR="00DB3B94" w:rsidRPr="0028439F">
        <w:t>must</w:t>
      </w:r>
      <w:r w:rsidRPr="0028439F">
        <w:t xml:space="preserve"> ensure that professional learning opportunities contribute to capacity building through strategies, guidelines, competences and incentives for all teachers. This means that the following</w:t>
      </w:r>
      <w:r w:rsidR="00F871C2" w:rsidRPr="0028439F">
        <w:t xml:space="preserve"> policy priorities</w:t>
      </w:r>
      <w:r w:rsidRPr="0028439F">
        <w:t xml:space="preserve"> need to be addressed</w:t>
      </w:r>
      <w:r w:rsidR="00DB3B94" w:rsidRPr="0028439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licy priorities and findings for 'Capacity building'"/>
      </w:tblPr>
      <w:tblGrid>
        <w:gridCol w:w="5046"/>
        <w:gridCol w:w="9372"/>
      </w:tblGrid>
      <w:tr w:rsidR="003E289B" w:rsidRPr="0028439F" w14:paraId="55094657" w14:textId="77777777" w:rsidTr="00842CA9">
        <w:trPr>
          <w:tblHeader/>
        </w:trPr>
        <w:tc>
          <w:tcPr>
            <w:tcW w:w="1750" w:type="pct"/>
            <w:shd w:val="clear" w:color="auto" w:fill="F2F2F2" w:themeFill="background1" w:themeFillShade="F2"/>
          </w:tcPr>
          <w:p w14:paraId="7E8AA21D" w14:textId="77777777" w:rsidR="003E289B" w:rsidRPr="0028439F" w:rsidRDefault="003E289B" w:rsidP="00842CA9">
            <w:pPr>
              <w:pStyle w:val="Agency-body-text"/>
              <w:keepNext/>
              <w:rPr>
                <w:rFonts w:asciiTheme="majorHAnsi" w:eastAsiaTheme="majorEastAsia" w:hAnsiTheme="majorHAnsi" w:cstheme="majorBidi"/>
                <w:b/>
                <w:bCs/>
                <w:szCs w:val="24"/>
              </w:rPr>
            </w:pPr>
            <w:r w:rsidRPr="0028439F">
              <w:rPr>
                <w:rFonts w:cs="Calibri"/>
                <w:b/>
                <w:bCs/>
                <w:szCs w:val="24"/>
              </w:rPr>
              <w:t>Policy priorities</w:t>
            </w:r>
          </w:p>
        </w:tc>
        <w:tc>
          <w:tcPr>
            <w:tcW w:w="3250" w:type="pct"/>
            <w:shd w:val="clear" w:color="auto" w:fill="F2F2F2" w:themeFill="background1" w:themeFillShade="F2"/>
          </w:tcPr>
          <w:p w14:paraId="277A294D" w14:textId="590664D7" w:rsidR="003E289B" w:rsidRPr="0028439F" w:rsidRDefault="0070198A" w:rsidP="00842CA9">
            <w:pPr>
              <w:pStyle w:val="Agency-body-text"/>
              <w:keepNext/>
              <w:rPr>
                <w:rFonts w:asciiTheme="majorHAnsi" w:eastAsiaTheme="majorEastAsia" w:hAnsiTheme="majorHAnsi" w:cstheme="majorBidi"/>
                <w:b/>
                <w:bCs/>
                <w:szCs w:val="24"/>
              </w:rPr>
            </w:pPr>
            <w:r w:rsidRPr="0028439F">
              <w:rPr>
                <w:rFonts w:eastAsiaTheme="majorEastAsia" w:cstheme="majorBidi"/>
                <w:b/>
                <w:bCs/>
                <w:szCs w:val="24"/>
              </w:rPr>
              <w:t>F</w:t>
            </w:r>
            <w:r w:rsidR="003E289B" w:rsidRPr="0028439F">
              <w:rPr>
                <w:rFonts w:eastAsiaTheme="majorEastAsia" w:cstheme="majorBidi"/>
                <w:b/>
                <w:bCs/>
                <w:szCs w:val="24"/>
              </w:rPr>
              <w:t>indings</w:t>
            </w:r>
          </w:p>
        </w:tc>
      </w:tr>
      <w:tr w:rsidR="003E289B" w:rsidRPr="0028439F" w14:paraId="06983586"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FDC642D" w14:textId="00CE2983" w:rsidR="003E289B" w:rsidRPr="0028439F" w:rsidRDefault="003E289B" w:rsidP="00BF0509">
            <w:pPr>
              <w:pStyle w:val="Agency-body-text"/>
              <w:numPr>
                <w:ilvl w:val="2"/>
                <w:numId w:val="27"/>
              </w:numPr>
              <w:rPr>
                <w:rFonts w:cs="Calibri"/>
              </w:rPr>
            </w:pPr>
            <w:r w:rsidRPr="0028439F">
              <w:rPr>
                <w:rFonts w:cs="Calibri"/>
              </w:rPr>
              <w:t>There are strategies to increase the capacity of all schools/higher education institutions to support all teachers to engage in professional learning activities on inclusive education</w:t>
            </w:r>
          </w:p>
        </w:tc>
        <w:tc>
          <w:tcPr>
            <w:tcW w:w="3250" w:type="pct"/>
            <w:tcBorders>
              <w:top w:val="single" w:sz="4" w:space="0" w:color="auto"/>
              <w:left w:val="single" w:sz="4" w:space="0" w:color="auto"/>
              <w:bottom w:val="single" w:sz="4" w:space="0" w:color="auto"/>
              <w:right w:val="single" w:sz="4" w:space="0" w:color="auto"/>
            </w:tcBorders>
          </w:tcPr>
          <w:p w14:paraId="24FBF3C2" w14:textId="77777777" w:rsidR="003E289B" w:rsidRPr="0028439F" w:rsidRDefault="003E289B" w:rsidP="009F6EE9">
            <w:pPr>
              <w:pStyle w:val="Agency-body-text"/>
              <w:rPr>
                <w:rFonts w:asciiTheme="majorHAnsi" w:eastAsiaTheme="majorEastAsia" w:hAnsiTheme="majorHAnsi" w:cstheme="majorBidi"/>
                <w:szCs w:val="24"/>
              </w:rPr>
            </w:pPr>
          </w:p>
        </w:tc>
      </w:tr>
      <w:tr w:rsidR="003E289B" w:rsidRPr="0028439F" w14:paraId="030C88F1"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1849FD2B" w14:textId="1FA27B94" w:rsidR="003E289B" w:rsidRPr="0028439F" w:rsidRDefault="003E289B" w:rsidP="00BF0509">
            <w:pPr>
              <w:pStyle w:val="Agency-body-text"/>
              <w:numPr>
                <w:ilvl w:val="2"/>
                <w:numId w:val="27"/>
              </w:numPr>
              <w:rPr>
                <w:rFonts w:cs="Calibri"/>
              </w:rPr>
            </w:pPr>
            <w:r w:rsidRPr="0028439F">
              <w:rPr>
                <w:rFonts w:cs="Calibri"/>
              </w:rPr>
              <w:t>There is a mechanism to facilitate dialogue between all teachers/leaders/other stakeholders to develop a shared understanding of inclusive education as an approach that ensures high-quality learning opportunities for all</w:t>
            </w:r>
          </w:p>
        </w:tc>
        <w:tc>
          <w:tcPr>
            <w:tcW w:w="3250" w:type="pct"/>
            <w:tcBorders>
              <w:top w:val="single" w:sz="4" w:space="0" w:color="auto"/>
              <w:left w:val="single" w:sz="4" w:space="0" w:color="auto"/>
              <w:bottom w:val="single" w:sz="4" w:space="0" w:color="auto"/>
              <w:right w:val="single" w:sz="4" w:space="0" w:color="auto"/>
            </w:tcBorders>
          </w:tcPr>
          <w:p w14:paraId="698229E5" w14:textId="77777777" w:rsidR="003E289B" w:rsidRPr="0028439F" w:rsidRDefault="003E289B" w:rsidP="009F6EE9">
            <w:pPr>
              <w:pStyle w:val="Agency-body-text"/>
            </w:pPr>
          </w:p>
        </w:tc>
      </w:tr>
      <w:tr w:rsidR="003E289B" w:rsidRPr="0028439F" w14:paraId="467CAA4A"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12EE4551" w14:textId="7DDDCBB4" w:rsidR="003E289B" w:rsidRPr="0028439F" w:rsidRDefault="003E289B" w:rsidP="00BF0509">
            <w:pPr>
              <w:pStyle w:val="Agency-body-text"/>
              <w:numPr>
                <w:ilvl w:val="2"/>
                <w:numId w:val="27"/>
              </w:numPr>
              <w:rPr>
                <w:rFonts w:cs="Calibri"/>
              </w:rPr>
            </w:pPr>
            <w:r w:rsidRPr="0028439F">
              <w:rPr>
                <w:rFonts w:cs="Calibri"/>
              </w:rPr>
              <w:t>There is guidance on how teachers working in mainstream school settings/higher education institutions can understand and enact inclusive education</w:t>
            </w:r>
          </w:p>
        </w:tc>
        <w:tc>
          <w:tcPr>
            <w:tcW w:w="3250" w:type="pct"/>
            <w:tcBorders>
              <w:top w:val="single" w:sz="4" w:space="0" w:color="auto"/>
              <w:left w:val="single" w:sz="4" w:space="0" w:color="auto"/>
              <w:bottom w:val="single" w:sz="4" w:space="0" w:color="auto"/>
              <w:right w:val="single" w:sz="4" w:space="0" w:color="auto"/>
            </w:tcBorders>
          </w:tcPr>
          <w:p w14:paraId="59E5FE02" w14:textId="77777777" w:rsidR="003E289B" w:rsidRPr="0028439F" w:rsidRDefault="003E289B" w:rsidP="009F6EE9">
            <w:pPr>
              <w:pStyle w:val="Agency-body-text"/>
            </w:pPr>
          </w:p>
        </w:tc>
      </w:tr>
      <w:tr w:rsidR="003E289B" w:rsidRPr="0028439F" w14:paraId="764107A5"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379DA35D" w14:textId="40DCA8DC" w:rsidR="003E289B" w:rsidRPr="0028439F" w:rsidRDefault="003E289B" w:rsidP="00BF0509">
            <w:pPr>
              <w:pStyle w:val="Agency-body-text"/>
              <w:numPr>
                <w:ilvl w:val="2"/>
                <w:numId w:val="27"/>
              </w:numPr>
              <w:rPr>
                <w:rFonts w:cs="Calibri"/>
              </w:rPr>
            </w:pPr>
            <w:r w:rsidRPr="0028439F">
              <w:rPr>
                <w:rFonts w:cs="Calibri"/>
              </w:rPr>
              <w:lastRenderedPageBreak/>
              <w:t>There are guidelines that support all teachers to collaborate to support all learners</w:t>
            </w:r>
          </w:p>
        </w:tc>
        <w:tc>
          <w:tcPr>
            <w:tcW w:w="3250" w:type="pct"/>
            <w:tcBorders>
              <w:top w:val="single" w:sz="4" w:space="0" w:color="auto"/>
              <w:left w:val="single" w:sz="4" w:space="0" w:color="auto"/>
              <w:bottom w:val="single" w:sz="4" w:space="0" w:color="auto"/>
              <w:right w:val="single" w:sz="4" w:space="0" w:color="auto"/>
            </w:tcBorders>
          </w:tcPr>
          <w:p w14:paraId="3590EF64" w14:textId="77777777" w:rsidR="003E289B" w:rsidRPr="0028439F" w:rsidRDefault="003E289B" w:rsidP="009F6EE9">
            <w:pPr>
              <w:pStyle w:val="Agency-body-text"/>
            </w:pPr>
          </w:p>
        </w:tc>
      </w:tr>
      <w:tr w:rsidR="003E289B" w:rsidRPr="0028439F" w14:paraId="15E27C22"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05FE0E52" w14:textId="6C46CC1F" w:rsidR="003E289B" w:rsidRPr="0028439F" w:rsidRDefault="003E289B" w:rsidP="00BF0509">
            <w:pPr>
              <w:pStyle w:val="Agency-body-text"/>
              <w:numPr>
                <w:ilvl w:val="2"/>
                <w:numId w:val="27"/>
              </w:numPr>
              <w:rPr>
                <w:rFonts w:cs="Calibri"/>
              </w:rPr>
            </w:pPr>
            <w:r w:rsidRPr="0028439F">
              <w:rPr>
                <w:rFonts w:cs="Calibri"/>
              </w:rPr>
              <w:t>There are guidelines on how methods of quality assessment, school evaluation, inspections and other accountability measures contribute to planning/identifying priority areas of professional learning activities for inclusive education</w:t>
            </w:r>
          </w:p>
        </w:tc>
        <w:tc>
          <w:tcPr>
            <w:tcW w:w="3250" w:type="pct"/>
            <w:tcBorders>
              <w:top w:val="single" w:sz="4" w:space="0" w:color="auto"/>
              <w:left w:val="single" w:sz="4" w:space="0" w:color="auto"/>
              <w:bottom w:val="single" w:sz="4" w:space="0" w:color="auto"/>
              <w:right w:val="single" w:sz="4" w:space="0" w:color="auto"/>
            </w:tcBorders>
          </w:tcPr>
          <w:p w14:paraId="7E780A7F" w14:textId="77777777" w:rsidR="003E289B" w:rsidRPr="0028439F" w:rsidRDefault="003E289B" w:rsidP="009F6EE9">
            <w:pPr>
              <w:pStyle w:val="Agency-body-text"/>
            </w:pPr>
          </w:p>
        </w:tc>
      </w:tr>
      <w:tr w:rsidR="003E289B" w:rsidRPr="0028439F" w14:paraId="74CC9F73"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0DAD2F30" w14:textId="4B99C928" w:rsidR="003E289B" w:rsidRPr="0028439F" w:rsidRDefault="003E289B" w:rsidP="00BF0509">
            <w:pPr>
              <w:pStyle w:val="Agency-body-text"/>
              <w:numPr>
                <w:ilvl w:val="2"/>
                <w:numId w:val="27"/>
              </w:numPr>
              <w:rPr>
                <w:rFonts w:cs="Calibri"/>
              </w:rPr>
            </w:pPr>
            <w:r w:rsidRPr="0028439F">
              <w:rPr>
                <w:rFonts w:cs="Calibri"/>
              </w:rPr>
              <w:t>There are strategies to support schools/higher education institutions to build strong leadership teams that are aware of the inclusive education agenda</w:t>
            </w:r>
          </w:p>
        </w:tc>
        <w:tc>
          <w:tcPr>
            <w:tcW w:w="3250" w:type="pct"/>
            <w:tcBorders>
              <w:top w:val="single" w:sz="4" w:space="0" w:color="auto"/>
              <w:left w:val="single" w:sz="4" w:space="0" w:color="auto"/>
              <w:bottom w:val="single" w:sz="4" w:space="0" w:color="auto"/>
              <w:right w:val="single" w:sz="4" w:space="0" w:color="auto"/>
            </w:tcBorders>
          </w:tcPr>
          <w:p w14:paraId="47F8045A" w14:textId="77777777" w:rsidR="003E289B" w:rsidRPr="0028439F" w:rsidRDefault="003E289B" w:rsidP="009F6EE9">
            <w:pPr>
              <w:pStyle w:val="Agency-body-text"/>
            </w:pPr>
          </w:p>
        </w:tc>
      </w:tr>
      <w:tr w:rsidR="003E289B" w:rsidRPr="0028439F" w14:paraId="45315E66"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12BAE5D" w14:textId="3DCC38D6" w:rsidR="003E289B" w:rsidRPr="0028439F" w:rsidRDefault="003E289B" w:rsidP="00BF0509">
            <w:pPr>
              <w:pStyle w:val="Agency-body-text"/>
              <w:numPr>
                <w:ilvl w:val="2"/>
                <w:numId w:val="27"/>
              </w:numPr>
              <w:rPr>
                <w:rFonts w:cs="Calibri"/>
              </w:rPr>
            </w:pPr>
            <w:r w:rsidRPr="0028439F">
              <w:rPr>
                <w:rFonts w:cs="Calibri"/>
              </w:rPr>
              <w:t>There are incentives stated in policy for all teachers to engage in professional learning activities for inclusive education</w:t>
            </w:r>
          </w:p>
        </w:tc>
        <w:tc>
          <w:tcPr>
            <w:tcW w:w="3250" w:type="pct"/>
            <w:tcBorders>
              <w:top w:val="single" w:sz="4" w:space="0" w:color="auto"/>
              <w:left w:val="single" w:sz="4" w:space="0" w:color="auto"/>
              <w:bottom w:val="single" w:sz="4" w:space="0" w:color="auto"/>
              <w:right w:val="single" w:sz="4" w:space="0" w:color="auto"/>
            </w:tcBorders>
          </w:tcPr>
          <w:p w14:paraId="13CD0FAA" w14:textId="77777777" w:rsidR="003E289B" w:rsidRPr="0028439F" w:rsidRDefault="003E289B" w:rsidP="009F6EE9">
            <w:pPr>
              <w:pStyle w:val="Agency-body-text"/>
            </w:pPr>
          </w:p>
        </w:tc>
      </w:tr>
      <w:tr w:rsidR="003E289B" w:rsidRPr="0028439F" w14:paraId="1602A77A"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2EA4DC34" w14:textId="7311B70C" w:rsidR="003E289B" w:rsidRPr="0028439F" w:rsidRDefault="003E289B" w:rsidP="00C82651">
            <w:pPr>
              <w:pStyle w:val="Agency-body-text"/>
              <w:numPr>
                <w:ilvl w:val="2"/>
                <w:numId w:val="27"/>
              </w:numPr>
              <w:rPr>
                <w:rFonts w:cs="Calibri"/>
              </w:rPr>
            </w:pPr>
            <w:r w:rsidRPr="0028439F">
              <w:rPr>
                <w:rFonts w:cs="Calibri"/>
              </w:rPr>
              <w:t>There are strategies stated in policy to develop the role of specialist teachers as a resource for mainstream schools</w:t>
            </w:r>
          </w:p>
        </w:tc>
        <w:tc>
          <w:tcPr>
            <w:tcW w:w="3250" w:type="pct"/>
            <w:tcBorders>
              <w:top w:val="single" w:sz="4" w:space="0" w:color="auto"/>
              <w:left w:val="single" w:sz="4" w:space="0" w:color="auto"/>
              <w:bottom w:val="single" w:sz="4" w:space="0" w:color="auto"/>
              <w:right w:val="single" w:sz="4" w:space="0" w:color="auto"/>
            </w:tcBorders>
          </w:tcPr>
          <w:p w14:paraId="05A0827F" w14:textId="77777777" w:rsidR="003E289B" w:rsidRPr="0028439F" w:rsidRDefault="003E289B" w:rsidP="009F6EE9">
            <w:pPr>
              <w:pStyle w:val="Agency-body-text"/>
            </w:pPr>
          </w:p>
        </w:tc>
      </w:tr>
      <w:tr w:rsidR="003E289B" w:rsidRPr="0028439F" w14:paraId="312C3CDD"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230DFAF2" w14:textId="27F52AC2" w:rsidR="003E289B" w:rsidRPr="0028439F" w:rsidRDefault="003E289B" w:rsidP="002C4AA8">
            <w:pPr>
              <w:pStyle w:val="Agency-body-text"/>
              <w:keepLines/>
              <w:numPr>
                <w:ilvl w:val="2"/>
                <w:numId w:val="27"/>
              </w:numPr>
              <w:rPr>
                <w:rFonts w:cs="Calibri"/>
              </w:rPr>
            </w:pPr>
            <w:r w:rsidRPr="0028439F">
              <w:lastRenderedPageBreak/>
              <w:t>There are strategies to promote professional learning for inclusion in teacher</w:t>
            </w:r>
            <w:r w:rsidR="002C4AA8" w:rsidRPr="0028439F">
              <w:t>s’</w:t>
            </w:r>
            <w:r w:rsidRPr="0028439F">
              <w:t xml:space="preserve"> common competence areas </w:t>
            </w:r>
            <w:r w:rsidRPr="0028439F">
              <w:rPr>
                <w:rFonts w:cs="Calibri"/>
              </w:rPr>
              <w:t>(e.g. experienced teachers and specialist teachers are expected to engage in professional learning activities that promote inclusive education pedagogies, such as co-teaching)</w:t>
            </w:r>
          </w:p>
        </w:tc>
        <w:tc>
          <w:tcPr>
            <w:tcW w:w="3250" w:type="pct"/>
            <w:tcBorders>
              <w:top w:val="single" w:sz="4" w:space="0" w:color="auto"/>
              <w:left w:val="single" w:sz="4" w:space="0" w:color="auto"/>
              <w:bottom w:val="single" w:sz="4" w:space="0" w:color="auto"/>
              <w:right w:val="single" w:sz="4" w:space="0" w:color="auto"/>
            </w:tcBorders>
          </w:tcPr>
          <w:p w14:paraId="6A60D407" w14:textId="77777777" w:rsidR="003E289B" w:rsidRPr="0028439F" w:rsidRDefault="003E289B" w:rsidP="009F6EE9">
            <w:pPr>
              <w:pStyle w:val="Agency-body-text"/>
            </w:pPr>
          </w:p>
        </w:tc>
      </w:tr>
      <w:tr w:rsidR="003E289B" w:rsidRPr="0028439F" w14:paraId="712B7602"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495E88F2" w14:textId="53333341" w:rsidR="003E289B" w:rsidRPr="0028439F" w:rsidRDefault="003E289B" w:rsidP="00334AB4">
            <w:pPr>
              <w:pStyle w:val="Agency-body-text"/>
              <w:numPr>
                <w:ilvl w:val="2"/>
                <w:numId w:val="27"/>
              </w:numPr>
              <w:rPr>
                <w:rFonts w:cs="Calibri"/>
              </w:rPr>
            </w:pPr>
            <w:r w:rsidRPr="0028439F">
              <w:rPr>
                <w:rFonts w:cs="Calibri"/>
              </w:rPr>
              <w:t>There are competences for professional learning in inclusive education for all teachers</w:t>
            </w:r>
          </w:p>
        </w:tc>
        <w:tc>
          <w:tcPr>
            <w:tcW w:w="3250" w:type="pct"/>
            <w:tcBorders>
              <w:top w:val="single" w:sz="4" w:space="0" w:color="auto"/>
              <w:left w:val="single" w:sz="4" w:space="0" w:color="auto"/>
              <w:bottom w:val="single" w:sz="4" w:space="0" w:color="auto"/>
              <w:right w:val="single" w:sz="4" w:space="0" w:color="auto"/>
            </w:tcBorders>
          </w:tcPr>
          <w:p w14:paraId="4AB879B0" w14:textId="77777777" w:rsidR="003E289B" w:rsidRPr="0028439F" w:rsidRDefault="003E289B" w:rsidP="009F6EE9">
            <w:pPr>
              <w:pStyle w:val="Agency-body-text"/>
            </w:pPr>
          </w:p>
        </w:tc>
      </w:tr>
    </w:tbl>
    <w:p w14:paraId="28355488" w14:textId="1DFB9B74" w:rsidR="0019605B" w:rsidRPr="0028439F" w:rsidRDefault="0019605B" w:rsidP="00334AB4">
      <w:pPr>
        <w:pStyle w:val="Agency-heading-3"/>
      </w:pPr>
      <w:bookmarkStart w:id="40" w:name="_Toc26879758"/>
      <w:r w:rsidRPr="0028439F">
        <w:t>Evaluative comments for ‘Capacity building’</w:t>
      </w:r>
      <w:bookmarkEnd w:id="40"/>
    </w:p>
    <w:tbl>
      <w:tblPr>
        <w:tblStyle w:val="TableGrid"/>
        <w:tblW w:w="5000" w:type="pct"/>
        <w:tblLook w:val="04A0" w:firstRow="1" w:lastRow="0" w:firstColumn="1" w:lastColumn="0" w:noHBand="0" w:noVBand="1"/>
        <w:tblCaption w:val="Evaluative comments for ‘Capacity building’"/>
      </w:tblPr>
      <w:tblGrid>
        <w:gridCol w:w="14418"/>
      </w:tblGrid>
      <w:tr w:rsidR="0019605B" w:rsidRPr="0028439F" w14:paraId="00F04F85" w14:textId="77777777" w:rsidTr="00842CA9">
        <w:tc>
          <w:tcPr>
            <w:tcW w:w="5000" w:type="pct"/>
          </w:tcPr>
          <w:p w14:paraId="20F8B97A" w14:textId="77777777" w:rsidR="0019605B" w:rsidRPr="0028439F" w:rsidRDefault="0019605B" w:rsidP="009F6EE9">
            <w:pPr>
              <w:pStyle w:val="Agency-body-text"/>
            </w:pPr>
          </w:p>
        </w:tc>
      </w:tr>
    </w:tbl>
    <w:p w14:paraId="07A78F67" w14:textId="0F668F65" w:rsidR="00085C78" w:rsidRPr="0028439F" w:rsidRDefault="00C22CE4" w:rsidP="00C22CE4">
      <w:pPr>
        <w:pStyle w:val="Agency-heading-2"/>
      </w:pPr>
      <w:bookmarkStart w:id="41" w:name="_Toc15387476"/>
      <w:bookmarkStart w:id="42" w:name="_Toc15387529"/>
      <w:bookmarkStart w:id="43" w:name="_Toc15387593"/>
      <w:bookmarkStart w:id="44" w:name="_Toc26879759"/>
      <w:bookmarkEnd w:id="41"/>
      <w:bookmarkEnd w:id="42"/>
      <w:bookmarkEnd w:id="43"/>
      <w:r w:rsidRPr="0028439F">
        <w:lastRenderedPageBreak/>
        <w:t xml:space="preserve">4.2 </w:t>
      </w:r>
      <w:r w:rsidR="00085C78" w:rsidRPr="0028439F">
        <w:t>Funding</w:t>
      </w:r>
      <w:bookmarkEnd w:id="44"/>
    </w:p>
    <w:p w14:paraId="4DE165EF" w14:textId="58EAAE47" w:rsidR="004C3748" w:rsidRPr="0028439F" w:rsidRDefault="005B639A" w:rsidP="00334AB4">
      <w:pPr>
        <w:pStyle w:val="Agency-body-text"/>
        <w:keepNext/>
      </w:pPr>
      <w:r w:rsidRPr="0028439F">
        <w:t xml:space="preserve">Policy </w:t>
      </w:r>
      <w:r w:rsidR="006D3F9C" w:rsidRPr="0028439F">
        <w:t>must</w:t>
      </w:r>
      <w:r w:rsidRPr="0028439F">
        <w:t xml:space="preserve"> ensure that teacher professional learning opportunities are adequately funded and cost-effective. This means that the following </w:t>
      </w:r>
      <w:r w:rsidR="00F871C2" w:rsidRPr="0028439F">
        <w:t>policy priorities</w:t>
      </w:r>
      <w:r w:rsidRPr="0028439F">
        <w:t xml:space="preserve"> need to be addressed</w:t>
      </w:r>
      <w:r w:rsidR="006D3F9C" w:rsidRPr="0028439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licy priorities and findings for 'Funding'"/>
      </w:tblPr>
      <w:tblGrid>
        <w:gridCol w:w="5046"/>
        <w:gridCol w:w="9372"/>
      </w:tblGrid>
      <w:tr w:rsidR="0070198A" w:rsidRPr="0028439F" w14:paraId="7ED271D1" w14:textId="77777777" w:rsidTr="00842CA9">
        <w:trPr>
          <w:tblHeader/>
        </w:trPr>
        <w:tc>
          <w:tcPr>
            <w:tcW w:w="1750" w:type="pct"/>
            <w:shd w:val="clear" w:color="auto" w:fill="F2F2F2" w:themeFill="background1" w:themeFillShade="F2"/>
          </w:tcPr>
          <w:p w14:paraId="6359E618" w14:textId="77777777" w:rsidR="0070198A" w:rsidRPr="0028439F" w:rsidRDefault="0070198A" w:rsidP="00842CA9">
            <w:pPr>
              <w:pStyle w:val="Agency-body-text"/>
              <w:keepNext/>
              <w:rPr>
                <w:rFonts w:asciiTheme="majorHAnsi" w:eastAsiaTheme="majorEastAsia" w:hAnsiTheme="majorHAnsi" w:cstheme="majorBidi"/>
                <w:b/>
                <w:bCs/>
                <w:szCs w:val="24"/>
              </w:rPr>
            </w:pPr>
            <w:r w:rsidRPr="0028439F">
              <w:rPr>
                <w:rFonts w:cs="Calibri"/>
                <w:b/>
                <w:bCs/>
                <w:szCs w:val="24"/>
              </w:rPr>
              <w:t>Policy priorities</w:t>
            </w:r>
          </w:p>
        </w:tc>
        <w:tc>
          <w:tcPr>
            <w:tcW w:w="3250" w:type="pct"/>
            <w:shd w:val="clear" w:color="auto" w:fill="F2F2F2" w:themeFill="background1" w:themeFillShade="F2"/>
          </w:tcPr>
          <w:p w14:paraId="0ADD1817" w14:textId="65577FF1" w:rsidR="0070198A" w:rsidRPr="0028439F" w:rsidRDefault="0070198A" w:rsidP="00842CA9">
            <w:pPr>
              <w:pStyle w:val="Agency-body-text"/>
              <w:keepNext/>
              <w:rPr>
                <w:rFonts w:asciiTheme="majorHAnsi" w:eastAsiaTheme="majorEastAsia" w:hAnsiTheme="majorHAnsi" w:cstheme="majorBidi"/>
                <w:b/>
                <w:bCs/>
                <w:szCs w:val="24"/>
              </w:rPr>
            </w:pPr>
            <w:r w:rsidRPr="0028439F">
              <w:rPr>
                <w:rFonts w:eastAsiaTheme="majorEastAsia" w:cstheme="majorBidi"/>
                <w:b/>
                <w:bCs/>
                <w:szCs w:val="24"/>
              </w:rPr>
              <w:t>Findings</w:t>
            </w:r>
          </w:p>
        </w:tc>
      </w:tr>
      <w:tr w:rsidR="0070198A" w:rsidRPr="0028439F" w14:paraId="5E27CA7D"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6A65560F" w14:textId="2429666D" w:rsidR="0070198A" w:rsidRPr="0028439F" w:rsidRDefault="0070198A" w:rsidP="002C4AA8">
            <w:pPr>
              <w:pStyle w:val="Agency-body-text"/>
              <w:keepLines/>
              <w:numPr>
                <w:ilvl w:val="2"/>
                <w:numId w:val="29"/>
              </w:numPr>
              <w:rPr>
                <w:rFonts w:cs="Calibri"/>
              </w:rPr>
            </w:pPr>
            <w:r w:rsidRPr="0028439F">
              <w:rPr>
                <w:rFonts w:cs="Calibri"/>
              </w:rPr>
              <w:t>There are financial incentives to encourage all schools/higher education institutions to develop policy and action plans for teacher professional learning for inclusion</w:t>
            </w:r>
          </w:p>
        </w:tc>
        <w:tc>
          <w:tcPr>
            <w:tcW w:w="3250" w:type="pct"/>
            <w:tcBorders>
              <w:top w:val="single" w:sz="4" w:space="0" w:color="auto"/>
              <w:left w:val="single" w:sz="4" w:space="0" w:color="auto"/>
              <w:bottom w:val="single" w:sz="4" w:space="0" w:color="auto"/>
              <w:right w:val="single" w:sz="4" w:space="0" w:color="auto"/>
            </w:tcBorders>
          </w:tcPr>
          <w:p w14:paraId="4CA37675" w14:textId="77777777" w:rsidR="0070198A" w:rsidRPr="0028439F" w:rsidRDefault="0070198A" w:rsidP="009F6EE9">
            <w:pPr>
              <w:pStyle w:val="Agency-body-text"/>
              <w:rPr>
                <w:rFonts w:asciiTheme="majorHAnsi" w:eastAsiaTheme="majorEastAsia" w:hAnsiTheme="majorHAnsi" w:cstheme="majorBidi"/>
                <w:szCs w:val="24"/>
              </w:rPr>
            </w:pPr>
          </w:p>
        </w:tc>
      </w:tr>
      <w:tr w:rsidR="0070198A" w:rsidRPr="0028439F" w14:paraId="31DCEEBA"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37901466" w14:textId="0CC5FAF1" w:rsidR="0070198A" w:rsidRPr="0028439F" w:rsidRDefault="0070198A" w:rsidP="002C4AA8">
            <w:pPr>
              <w:pStyle w:val="Agency-body-text"/>
              <w:numPr>
                <w:ilvl w:val="2"/>
                <w:numId w:val="29"/>
              </w:numPr>
              <w:rPr>
                <w:rFonts w:cs="Calibri"/>
              </w:rPr>
            </w:pPr>
            <w:r w:rsidRPr="0028439F">
              <w:rPr>
                <w:rFonts w:cs="Calibri"/>
              </w:rPr>
              <w:t>There are mechanisms for systematic data collection on expenditure on teacher professional learning that informs cost</w:t>
            </w:r>
            <w:r w:rsidR="00D154C2" w:rsidRPr="0028439F">
              <w:rPr>
                <w:rFonts w:cs="Calibri"/>
              </w:rPr>
              <w:noBreakHyphen/>
            </w:r>
            <w:r w:rsidRPr="0028439F">
              <w:rPr>
                <w:rFonts w:cs="Calibri"/>
              </w:rPr>
              <w:t>effectiveness issues</w:t>
            </w:r>
          </w:p>
        </w:tc>
        <w:tc>
          <w:tcPr>
            <w:tcW w:w="3250" w:type="pct"/>
            <w:tcBorders>
              <w:top w:val="single" w:sz="4" w:space="0" w:color="auto"/>
              <w:left w:val="single" w:sz="4" w:space="0" w:color="auto"/>
              <w:bottom w:val="single" w:sz="4" w:space="0" w:color="auto"/>
              <w:right w:val="single" w:sz="4" w:space="0" w:color="auto"/>
            </w:tcBorders>
          </w:tcPr>
          <w:p w14:paraId="2D6B519E" w14:textId="77777777" w:rsidR="0070198A" w:rsidRPr="0028439F" w:rsidRDefault="0070198A" w:rsidP="009F6EE9">
            <w:pPr>
              <w:pStyle w:val="Agency-body-text"/>
            </w:pPr>
          </w:p>
        </w:tc>
      </w:tr>
      <w:tr w:rsidR="0070198A" w:rsidRPr="0028439F" w14:paraId="426D1B40"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7934B4F0" w14:textId="3430737C" w:rsidR="0070198A" w:rsidRPr="0028439F" w:rsidRDefault="0070198A" w:rsidP="002C4AA8">
            <w:pPr>
              <w:pStyle w:val="Agency-body-text"/>
              <w:numPr>
                <w:ilvl w:val="2"/>
                <w:numId w:val="29"/>
              </w:numPr>
              <w:rPr>
                <w:rFonts w:cs="Calibri"/>
              </w:rPr>
            </w:pPr>
            <w:r w:rsidRPr="0028439F">
              <w:rPr>
                <w:rFonts w:cs="Calibri"/>
              </w:rPr>
              <w:t>There are flexible resourcing mechanisms that foster teacher professional learning at school level</w:t>
            </w:r>
          </w:p>
        </w:tc>
        <w:tc>
          <w:tcPr>
            <w:tcW w:w="3250" w:type="pct"/>
            <w:tcBorders>
              <w:top w:val="single" w:sz="4" w:space="0" w:color="auto"/>
              <w:left w:val="single" w:sz="4" w:space="0" w:color="auto"/>
              <w:bottom w:val="single" w:sz="4" w:space="0" w:color="auto"/>
              <w:right w:val="single" w:sz="4" w:space="0" w:color="auto"/>
            </w:tcBorders>
          </w:tcPr>
          <w:p w14:paraId="760E53D2" w14:textId="77777777" w:rsidR="0070198A" w:rsidRPr="0028439F" w:rsidRDefault="0070198A" w:rsidP="009F6EE9">
            <w:pPr>
              <w:pStyle w:val="Agency-body-text"/>
            </w:pPr>
          </w:p>
        </w:tc>
      </w:tr>
    </w:tbl>
    <w:p w14:paraId="20680D4E" w14:textId="25EABF18" w:rsidR="006D3F9C" w:rsidRPr="0028439F" w:rsidRDefault="006D3F9C" w:rsidP="00334AB4">
      <w:pPr>
        <w:pStyle w:val="Agency-heading-3"/>
      </w:pPr>
      <w:bookmarkStart w:id="45" w:name="_Toc26879760"/>
      <w:r w:rsidRPr="0028439F">
        <w:t>Evaluative comments for ‘Funding’</w:t>
      </w:r>
      <w:bookmarkEnd w:id="45"/>
    </w:p>
    <w:tbl>
      <w:tblPr>
        <w:tblStyle w:val="TableGrid"/>
        <w:tblW w:w="5000" w:type="pct"/>
        <w:tblLook w:val="04A0" w:firstRow="1" w:lastRow="0" w:firstColumn="1" w:lastColumn="0" w:noHBand="0" w:noVBand="1"/>
        <w:tblCaption w:val="Evaluative comments for ‘Funding’"/>
      </w:tblPr>
      <w:tblGrid>
        <w:gridCol w:w="14418"/>
      </w:tblGrid>
      <w:tr w:rsidR="006D3F9C" w:rsidRPr="0028439F" w14:paraId="0A8BEC24" w14:textId="77777777" w:rsidTr="00842CA9">
        <w:tc>
          <w:tcPr>
            <w:tcW w:w="5000" w:type="pct"/>
          </w:tcPr>
          <w:p w14:paraId="52D32DAB" w14:textId="77777777" w:rsidR="006D3F9C" w:rsidRPr="0028439F" w:rsidRDefault="006D3F9C" w:rsidP="009F6EE9">
            <w:pPr>
              <w:pStyle w:val="Agency-body-text"/>
            </w:pPr>
          </w:p>
        </w:tc>
      </w:tr>
    </w:tbl>
    <w:p w14:paraId="48AA9D88" w14:textId="7518428B" w:rsidR="00085C78" w:rsidRPr="0028439F" w:rsidRDefault="00C22CE4" w:rsidP="00C22CE4">
      <w:pPr>
        <w:pStyle w:val="Agency-heading-2"/>
      </w:pPr>
      <w:bookmarkStart w:id="46" w:name="_Toc15387478"/>
      <w:bookmarkStart w:id="47" w:name="_Toc15387531"/>
      <w:bookmarkStart w:id="48" w:name="_Toc15387595"/>
      <w:bookmarkStart w:id="49" w:name="_Toc26879761"/>
      <w:bookmarkEnd w:id="46"/>
      <w:bookmarkEnd w:id="47"/>
      <w:bookmarkEnd w:id="48"/>
      <w:r w:rsidRPr="0028439F">
        <w:lastRenderedPageBreak/>
        <w:t xml:space="preserve">4.3 </w:t>
      </w:r>
      <w:r w:rsidR="00085C78" w:rsidRPr="0028439F">
        <w:t>Monitoring</w:t>
      </w:r>
      <w:bookmarkEnd w:id="49"/>
    </w:p>
    <w:p w14:paraId="2551D5DA" w14:textId="686CF7D7" w:rsidR="005B639A" w:rsidRPr="0028439F" w:rsidRDefault="005B639A" w:rsidP="00334AB4">
      <w:pPr>
        <w:pStyle w:val="Agency-body-text"/>
        <w:keepNext/>
      </w:pPr>
      <w:r w:rsidRPr="0028439F">
        <w:t xml:space="preserve">Policy </w:t>
      </w:r>
      <w:r w:rsidR="003F44A7" w:rsidRPr="0028439F">
        <w:t>must</w:t>
      </w:r>
      <w:r w:rsidRPr="0028439F">
        <w:t xml:space="preserve"> ensure that teacher professional learning opportunities are </w:t>
      </w:r>
      <w:r w:rsidR="00540D7D" w:rsidRPr="0028439F">
        <w:t>monitored through appropriate mechanisms</w:t>
      </w:r>
      <w:r w:rsidR="001431BB" w:rsidRPr="0028439F">
        <w:t>. These mechanisms should</w:t>
      </w:r>
      <w:r w:rsidR="00540D7D" w:rsidRPr="0028439F">
        <w:t xml:space="preserve"> consider data </w:t>
      </w:r>
      <w:r w:rsidR="00D93F10" w:rsidRPr="0028439F">
        <w:t xml:space="preserve">on </w:t>
      </w:r>
      <w:r w:rsidR="00540D7D" w:rsidRPr="0028439F">
        <w:t xml:space="preserve">teachers’ engagement and improvement, regardless </w:t>
      </w:r>
      <w:r w:rsidR="001431BB" w:rsidRPr="0028439F">
        <w:t xml:space="preserve">of </w:t>
      </w:r>
      <w:r w:rsidR="00540D7D" w:rsidRPr="0028439F">
        <w:t xml:space="preserve">the level of education they serve </w:t>
      </w:r>
      <w:r w:rsidR="001431BB" w:rsidRPr="0028439F">
        <w:t xml:space="preserve">or </w:t>
      </w:r>
      <w:r w:rsidR="00540D7D" w:rsidRPr="0028439F">
        <w:t>the location of their workplace</w:t>
      </w:r>
      <w:r w:rsidRPr="0028439F">
        <w:t xml:space="preserve">. This means that the following </w:t>
      </w:r>
      <w:r w:rsidR="00F871C2" w:rsidRPr="0028439F">
        <w:t>policy priorities</w:t>
      </w:r>
      <w:r w:rsidRPr="0028439F">
        <w:t xml:space="preserve"> need to be addressed</w:t>
      </w:r>
      <w:r w:rsidR="00D93F10" w:rsidRPr="0028439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licy priorities and findings for 'Monitoring'"/>
      </w:tblPr>
      <w:tblGrid>
        <w:gridCol w:w="5046"/>
        <w:gridCol w:w="9372"/>
      </w:tblGrid>
      <w:tr w:rsidR="0070198A" w:rsidRPr="0028439F" w14:paraId="737B64AB" w14:textId="77777777" w:rsidTr="00842CA9">
        <w:trPr>
          <w:tblHeader/>
        </w:trPr>
        <w:tc>
          <w:tcPr>
            <w:tcW w:w="1750" w:type="pct"/>
            <w:shd w:val="clear" w:color="auto" w:fill="F2F2F2" w:themeFill="background1" w:themeFillShade="F2"/>
          </w:tcPr>
          <w:p w14:paraId="20FDB7DE" w14:textId="77777777" w:rsidR="0070198A" w:rsidRPr="0028439F" w:rsidRDefault="0070198A" w:rsidP="00842CA9">
            <w:pPr>
              <w:pStyle w:val="Agency-body-text"/>
              <w:keepNext/>
              <w:rPr>
                <w:rFonts w:asciiTheme="majorHAnsi" w:eastAsiaTheme="majorEastAsia" w:hAnsiTheme="majorHAnsi" w:cstheme="majorBidi"/>
                <w:b/>
                <w:bCs/>
                <w:szCs w:val="24"/>
              </w:rPr>
            </w:pPr>
            <w:r w:rsidRPr="0028439F">
              <w:rPr>
                <w:rFonts w:cs="Calibri"/>
                <w:b/>
                <w:bCs/>
                <w:szCs w:val="24"/>
              </w:rPr>
              <w:t>Policy priorities</w:t>
            </w:r>
          </w:p>
        </w:tc>
        <w:tc>
          <w:tcPr>
            <w:tcW w:w="3250" w:type="pct"/>
            <w:shd w:val="clear" w:color="auto" w:fill="F2F2F2" w:themeFill="background1" w:themeFillShade="F2"/>
          </w:tcPr>
          <w:p w14:paraId="4083943E" w14:textId="68D439B5" w:rsidR="0070198A" w:rsidRPr="0028439F" w:rsidRDefault="0070198A" w:rsidP="00842CA9">
            <w:pPr>
              <w:pStyle w:val="Agency-body-text"/>
              <w:keepNext/>
              <w:rPr>
                <w:rFonts w:asciiTheme="majorHAnsi" w:eastAsiaTheme="majorEastAsia" w:hAnsiTheme="majorHAnsi" w:cstheme="majorBidi"/>
                <w:b/>
                <w:bCs/>
                <w:szCs w:val="24"/>
              </w:rPr>
            </w:pPr>
            <w:r w:rsidRPr="0028439F">
              <w:rPr>
                <w:rFonts w:eastAsiaTheme="majorEastAsia" w:cstheme="majorBidi"/>
                <w:b/>
                <w:bCs/>
                <w:szCs w:val="24"/>
              </w:rPr>
              <w:t>Findings</w:t>
            </w:r>
          </w:p>
        </w:tc>
      </w:tr>
      <w:tr w:rsidR="0070198A" w:rsidRPr="0028439F" w14:paraId="7433DE6B"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FD1F4D9" w14:textId="5E8A3AFF" w:rsidR="0070198A" w:rsidRPr="0028439F" w:rsidRDefault="0070198A" w:rsidP="002C4AA8">
            <w:pPr>
              <w:pStyle w:val="Agency-body-text"/>
              <w:numPr>
                <w:ilvl w:val="2"/>
                <w:numId w:val="31"/>
              </w:numPr>
              <w:rPr>
                <w:rFonts w:cs="Calibri"/>
              </w:rPr>
            </w:pPr>
            <w:r w:rsidRPr="0028439F">
              <w:rPr>
                <w:rFonts w:cs="Calibri"/>
              </w:rPr>
              <w:t>There is a comprehensive accountability framework for monitoring and evaluating the implementation of teacher professional learning for inclusion activities</w:t>
            </w:r>
          </w:p>
        </w:tc>
        <w:tc>
          <w:tcPr>
            <w:tcW w:w="3250" w:type="pct"/>
            <w:tcBorders>
              <w:top w:val="single" w:sz="4" w:space="0" w:color="auto"/>
              <w:left w:val="single" w:sz="4" w:space="0" w:color="auto"/>
              <w:bottom w:val="single" w:sz="4" w:space="0" w:color="auto"/>
              <w:right w:val="single" w:sz="4" w:space="0" w:color="auto"/>
            </w:tcBorders>
          </w:tcPr>
          <w:p w14:paraId="14AB0512" w14:textId="77777777" w:rsidR="0070198A" w:rsidRPr="0028439F" w:rsidRDefault="0070198A" w:rsidP="009F6EE9">
            <w:pPr>
              <w:pStyle w:val="Agency-body-text"/>
              <w:rPr>
                <w:rFonts w:asciiTheme="majorHAnsi" w:eastAsiaTheme="majorEastAsia" w:hAnsiTheme="majorHAnsi" w:cstheme="majorBidi"/>
                <w:szCs w:val="24"/>
              </w:rPr>
            </w:pPr>
          </w:p>
        </w:tc>
      </w:tr>
      <w:tr w:rsidR="0070198A" w:rsidRPr="0028439F" w14:paraId="6A38CA14"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04E8AF87" w14:textId="3D810782" w:rsidR="0070198A" w:rsidRPr="0028439F" w:rsidRDefault="0070198A" w:rsidP="00BF0509">
            <w:pPr>
              <w:pStyle w:val="Agency-body-text"/>
              <w:numPr>
                <w:ilvl w:val="2"/>
                <w:numId w:val="31"/>
              </w:numPr>
              <w:rPr>
                <w:rFonts w:cs="Calibri"/>
              </w:rPr>
            </w:pPr>
            <w:r w:rsidRPr="0028439F">
              <w:rPr>
                <w:rFonts w:cs="Calibri"/>
              </w:rPr>
              <w:t>Monitoring mechanisms ensure that inequalities in access to professional learning opportunities at regional or organisational levels are addressed</w:t>
            </w:r>
          </w:p>
        </w:tc>
        <w:tc>
          <w:tcPr>
            <w:tcW w:w="3250" w:type="pct"/>
            <w:tcBorders>
              <w:top w:val="single" w:sz="4" w:space="0" w:color="auto"/>
              <w:left w:val="single" w:sz="4" w:space="0" w:color="auto"/>
              <w:bottom w:val="single" w:sz="4" w:space="0" w:color="auto"/>
              <w:right w:val="single" w:sz="4" w:space="0" w:color="auto"/>
            </w:tcBorders>
          </w:tcPr>
          <w:p w14:paraId="6DA27CDF" w14:textId="77777777" w:rsidR="0070198A" w:rsidRPr="0028439F" w:rsidRDefault="0070198A" w:rsidP="009F6EE9">
            <w:pPr>
              <w:pStyle w:val="Agency-body-text"/>
            </w:pPr>
          </w:p>
        </w:tc>
      </w:tr>
      <w:tr w:rsidR="0070198A" w:rsidRPr="0028439F" w14:paraId="610034A8"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1FAD3EA1" w14:textId="7694F29D" w:rsidR="0070198A" w:rsidRPr="0028439F" w:rsidRDefault="0070198A" w:rsidP="002C4AA8">
            <w:pPr>
              <w:pStyle w:val="Agency-body-text"/>
              <w:numPr>
                <w:ilvl w:val="2"/>
                <w:numId w:val="31"/>
              </w:numPr>
              <w:rPr>
                <w:rFonts w:cs="Calibri"/>
              </w:rPr>
            </w:pPr>
            <w:r w:rsidRPr="0028439F">
              <w:rPr>
                <w:rFonts w:cs="Calibri"/>
              </w:rPr>
              <w:t>There are mechanisms to support schools/teacher education departments/higher education institutions to have ownership of review and improvement processes in relation to teacher professional learning</w:t>
            </w:r>
          </w:p>
        </w:tc>
        <w:tc>
          <w:tcPr>
            <w:tcW w:w="3250" w:type="pct"/>
            <w:tcBorders>
              <w:top w:val="single" w:sz="4" w:space="0" w:color="auto"/>
              <w:left w:val="single" w:sz="4" w:space="0" w:color="auto"/>
              <w:bottom w:val="single" w:sz="4" w:space="0" w:color="auto"/>
              <w:right w:val="single" w:sz="4" w:space="0" w:color="auto"/>
            </w:tcBorders>
          </w:tcPr>
          <w:p w14:paraId="54486667" w14:textId="77777777" w:rsidR="0070198A" w:rsidRPr="0028439F" w:rsidRDefault="0070198A" w:rsidP="009F6EE9">
            <w:pPr>
              <w:pStyle w:val="Agency-body-text"/>
            </w:pPr>
          </w:p>
        </w:tc>
      </w:tr>
      <w:tr w:rsidR="0070198A" w:rsidRPr="0028439F" w14:paraId="14106B36"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FF0F728" w14:textId="385E6C54" w:rsidR="0070198A" w:rsidRPr="0028439F" w:rsidRDefault="0070198A" w:rsidP="002C4AA8">
            <w:pPr>
              <w:pStyle w:val="Agency-body-text"/>
              <w:keepLines/>
              <w:numPr>
                <w:ilvl w:val="2"/>
                <w:numId w:val="31"/>
              </w:numPr>
              <w:rPr>
                <w:rFonts w:cs="Calibri"/>
              </w:rPr>
            </w:pPr>
            <w:r w:rsidRPr="0028439F">
              <w:rPr>
                <w:rFonts w:cs="Calibri"/>
              </w:rPr>
              <w:lastRenderedPageBreak/>
              <w:t>There are mechanisms to share and analyse data to inform improvement processes in relation to teacher professional learning at national and local level</w:t>
            </w:r>
          </w:p>
        </w:tc>
        <w:tc>
          <w:tcPr>
            <w:tcW w:w="3250" w:type="pct"/>
            <w:tcBorders>
              <w:top w:val="single" w:sz="4" w:space="0" w:color="auto"/>
              <w:left w:val="single" w:sz="4" w:space="0" w:color="auto"/>
              <w:bottom w:val="single" w:sz="4" w:space="0" w:color="auto"/>
              <w:right w:val="single" w:sz="4" w:space="0" w:color="auto"/>
            </w:tcBorders>
          </w:tcPr>
          <w:p w14:paraId="3A46A97A" w14:textId="77777777" w:rsidR="0070198A" w:rsidRPr="0028439F" w:rsidRDefault="0070198A" w:rsidP="009F6EE9">
            <w:pPr>
              <w:pStyle w:val="Agency-body-text"/>
            </w:pPr>
          </w:p>
        </w:tc>
      </w:tr>
      <w:tr w:rsidR="0070198A" w:rsidRPr="0028439F" w14:paraId="4DB90A16"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54EDC045" w14:textId="72A8EB2B" w:rsidR="0070198A" w:rsidRPr="0028439F" w:rsidRDefault="0070198A" w:rsidP="0062060C">
            <w:pPr>
              <w:pStyle w:val="Agency-body-text"/>
              <w:numPr>
                <w:ilvl w:val="2"/>
                <w:numId w:val="31"/>
              </w:numPr>
              <w:rPr>
                <w:rFonts w:cs="Calibri"/>
              </w:rPr>
            </w:pPr>
            <w:r w:rsidRPr="0028439F">
              <w:rPr>
                <w:rFonts w:cs="Calibri"/>
              </w:rPr>
              <w:t>There is data available on whether teachers are engaged in professional learning that is relevant to the level of education they teach</w:t>
            </w:r>
          </w:p>
        </w:tc>
        <w:tc>
          <w:tcPr>
            <w:tcW w:w="3250" w:type="pct"/>
            <w:tcBorders>
              <w:top w:val="single" w:sz="4" w:space="0" w:color="auto"/>
              <w:left w:val="single" w:sz="4" w:space="0" w:color="auto"/>
              <w:bottom w:val="single" w:sz="4" w:space="0" w:color="auto"/>
              <w:right w:val="single" w:sz="4" w:space="0" w:color="auto"/>
            </w:tcBorders>
          </w:tcPr>
          <w:p w14:paraId="3FF6061C" w14:textId="77777777" w:rsidR="0070198A" w:rsidRPr="0028439F" w:rsidRDefault="0070198A" w:rsidP="009F6EE9">
            <w:pPr>
              <w:pStyle w:val="Agency-body-text"/>
            </w:pPr>
          </w:p>
        </w:tc>
      </w:tr>
      <w:tr w:rsidR="0070198A" w:rsidRPr="0028439F" w14:paraId="570C7AB0" w14:textId="77777777" w:rsidTr="00842CA9">
        <w:tc>
          <w:tcPr>
            <w:tcW w:w="1750" w:type="pct"/>
            <w:tcBorders>
              <w:top w:val="single" w:sz="4" w:space="0" w:color="auto"/>
              <w:left w:val="single" w:sz="4" w:space="0" w:color="auto"/>
              <w:bottom w:val="single" w:sz="4" w:space="0" w:color="auto"/>
              <w:right w:val="single" w:sz="4" w:space="0" w:color="auto"/>
            </w:tcBorders>
            <w:shd w:val="clear" w:color="auto" w:fill="auto"/>
          </w:tcPr>
          <w:p w14:paraId="4EC4D984" w14:textId="64580B8A" w:rsidR="0070198A" w:rsidRPr="0028439F" w:rsidRDefault="0070198A" w:rsidP="002C4AA8">
            <w:pPr>
              <w:pStyle w:val="Agency-body-text"/>
              <w:numPr>
                <w:ilvl w:val="2"/>
                <w:numId w:val="31"/>
              </w:numPr>
              <w:rPr>
                <w:rFonts w:cs="Calibri"/>
              </w:rPr>
            </w:pPr>
            <w:r w:rsidRPr="0028439F">
              <w:rPr>
                <w:rFonts w:cs="Calibri"/>
              </w:rPr>
              <w:t>There are mechanisms to ensure that teacher professional learning contributes to improving inclusive education practice at school level/the level of a teacher education department or higher education institution</w:t>
            </w:r>
          </w:p>
        </w:tc>
        <w:tc>
          <w:tcPr>
            <w:tcW w:w="3250" w:type="pct"/>
            <w:tcBorders>
              <w:top w:val="single" w:sz="4" w:space="0" w:color="auto"/>
              <w:left w:val="single" w:sz="4" w:space="0" w:color="auto"/>
              <w:bottom w:val="single" w:sz="4" w:space="0" w:color="auto"/>
              <w:right w:val="single" w:sz="4" w:space="0" w:color="auto"/>
            </w:tcBorders>
          </w:tcPr>
          <w:p w14:paraId="70D96987" w14:textId="77777777" w:rsidR="0070198A" w:rsidRPr="0028439F" w:rsidRDefault="0070198A" w:rsidP="009F6EE9">
            <w:pPr>
              <w:pStyle w:val="Agency-body-text"/>
            </w:pPr>
          </w:p>
        </w:tc>
      </w:tr>
    </w:tbl>
    <w:p w14:paraId="671D56B4" w14:textId="61480CAE" w:rsidR="006E737E" w:rsidRPr="0028439F" w:rsidRDefault="006E737E" w:rsidP="00334AB4">
      <w:pPr>
        <w:pStyle w:val="Agency-heading-3"/>
      </w:pPr>
      <w:bookmarkStart w:id="50" w:name="_Toc26879762"/>
      <w:r w:rsidRPr="0028439F">
        <w:t>Evaluative comments for ‘Monitoring’</w:t>
      </w:r>
      <w:bookmarkEnd w:id="50"/>
    </w:p>
    <w:tbl>
      <w:tblPr>
        <w:tblStyle w:val="TableGrid"/>
        <w:tblW w:w="5000" w:type="pct"/>
        <w:tblLook w:val="04A0" w:firstRow="1" w:lastRow="0" w:firstColumn="1" w:lastColumn="0" w:noHBand="0" w:noVBand="1"/>
        <w:tblCaption w:val="Evaluative comments for ‘Monitoring’"/>
      </w:tblPr>
      <w:tblGrid>
        <w:gridCol w:w="14418"/>
      </w:tblGrid>
      <w:tr w:rsidR="006E737E" w:rsidRPr="0028439F" w14:paraId="2D11F754" w14:textId="77777777" w:rsidTr="00842CA9">
        <w:tc>
          <w:tcPr>
            <w:tcW w:w="5000" w:type="pct"/>
          </w:tcPr>
          <w:p w14:paraId="6B94230F" w14:textId="77777777" w:rsidR="006E737E" w:rsidRPr="0028439F" w:rsidRDefault="006E737E" w:rsidP="009F6EE9">
            <w:pPr>
              <w:pStyle w:val="Agency-body-text"/>
            </w:pPr>
          </w:p>
        </w:tc>
      </w:tr>
    </w:tbl>
    <w:p w14:paraId="0B6BC0CE" w14:textId="77777777" w:rsidR="00310F05" w:rsidRPr="0028439F" w:rsidRDefault="00310F05" w:rsidP="00D640BF">
      <w:pPr>
        <w:pStyle w:val="Agency-body-text"/>
        <w:sectPr w:rsidR="00310F05" w:rsidRPr="0028439F" w:rsidSect="00615BD9">
          <w:headerReference w:type="even" r:id="rId24"/>
          <w:headerReference w:type="default" r:id="rId25"/>
          <w:footerReference w:type="default" r:id="rId26"/>
          <w:pgSz w:w="16838" w:h="11899" w:orient="landscape"/>
          <w:pgMar w:top="1531" w:right="1276" w:bottom="1531" w:left="1134" w:header="709" w:footer="828" w:gutter="0"/>
          <w:cols w:space="708"/>
          <w:docGrid w:linePitch="360"/>
        </w:sectPr>
      </w:pPr>
      <w:bookmarkStart w:id="51" w:name="_Toc536445003"/>
    </w:p>
    <w:p w14:paraId="708D5415" w14:textId="7047BEB3" w:rsidR="00D94A46" w:rsidRPr="0028439F" w:rsidRDefault="00D94A46" w:rsidP="003162A0">
      <w:pPr>
        <w:pStyle w:val="Agency-heading-1"/>
      </w:pPr>
      <w:bookmarkStart w:id="52" w:name="_Toc26879763"/>
      <w:r w:rsidRPr="0028439F">
        <w:lastRenderedPageBreak/>
        <w:t>References</w:t>
      </w:r>
      <w:bookmarkEnd w:id="51"/>
      <w:bookmarkEnd w:id="52"/>
    </w:p>
    <w:p w14:paraId="5C553942" w14:textId="55705585" w:rsidR="00D05358" w:rsidRPr="0028439F" w:rsidRDefault="00CA176D" w:rsidP="00F74887">
      <w:pPr>
        <w:pStyle w:val="Agency-body-text"/>
      </w:pPr>
      <w:r w:rsidRPr="0028439F">
        <w:t>European Agency for Special Needs and Inclusive Education, 2015.</w:t>
      </w:r>
      <w:r w:rsidRPr="0028439F">
        <w:rPr>
          <w:iCs/>
        </w:rPr>
        <w:t xml:space="preserve"> </w:t>
      </w:r>
      <w:r w:rsidRPr="0028439F">
        <w:rPr>
          <w:i/>
        </w:rPr>
        <w:t>Agency Position on Inclusive Education Systems</w:t>
      </w:r>
      <w:r w:rsidRPr="0028439F">
        <w:t xml:space="preserve">. Odense, Denmark. </w:t>
      </w:r>
      <w:hyperlink r:id="rId27" w:history="1">
        <w:r w:rsidR="00B763C7" w:rsidRPr="0028439F">
          <w:rPr>
            <w:rStyle w:val="Hyperlink"/>
          </w:rPr>
          <w:t>www.european-agency.org/resources/publications/agency-position-inclusive-education-systems-flyer</w:t>
        </w:r>
      </w:hyperlink>
      <w:r w:rsidRPr="0028439F">
        <w:t xml:space="preserve"> (Last accessed </w:t>
      </w:r>
      <w:r w:rsidR="00964E9F" w:rsidRPr="0028439F">
        <w:t>June 2019</w:t>
      </w:r>
      <w:r w:rsidRPr="0028439F">
        <w:t>)</w:t>
      </w:r>
    </w:p>
    <w:p w14:paraId="72B89D0C" w14:textId="4A99B22C" w:rsidR="00964E9F" w:rsidRPr="0028439F" w:rsidRDefault="00964E9F" w:rsidP="00057B2F">
      <w:pPr>
        <w:pStyle w:val="Agency-body-text"/>
        <w:spacing w:before="240" w:after="240"/>
      </w:pPr>
      <w:r w:rsidRPr="0028439F">
        <w:t xml:space="preserve">European Agency for Special Needs and Inclusive Education, 2016. </w:t>
      </w:r>
      <w:r w:rsidRPr="0028439F">
        <w:rPr>
          <w:i/>
          <w:iCs/>
        </w:rPr>
        <w:t>Country Policy Review and Analysis: Methodology Report</w:t>
      </w:r>
      <w:r w:rsidRPr="0028439F">
        <w:t>. (V</w:t>
      </w:r>
      <w:r w:rsidR="0065604F" w:rsidRPr="0028439F">
        <w:t>. </w:t>
      </w:r>
      <w:r w:rsidRPr="0028439F">
        <w:t>Soriano, A</w:t>
      </w:r>
      <w:r w:rsidR="0065604F" w:rsidRPr="0028439F">
        <w:t>. </w:t>
      </w:r>
      <w:r w:rsidRPr="0028439F">
        <w:t>Watkins, S</w:t>
      </w:r>
      <w:r w:rsidR="0065604F" w:rsidRPr="0028439F">
        <w:t>. </w:t>
      </w:r>
      <w:r w:rsidRPr="0028439F">
        <w:t>Ebersold and S</w:t>
      </w:r>
      <w:r w:rsidR="0065604F" w:rsidRPr="0028439F">
        <w:t>. </w:t>
      </w:r>
      <w:r w:rsidRPr="0028439F">
        <w:t xml:space="preserve">Symeonidou, eds.). Odense, Denmark. </w:t>
      </w:r>
      <w:hyperlink r:id="rId28" w:history="1">
        <w:r w:rsidR="00677F42" w:rsidRPr="0028439F">
          <w:rPr>
            <w:rStyle w:val="Hyperlink"/>
          </w:rPr>
          <w:t>www.european-agency.org/resources/publications/country-policy-review-and-analysis-methodology-report</w:t>
        </w:r>
      </w:hyperlink>
      <w:r w:rsidR="00C2317E" w:rsidRPr="0028439F">
        <w:t xml:space="preserve"> </w:t>
      </w:r>
      <w:r w:rsidRPr="0028439F">
        <w:t>(Last accessed June 2019)</w:t>
      </w:r>
    </w:p>
    <w:p w14:paraId="4F2038B6" w14:textId="2DC89770" w:rsidR="00057B2F" w:rsidRPr="0028439F" w:rsidRDefault="00057B2F" w:rsidP="00057B2F">
      <w:pPr>
        <w:pStyle w:val="Agency-body-text"/>
        <w:spacing w:before="240" w:after="240"/>
      </w:pPr>
      <w:r w:rsidRPr="0028439F">
        <w:t>European Agency for Special Needs and Inclusive Education, 2018</w:t>
      </w:r>
      <w:r w:rsidR="009B1FD9" w:rsidRPr="0028439F">
        <w:t>a</w:t>
      </w:r>
      <w:r w:rsidRPr="0028439F">
        <w:t xml:space="preserve">. </w:t>
      </w:r>
      <w:r w:rsidRPr="0028439F">
        <w:rPr>
          <w:i/>
        </w:rPr>
        <w:t>Analysis Framework for Mapping Inclusive Education Policies</w:t>
      </w:r>
      <w:r w:rsidRPr="0028439F">
        <w:t xml:space="preserve">. (V. Soriano, A. Watkins, M. Kyriazopoulou, V. Donnelly, A. Kefallinou, S. Ebersold and G. Squires, eds.). </w:t>
      </w:r>
      <w:r w:rsidR="00964E9F" w:rsidRPr="0028439F">
        <w:t>Odense, Denmark.</w:t>
      </w:r>
      <w:r w:rsidR="001F4034" w:rsidRPr="0028439F">
        <w:t xml:space="preserve"> </w:t>
      </w:r>
      <w:hyperlink r:id="rId29" w:history="1">
        <w:r w:rsidR="001F4034" w:rsidRPr="0028439F">
          <w:rPr>
            <w:rStyle w:val="Hyperlink"/>
          </w:rPr>
          <w:t>www.european-agency.org/resources/publications/analysis-framework-mapping-inclusive-education-policies</w:t>
        </w:r>
      </w:hyperlink>
      <w:r w:rsidRPr="0028439F">
        <w:t xml:space="preserve"> (Last accessed </w:t>
      </w:r>
      <w:r w:rsidR="00964E9F" w:rsidRPr="0028439F">
        <w:t xml:space="preserve">June </w:t>
      </w:r>
      <w:r w:rsidRPr="0028439F">
        <w:t>2019)</w:t>
      </w:r>
    </w:p>
    <w:p w14:paraId="4F2D40FF" w14:textId="16A13A1D" w:rsidR="009B1FD9" w:rsidRPr="0028439F" w:rsidRDefault="009B1FD9" w:rsidP="00F74887">
      <w:pPr>
        <w:pStyle w:val="Agency-body-text"/>
      </w:pPr>
      <w:r w:rsidRPr="0028439F">
        <w:t xml:space="preserve">European Agency for Special Needs and Inclusive Education, 2018b. </w:t>
      </w:r>
      <w:r w:rsidRPr="0028439F">
        <w:rPr>
          <w:i/>
        </w:rPr>
        <w:t>Country Policy Review and Analysis: Methodology Report – Revised 2018</w:t>
      </w:r>
      <w:r w:rsidRPr="0028439F">
        <w:t xml:space="preserve">. (S. Symeonidou, V.J. Donnelly, V. Soriano and A. Watkins, eds.). Odense, Denmark. </w:t>
      </w:r>
      <w:hyperlink r:id="rId30" w:history="1">
        <w:r w:rsidRPr="0028439F">
          <w:rPr>
            <w:rStyle w:val="Hyperlink"/>
          </w:rPr>
          <w:t>www.european-agency.org/resources/publications/country-policy-review-and-analysis-methodology-report-revised-2018</w:t>
        </w:r>
      </w:hyperlink>
      <w:r w:rsidRPr="0028439F">
        <w:t xml:space="preserve"> (Last accessed </w:t>
      </w:r>
      <w:r w:rsidR="00964E9F" w:rsidRPr="0028439F">
        <w:t xml:space="preserve">June </w:t>
      </w:r>
      <w:r w:rsidR="00ED6F5C" w:rsidRPr="0028439F">
        <w:t>2019</w:t>
      </w:r>
      <w:r w:rsidRPr="0028439F">
        <w:t>)</w:t>
      </w:r>
    </w:p>
    <w:p w14:paraId="59479B86" w14:textId="1A02F032" w:rsidR="000423F1" w:rsidRPr="0028439F" w:rsidRDefault="009B1FD9" w:rsidP="002C4AA8">
      <w:pPr>
        <w:pStyle w:val="Agency-body-text"/>
        <w:spacing w:before="240" w:after="240"/>
      </w:pPr>
      <w:r w:rsidRPr="0028439F">
        <w:t xml:space="preserve">European Agency for Special Needs and Inclusive Education, 2019. </w:t>
      </w:r>
      <w:r w:rsidR="009A29A5" w:rsidRPr="0028439F">
        <w:rPr>
          <w:i/>
        </w:rPr>
        <w:t>Teacher Professional Learning for Inclusion</w:t>
      </w:r>
      <w:r w:rsidR="00D047A0" w:rsidRPr="0028439F">
        <w:rPr>
          <w:i/>
        </w:rPr>
        <w:t>:</w:t>
      </w:r>
      <w:r w:rsidRPr="0028439F">
        <w:rPr>
          <w:i/>
        </w:rPr>
        <w:t xml:space="preserve"> </w:t>
      </w:r>
      <w:r w:rsidR="00ED6F5C" w:rsidRPr="0028439F">
        <w:rPr>
          <w:i/>
        </w:rPr>
        <w:t>L</w:t>
      </w:r>
      <w:r w:rsidRPr="0028439F">
        <w:rPr>
          <w:i/>
        </w:rPr>
        <w:t xml:space="preserve">iterature </w:t>
      </w:r>
      <w:r w:rsidR="001731D0" w:rsidRPr="0028439F">
        <w:rPr>
          <w:i/>
        </w:rPr>
        <w:t>R</w:t>
      </w:r>
      <w:r w:rsidRPr="0028439F">
        <w:rPr>
          <w:i/>
        </w:rPr>
        <w:t>eview</w:t>
      </w:r>
      <w:r w:rsidRPr="0028439F">
        <w:t>. (</w:t>
      </w:r>
      <w:r w:rsidR="00F77646" w:rsidRPr="0028439F">
        <w:t>A.</w:t>
      </w:r>
      <w:r w:rsidR="00D047A0" w:rsidRPr="0028439F">
        <w:t> </w:t>
      </w:r>
      <w:r w:rsidR="00C82651" w:rsidRPr="0028439F">
        <w:t>D</w:t>
      </w:r>
      <w:r w:rsidR="00F77646" w:rsidRPr="0028439F">
        <w:t>e Vroey, S.</w:t>
      </w:r>
      <w:r w:rsidR="00F03B38" w:rsidRPr="0028439F">
        <w:t> </w:t>
      </w:r>
      <w:r w:rsidR="00F77646" w:rsidRPr="0028439F">
        <w:t>Symeonidou and A.</w:t>
      </w:r>
      <w:r w:rsidR="00F03B38" w:rsidRPr="0028439F">
        <w:t> </w:t>
      </w:r>
      <w:r w:rsidR="00F77646" w:rsidRPr="0028439F">
        <w:t xml:space="preserve">Watkins, </w:t>
      </w:r>
      <w:r w:rsidRPr="0028439F">
        <w:t>eds.). Odense, Denmark</w:t>
      </w:r>
    </w:p>
    <w:sectPr w:rsidR="000423F1" w:rsidRPr="0028439F" w:rsidSect="00F74887">
      <w:headerReference w:type="even" r:id="rId31"/>
      <w:headerReference w:type="default" r:id="rId32"/>
      <w:headerReference w:type="first" r:id="rId33"/>
      <w:pgSz w:w="11899" w:h="16838"/>
      <w:pgMar w:top="1418" w:right="1418" w:bottom="1418"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0D4D" w14:textId="77777777" w:rsidR="00A25144" w:rsidRDefault="00A25144">
      <w:r>
        <w:separator/>
      </w:r>
    </w:p>
  </w:endnote>
  <w:endnote w:type="continuationSeparator" w:id="0">
    <w:p w14:paraId="53FD0C79" w14:textId="77777777" w:rsidR="00A25144" w:rsidRDefault="00A25144">
      <w:r>
        <w:continuationSeparator/>
      </w:r>
    </w:p>
  </w:endnote>
  <w:endnote w:type="continuationNotice" w:id="1">
    <w:p w14:paraId="44D1AEF2" w14:textId="77777777" w:rsidR="00A25144" w:rsidRDefault="00A25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8638512"/>
      <w:docPartObj>
        <w:docPartGallery w:val="Page Numbers (Bottom of Page)"/>
        <w:docPartUnique/>
      </w:docPartObj>
    </w:sdtPr>
    <w:sdtEndPr>
      <w:rPr>
        <w:rStyle w:val="PageNumber"/>
        <w:rFonts w:ascii="Calibri" w:hAnsi="Calibri" w:cs="Calibri"/>
      </w:rPr>
    </w:sdtEndPr>
    <w:sdtContent>
      <w:p w14:paraId="164C97E7" w14:textId="192584C5" w:rsidR="00AF5BC1" w:rsidRPr="004C05CE" w:rsidRDefault="00AF5BC1" w:rsidP="00AF5BC1">
        <w:pPr>
          <w:pStyle w:val="Footer"/>
          <w:framePr w:wrap="none" w:vAnchor="text" w:hAnchor="margin" w:xAlign="outside" w:y="1"/>
          <w:rPr>
            <w:rStyle w:val="PageNumber"/>
            <w:rFonts w:ascii="Calibri" w:hAnsi="Calibri" w:cs="Calibri"/>
          </w:rPr>
        </w:pPr>
        <w:r w:rsidRPr="004C05CE">
          <w:rPr>
            <w:rStyle w:val="PageNumber"/>
            <w:rFonts w:ascii="Calibri" w:hAnsi="Calibri" w:cs="Calibri"/>
          </w:rPr>
          <w:fldChar w:fldCharType="begin"/>
        </w:r>
        <w:r w:rsidRPr="004C05CE">
          <w:rPr>
            <w:rStyle w:val="PageNumber"/>
            <w:rFonts w:ascii="Calibri" w:hAnsi="Calibri" w:cs="Calibri"/>
          </w:rPr>
          <w:instrText xml:space="preserve"> PAGE </w:instrText>
        </w:r>
        <w:r w:rsidRPr="004C05CE">
          <w:rPr>
            <w:rStyle w:val="PageNumber"/>
            <w:rFonts w:ascii="Calibri" w:hAnsi="Calibri" w:cs="Calibri"/>
          </w:rPr>
          <w:fldChar w:fldCharType="separate"/>
        </w:r>
        <w:r w:rsidR="00F801F1">
          <w:rPr>
            <w:rStyle w:val="PageNumber"/>
            <w:rFonts w:ascii="Calibri" w:hAnsi="Calibri" w:cs="Calibri"/>
            <w:noProof/>
          </w:rPr>
          <w:t>20</w:t>
        </w:r>
        <w:r w:rsidRPr="004C05CE">
          <w:rPr>
            <w:rStyle w:val="PageNumber"/>
            <w:rFonts w:ascii="Calibri" w:hAnsi="Calibri" w:cs="Calibri"/>
          </w:rPr>
          <w:fldChar w:fldCharType="end"/>
        </w:r>
      </w:p>
    </w:sdtContent>
  </w:sdt>
  <w:p w14:paraId="78A8A33E" w14:textId="1C190395" w:rsidR="00AF5BC1" w:rsidRDefault="00AF5BC1" w:rsidP="004C05CE">
    <w:pPr>
      <w:pStyle w:val="Agency-footer"/>
      <w:ind w:right="360" w:firstLine="360"/>
      <w:jc w:val="right"/>
    </w:pPr>
    <w:r>
      <w:t>Teacher Professional Learning for Inclusion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9ABF" w14:textId="69005417" w:rsidR="00AF5BC1" w:rsidRPr="003E03F2" w:rsidRDefault="00AF5BC1" w:rsidP="004C05CE">
    <w:pPr>
      <w:framePr w:wrap="none"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F801F1">
      <w:rPr>
        <w:rFonts w:ascii="Calibri" w:hAnsi="Calibri"/>
        <w:noProof/>
      </w:rPr>
      <w:t>7</w:t>
    </w:r>
    <w:r w:rsidRPr="003E03F2">
      <w:rPr>
        <w:rFonts w:ascii="Calibri" w:hAnsi="Calibri"/>
      </w:rPr>
      <w:fldChar w:fldCharType="end"/>
    </w:r>
  </w:p>
  <w:p w14:paraId="5F3255CB" w14:textId="2DB39A13" w:rsidR="00AF5BC1" w:rsidRPr="007F1F89" w:rsidRDefault="00AF5BC1" w:rsidP="004C05CE">
    <w:pPr>
      <w:pStyle w:val="Agency-footer"/>
      <w:ind w:right="360" w:firstLine="360"/>
    </w:pPr>
    <w:r>
      <w:t>Policy Self-Review Tool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B1BA" w14:textId="2DE2ECB7" w:rsidR="00AF5BC1" w:rsidRPr="003E03F2" w:rsidRDefault="00AF5BC1" w:rsidP="00F74887">
    <w:pPr>
      <w:framePr w:wrap="around" w:vAnchor="text" w:hAnchor="page" w:xAlign="outside" w:y="4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F801F1">
      <w:rPr>
        <w:rFonts w:ascii="Calibri" w:hAnsi="Calibri"/>
        <w:noProof/>
      </w:rPr>
      <w:t>21</w:t>
    </w:r>
    <w:r w:rsidRPr="003E03F2">
      <w:rPr>
        <w:rFonts w:ascii="Calibri" w:hAnsi="Calibri"/>
      </w:rPr>
      <w:fldChar w:fldCharType="end"/>
    </w:r>
  </w:p>
  <w:p w14:paraId="3829D782" w14:textId="5E2A8F3C" w:rsidR="00AF5BC1" w:rsidRPr="007F1F89" w:rsidRDefault="00AF5BC1" w:rsidP="00CC5956">
    <w:pPr>
      <w:pStyle w:val="Agency-footer"/>
    </w:pPr>
    <w:r>
      <w:t>Policy Self-Review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71B9" w14:textId="77777777" w:rsidR="00A25144" w:rsidRDefault="00A25144">
      <w:r>
        <w:separator/>
      </w:r>
    </w:p>
  </w:footnote>
  <w:footnote w:type="continuationSeparator" w:id="0">
    <w:p w14:paraId="7D0842CC" w14:textId="77777777" w:rsidR="00A25144" w:rsidRDefault="00A25144">
      <w:r>
        <w:continuationSeparator/>
      </w:r>
    </w:p>
  </w:footnote>
  <w:footnote w:type="continuationNotice" w:id="1">
    <w:p w14:paraId="729838C6" w14:textId="77777777" w:rsidR="00A25144" w:rsidRDefault="00A25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DBA1" w14:textId="12A434E4" w:rsidR="00AF5BC1" w:rsidRDefault="00AF5BC1">
    <w:pPr>
      <w:pStyle w:val="Header"/>
    </w:pPr>
    <w:r>
      <w:rPr>
        <w:noProof/>
        <w:lang w:val="el-GR" w:eastAsia="el-GR"/>
      </w:rPr>
      <w:drawing>
        <wp:inline distT="0" distB="0" distL="0" distR="0" wp14:anchorId="3318F498" wp14:editId="077E32BF">
          <wp:extent cx="5611495" cy="469247"/>
          <wp:effectExtent l="0" t="0" r="0" b="1270"/>
          <wp:docPr id="9"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1495" cy="469247"/>
                  </a:xfrm>
                  <a:prstGeom prst="rect">
                    <a:avLst/>
                  </a:prstGeom>
                  <a:noFill/>
                  <a:ln>
                    <a:noFill/>
                  </a:ln>
                </pic:spPr>
              </pic:pic>
            </a:graphicData>
          </a:graphic>
        </wp:inline>
      </w:drawing>
    </w:r>
  </w:p>
  <w:p w14:paraId="408DBD6F" w14:textId="77777777" w:rsidR="00AF5BC1" w:rsidRDefault="00AF5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884E" w14:textId="05099288" w:rsidR="00AF5BC1" w:rsidRDefault="00AF5BC1" w:rsidP="00EA53FF">
    <w:pPr>
      <w:jc w:val="center"/>
    </w:pPr>
    <w:r>
      <w:rPr>
        <w:noProof/>
        <w:lang w:val="el-GR" w:eastAsia="el-GR"/>
      </w:rPr>
      <w:drawing>
        <wp:inline distT="0" distB="0" distL="0" distR="0" wp14:anchorId="03122533" wp14:editId="4C6AF99D">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6BDCEC8E" w14:textId="77777777" w:rsidR="00AF5BC1" w:rsidRDefault="00AF5B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1456" w14:textId="488C2623" w:rsidR="00AF5BC1" w:rsidRDefault="00AF5BC1">
    <w:pPr>
      <w:pStyle w:val="Header"/>
    </w:pPr>
    <w:r w:rsidRPr="00EF7AE3">
      <w:rPr>
        <w:b/>
        <w:noProof/>
        <w:lang w:val="el-GR" w:eastAsia="el-GR"/>
      </w:rPr>
      <w:drawing>
        <wp:inline distT="0" distB="0" distL="0" distR="0" wp14:anchorId="192871B5" wp14:editId="53144D44">
          <wp:extent cx="9161780" cy="464756"/>
          <wp:effectExtent l="0" t="0" r="0" b="5715"/>
          <wp:docPr id="1" name="Picture 1"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andscape-lhs.jpg"/>
                  <pic:cNvPicPr/>
                </pic:nvPicPr>
                <pic:blipFill>
                  <a:blip r:embed="rId1">
                    <a:extLst>
                      <a:ext uri="{28A0092B-C50C-407E-A947-70E740481C1C}">
                        <a14:useLocalDpi xmlns:a14="http://schemas.microsoft.com/office/drawing/2010/main" val="0"/>
                      </a:ext>
                    </a:extLst>
                  </a:blip>
                  <a:stretch>
                    <a:fillRect/>
                  </a:stretch>
                </pic:blipFill>
                <pic:spPr>
                  <a:xfrm>
                    <a:off x="0" y="0"/>
                    <a:ext cx="9161780" cy="464756"/>
                  </a:xfrm>
                  <a:prstGeom prst="rect">
                    <a:avLst/>
                  </a:prstGeom>
                </pic:spPr>
              </pic:pic>
            </a:graphicData>
          </a:graphic>
        </wp:inline>
      </w:drawing>
    </w:r>
  </w:p>
  <w:p w14:paraId="51CBEAFA" w14:textId="77777777" w:rsidR="00AF5BC1" w:rsidRDefault="00AF5B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BD22" w14:textId="1D7DD6FA" w:rsidR="00AF5BC1" w:rsidRDefault="00AF5BC1" w:rsidP="002A3F39">
    <w:r>
      <w:rPr>
        <w:noProof/>
        <w:lang w:val="el-GR" w:eastAsia="el-GR"/>
      </w:rPr>
      <w:drawing>
        <wp:inline distT="0" distB="0" distL="0" distR="0" wp14:anchorId="353B1E3D" wp14:editId="593E020A">
          <wp:extent cx="8891270" cy="451033"/>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andscape-rhs.jpg"/>
                  <pic:cNvPicPr/>
                </pic:nvPicPr>
                <pic:blipFill>
                  <a:blip r:embed="rId1">
                    <a:extLst>
                      <a:ext uri="{28A0092B-C50C-407E-A947-70E740481C1C}">
                        <a14:useLocalDpi xmlns:a14="http://schemas.microsoft.com/office/drawing/2010/main" val="0"/>
                      </a:ext>
                    </a:extLst>
                  </a:blip>
                  <a:stretch>
                    <a:fillRect/>
                  </a:stretch>
                </pic:blipFill>
                <pic:spPr>
                  <a:xfrm>
                    <a:off x="0" y="0"/>
                    <a:ext cx="8891270" cy="451033"/>
                  </a:xfrm>
                  <a:prstGeom prst="rect">
                    <a:avLst/>
                  </a:prstGeom>
                </pic:spPr>
              </pic:pic>
            </a:graphicData>
          </a:graphic>
        </wp:inline>
      </w:drawing>
    </w:r>
  </w:p>
  <w:p w14:paraId="53C48550" w14:textId="77777777" w:rsidR="00AF5BC1" w:rsidRDefault="00AF5B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B263" w14:textId="51E0C643" w:rsidR="00AF5BC1" w:rsidRDefault="00AF5BC1" w:rsidP="00EA53FF">
    <w:pPr>
      <w:jc w:val="center"/>
    </w:pPr>
    <w:r>
      <w:rPr>
        <w:noProof/>
        <w:lang w:val="el-GR" w:eastAsia="el-GR"/>
      </w:rPr>
      <w:drawing>
        <wp:inline distT="0" distB="0" distL="0" distR="0" wp14:anchorId="198A1C6B" wp14:editId="62710395">
          <wp:extent cx="5672455" cy="474345"/>
          <wp:effectExtent l="0" t="0" r="0" b="8255"/>
          <wp:docPr id="48"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r>
      <w:fldChar w:fldCharType="begin"/>
    </w:r>
    <w:r>
      <w:instrText xml:space="preserve"> FILLIN   \* MERGEFORMAT </w:instrText>
    </w:r>
    <w:r>
      <w:fldChar w:fldCharType="end"/>
    </w:r>
  </w:p>
  <w:p w14:paraId="37406DD0" w14:textId="77777777" w:rsidR="00AF5BC1" w:rsidRDefault="00AF5BC1" w:rsidP="00EA53FF">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3541" w14:textId="2F94086B" w:rsidR="00AF5BC1" w:rsidRDefault="00AF5BC1" w:rsidP="00EA53FF">
    <w:pPr>
      <w:jc w:val="center"/>
    </w:pPr>
    <w:r>
      <w:rPr>
        <w:noProof/>
        <w:lang w:val="el-GR" w:eastAsia="el-GR"/>
      </w:rPr>
      <w:drawing>
        <wp:inline distT="0" distB="0" distL="0" distR="0" wp14:anchorId="203B30BD" wp14:editId="19C97C48">
          <wp:extent cx="5611495" cy="451485"/>
          <wp:effectExtent l="0" t="0" r="1905" b="5715"/>
          <wp:docPr id="19" name="Picture 19"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38F200EA" w14:textId="77777777" w:rsidR="00AF5BC1" w:rsidRDefault="00AF5BC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DCA5" w14:textId="4DD8CDC9" w:rsidR="00AF5BC1" w:rsidRDefault="00AF5BC1">
    <w:pPr>
      <w:pStyle w:val="Header"/>
    </w:pPr>
    <w:r>
      <w:rPr>
        <w:noProof/>
        <w:lang w:val="el-GR" w:eastAsia="el-GR"/>
      </w:rPr>
      <w:drawing>
        <wp:inline distT="0" distB="0" distL="0" distR="0" wp14:anchorId="1F9DCB06" wp14:editId="03825E21">
          <wp:extent cx="5672455"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7C2"/>
    <w:multiLevelType w:val="hybridMultilevel"/>
    <w:tmpl w:val="2FB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486C"/>
    <w:multiLevelType w:val="multilevel"/>
    <w:tmpl w:val="1480B3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732D8"/>
    <w:multiLevelType w:val="multilevel"/>
    <w:tmpl w:val="5C42B4A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83A4A"/>
    <w:multiLevelType w:val="multilevel"/>
    <w:tmpl w:val="C3288030"/>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8060533"/>
    <w:multiLevelType w:val="hybridMultilevel"/>
    <w:tmpl w:val="48869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394833"/>
    <w:multiLevelType w:val="multilevel"/>
    <w:tmpl w:val="4BAC88E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D0BA1"/>
    <w:multiLevelType w:val="hybridMultilevel"/>
    <w:tmpl w:val="9ABA7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3E2485"/>
    <w:multiLevelType w:val="multilevel"/>
    <w:tmpl w:val="8FD69A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C65F0"/>
    <w:multiLevelType w:val="hybridMultilevel"/>
    <w:tmpl w:val="FF74CCB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7465CD"/>
    <w:multiLevelType w:val="multilevel"/>
    <w:tmpl w:val="833645E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17636E"/>
    <w:multiLevelType w:val="multilevel"/>
    <w:tmpl w:val="6C4611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65199"/>
    <w:multiLevelType w:val="hybridMultilevel"/>
    <w:tmpl w:val="4D58B6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9454E4"/>
    <w:multiLevelType w:val="multilevel"/>
    <w:tmpl w:val="C728E806"/>
    <w:lvl w:ilvl="0">
      <w:start w:val="3"/>
      <w:numFmt w:val="decimal"/>
      <w:lvlText w:val="%1"/>
      <w:lvlJc w:val="left"/>
      <w:pPr>
        <w:ind w:left="480" w:hanging="480"/>
      </w:pPr>
      <w:rPr>
        <w:rFonts w:asciiTheme="majorHAnsi" w:eastAsiaTheme="majorEastAsia" w:hAnsiTheme="majorHAnsi" w:cstheme="majorBidi" w:hint="default"/>
      </w:rPr>
    </w:lvl>
    <w:lvl w:ilvl="1">
      <w:start w:val="1"/>
      <w:numFmt w:val="decimal"/>
      <w:lvlText w:val="%1.%2"/>
      <w:lvlJc w:val="left"/>
      <w:pPr>
        <w:ind w:left="660" w:hanging="480"/>
      </w:pPr>
      <w:rPr>
        <w:rFonts w:asciiTheme="majorHAnsi" w:eastAsiaTheme="majorEastAsia" w:hAnsiTheme="majorHAnsi" w:cstheme="majorBidi" w:hint="default"/>
      </w:rPr>
    </w:lvl>
    <w:lvl w:ilvl="2">
      <w:start w:val="1"/>
      <w:numFmt w:val="decimal"/>
      <w:lvlText w:val="%1.%2.%3"/>
      <w:lvlJc w:val="left"/>
      <w:pPr>
        <w:ind w:left="1080" w:hanging="720"/>
      </w:pPr>
      <w:rPr>
        <w:rFonts w:asciiTheme="majorHAnsi" w:eastAsiaTheme="majorEastAsia" w:hAnsiTheme="majorHAnsi" w:cstheme="majorBidi" w:hint="default"/>
      </w:rPr>
    </w:lvl>
    <w:lvl w:ilvl="3">
      <w:start w:val="1"/>
      <w:numFmt w:val="decimal"/>
      <w:lvlText w:val="%1.%2.%3.%4"/>
      <w:lvlJc w:val="left"/>
      <w:pPr>
        <w:ind w:left="1260" w:hanging="720"/>
      </w:pPr>
      <w:rPr>
        <w:rFonts w:asciiTheme="majorHAnsi" w:eastAsiaTheme="majorEastAsia" w:hAnsiTheme="majorHAnsi" w:cstheme="majorBidi" w:hint="default"/>
      </w:rPr>
    </w:lvl>
    <w:lvl w:ilvl="4">
      <w:start w:val="1"/>
      <w:numFmt w:val="decimal"/>
      <w:lvlText w:val="%1.%2.%3.%4.%5"/>
      <w:lvlJc w:val="left"/>
      <w:pPr>
        <w:ind w:left="1800" w:hanging="1080"/>
      </w:pPr>
      <w:rPr>
        <w:rFonts w:asciiTheme="majorHAnsi" w:eastAsiaTheme="majorEastAsia" w:hAnsiTheme="majorHAnsi" w:cstheme="majorBidi" w:hint="default"/>
      </w:rPr>
    </w:lvl>
    <w:lvl w:ilvl="5">
      <w:start w:val="1"/>
      <w:numFmt w:val="decimal"/>
      <w:lvlText w:val="%1.%2.%3.%4.%5.%6"/>
      <w:lvlJc w:val="left"/>
      <w:pPr>
        <w:ind w:left="1980" w:hanging="1080"/>
      </w:pPr>
      <w:rPr>
        <w:rFonts w:asciiTheme="majorHAnsi" w:eastAsiaTheme="majorEastAsia" w:hAnsiTheme="majorHAnsi" w:cstheme="majorBidi" w:hint="default"/>
      </w:rPr>
    </w:lvl>
    <w:lvl w:ilvl="6">
      <w:start w:val="1"/>
      <w:numFmt w:val="decimal"/>
      <w:lvlText w:val="%1.%2.%3.%4.%5.%6.%7"/>
      <w:lvlJc w:val="left"/>
      <w:pPr>
        <w:ind w:left="2520" w:hanging="1440"/>
      </w:pPr>
      <w:rPr>
        <w:rFonts w:asciiTheme="majorHAnsi" w:eastAsiaTheme="majorEastAsia" w:hAnsiTheme="majorHAnsi" w:cstheme="majorBidi" w:hint="default"/>
      </w:rPr>
    </w:lvl>
    <w:lvl w:ilvl="7">
      <w:start w:val="1"/>
      <w:numFmt w:val="decimal"/>
      <w:lvlText w:val="%1.%2.%3.%4.%5.%6.%7.%8"/>
      <w:lvlJc w:val="left"/>
      <w:pPr>
        <w:ind w:left="2700" w:hanging="1440"/>
      </w:pPr>
      <w:rPr>
        <w:rFonts w:asciiTheme="majorHAnsi" w:eastAsiaTheme="majorEastAsia" w:hAnsiTheme="majorHAnsi" w:cstheme="majorBidi" w:hint="default"/>
      </w:rPr>
    </w:lvl>
    <w:lvl w:ilvl="8">
      <w:start w:val="1"/>
      <w:numFmt w:val="decimal"/>
      <w:lvlText w:val="%1.%2.%3.%4.%5.%6.%7.%8.%9"/>
      <w:lvlJc w:val="left"/>
      <w:pPr>
        <w:ind w:left="3240" w:hanging="1800"/>
      </w:pPr>
      <w:rPr>
        <w:rFonts w:asciiTheme="majorHAnsi" w:eastAsiaTheme="majorEastAsia" w:hAnsiTheme="majorHAnsi" w:cstheme="majorBidi" w:hint="default"/>
      </w:rPr>
    </w:lvl>
  </w:abstractNum>
  <w:abstractNum w:abstractNumId="13" w15:restartNumberingAfterBreak="0">
    <w:nsid w:val="36994D5B"/>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333F5"/>
    <w:multiLevelType w:val="multilevel"/>
    <w:tmpl w:val="CA5473B8"/>
    <w:lvl w:ilvl="0">
      <w:start w:val="2"/>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7E0843"/>
    <w:multiLevelType w:val="hybridMultilevel"/>
    <w:tmpl w:val="3D926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175645"/>
    <w:multiLevelType w:val="hybridMultilevel"/>
    <w:tmpl w:val="CDACD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70171F"/>
    <w:multiLevelType w:val="multilevel"/>
    <w:tmpl w:val="669A97C0"/>
    <w:lvl w:ilvl="0">
      <w:start w:val="1"/>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2FE5259"/>
    <w:multiLevelType w:val="multilevel"/>
    <w:tmpl w:val="C938040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E331F7"/>
    <w:multiLevelType w:val="multilevel"/>
    <w:tmpl w:val="234C6E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A54805"/>
    <w:multiLevelType w:val="multilevel"/>
    <w:tmpl w:val="4BAC88E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42511"/>
    <w:multiLevelType w:val="multilevel"/>
    <w:tmpl w:val="5C42B4A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D729E0"/>
    <w:multiLevelType w:val="hybridMultilevel"/>
    <w:tmpl w:val="510A7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447EE5"/>
    <w:multiLevelType w:val="multilevel"/>
    <w:tmpl w:val="D40A3BFE"/>
    <w:lvl w:ilvl="0">
      <w:start w:val="2"/>
      <w:numFmt w:val="decimal"/>
      <w:lvlText w:val="%1"/>
      <w:lvlJc w:val="left"/>
      <w:pPr>
        <w:ind w:left="480" w:hanging="480"/>
      </w:pPr>
      <w:rPr>
        <w:rFonts w:hint="default"/>
      </w:rPr>
    </w:lvl>
    <w:lvl w:ilvl="1">
      <w:start w:val="1"/>
      <w:numFmt w:val="decimal"/>
      <w:lvlText w:val="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D37924"/>
    <w:multiLevelType w:val="multilevel"/>
    <w:tmpl w:val="FF9C8C90"/>
    <w:lvl w:ilvl="0">
      <w:start w:val="3"/>
      <w:numFmt w:val="decimal"/>
      <w:lvlText w:val="%1"/>
      <w:lvlJc w:val="left"/>
      <w:pPr>
        <w:ind w:left="480" w:hanging="480"/>
      </w:pPr>
      <w:rPr>
        <w:rFonts w:asciiTheme="majorHAnsi" w:eastAsiaTheme="majorEastAsia" w:hAnsiTheme="majorHAnsi" w:cstheme="majorBidi" w:hint="default"/>
      </w:rPr>
    </w:lvl>
    <w:lvl w:ilvl="1">
      <w:start w:val="1"/>
      <w:numFmt w:val="decimal"/>
      <w:lvlText w:val="%1.%2"/>
      <w:lvlJc w:val="left"/>
      <w:pPr>
        <w:ind w:left="480" w:hanging="480"/>
      </w:pPr>
      <w:rPr>
        <w:rFonts w:asciiTheme="majorHAnsi" w:eastAsiaTheme="majorEastAsia" w:hAnsiTheme="majorHAnsi" w:cstheme="majorBidi" w:hint="default"/>
      </w:rPr>
    </w:lvl>
    <w:lvl w:ilvl="2">
      <w:start w:val="1"/>
      <w:numFmt w:val="decimal"/>
      <w:lvlText w:val="%1.%2.%3"/>
      <w:lvlJc w:val="left"/>
      <w:pPr>
        <w:ind w:left="720" w:hanging="720"/>
      </w:pPr>
      <w:rPr>
        <w:rFonts w:asciiTheme="majorHAnsi" w:eastAsiaTheme="majorEastAsia" w:hAnsiTheme="majorHAnsi" w:cstheme="majorBidi" w:hint="default"/>
      </w:rPr>
    </w:lvl>
    <w:lvl w:ilvl="3">
      <w:start w:val="1"/>
      <w:numFmt w:val="decimal"/>
      <w:lvlText w:val="%1.%2.%3.%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asciiTheme="majorHAnsi" w:eastAsiaTheme="majorEastAsia" w:hAnsiTheme="majorHAnsi" w:cstheme="majorBidi" w:hint="default"/>
      </w:rPr>
    </w:lvl>
    <w:lvl w:ilvl="5">
      <w:start w:val="1"/>
      <w:numFmt w:val="decimal"/>
      <w:lvlText w:val="%1.%2.%3.%4.%5.%6"/>
      <w:lvlJc w:val="left"/>
      <w:pPr>
        <w:ind w:left="1080" w:hanging="1080"/>
      </w:pPr>
      <w:rPr>
        <w:rFonts w:asciiTheme="majorHAnsi" w:eastAsiaTheme="majorEastAsia" w:hAnsiTheme="majorHAnsi" w:cstheme="majorBidi" w:hint="default"/>
      </w:rPr>
    </w:lvl>
    <w:lvl w:ilvl="6">
      <w:start w:val="1"/>
      <w:numFmt w:val="decimal"/>
      <w:lvlText w:val="%1.%2.%3.%4.%5.%6.%7"/>
      <w:lvlJc w:val="left"/>
      <w:pPr>
        <w:ind w:left="1440" w:hanging="1440"/>
      </w:pPr>
      <w:rPr>
        <w:rFonts w:asciiTheme="majorHAnsi" w:eastAsiaTheme="majorEastAsia" w:hAnsiTheme="majorHAnsi" w:cstheme="majorBidi" w:hint="default"/>
      </w:rPr>
    </w:lvl>
    <w:lvl w:ilvl="7">
      <w:start w:val="1"/>
      <w:numFmt w:val="decimal"/>
      <w:lvlText w:val="%1.%2.%3.%4.%5.%6.%7.%8"/>
      <w:lvlJc w:val="left"/>
      <w:pPr>
        <w:ind w:left="1440" w:hanging="1440"/>
      </w:pPr>
      <w:rPr>
        <w:rFonts w:asciiTheme="majorHAnsi" w:eastAsiaTheme="majorEastAsia" w:hAnsiTheme="majorHAnsi" w:cstheme="majorBidi" w:hint="default"/>
      </w:rPr>
    </w:lvl>
    <w:lvl w:ilvl="8">
      <w:start w:val="1"/>
      <w:numFmt w:val="decimal"/>
      <w:lvlText w:val="%1.%2.%3.%4.%5.%6.%7.%8.%9"/>
      <w:lvlJc w:val="left"/>
      <w:pPr>
        <w:ind w:left="1800" w:hanging="1800"/>
      </w:pPr>
      <w:rPr>
        <w:rFonts w:asciiTheme="majorHAnsi" w:eastAsiaTheme="majorEastAsia" w:hAnsiTheme="majorHAnsi" w:cstheme="majorBidi" w:hint="default"/>
      </w:rPr>
    </w:lvl>
  </w:abstractNum>
  <w:abstractNum w:abstractNumId="25" w15:restartNumberingAfterBreak="0">
    <w:nsid w:val="511978B2"/>
    <w:multiLevelType w:val="hybridMultilevel"/>
    <w:tmpl w:val="3F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F212A"/>
    <w:multiLevelType w:val="hybridMultilevel"/>
    <w:tmpl w:val="FC3A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A4F05"/>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15030E"/>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073CD"/>
    <w:multiLevelType w:val="multilevel"/>
    <w:tmpl w:val="9C087F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87292"/>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AD7CD6"/>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740815"/>
    <w:multiLevelType w:val="multilevel"/>
    <w:tmpl w:val="4BAC88E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180979"/>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ED4830"/>
    <w:multiLevelType w:val="hybridMultilevel"/>
    <w:tmpl w:val="5530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64CCD"/>
    <w:multiLevelType w:val="multilevel"/>
    <w:tmpl w:val="5C42B4A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C50B12"/>
    <w:multiLevelType w:val="hybridMultilevel"/>
    <w:tmpl w:val="BDA4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3023B"/>
    <w:multiLevelType w:val="multilevel"/>
    <w:tmpl w:val="CA5473B8"/>
    <w:lvl w:ilvl="0">
      <w:start w:val="2"/>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1177B"/>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2B33FC"/>
    <w:multiLevelType w:val="multilevel"/>
    <w:tmpl w:val="FF9C8C90"/>
    <w:lvl w:ilvl="0">
      <w:start w:val="3"/>
      <w:numFmt w:val="decimal"/>
      <w:lvlText w:val="%1"/>
      <w:lvlJc w:val="left"/>
      <w:pPr>
        <w:ind w:left="480" w:hanging="480"/>
      </w:pPr>
      <w:rPr>
        <w:rFonts w:asciiTheme="majorHAnsi" w:eastAsiaTheme="majorEastAsia" w:hAnsiTheme="majorHAnsi" w:cstheme="majorBidi" w:hint="default"/>
      </w:rPr>
    </w:lvl>
    <w:lvl w:ilvl="1">
      <w:start w:val="1"/>
      <w:numFmt w:val="decimal"/>
      <w:lvlText w:val="%1.%2"/>
      <w:lvlJc w:val="left"/>
      <w:pPr>
        <w:ind w:left="480" w:hanging="480"/>
      </w:pPr>
      <w:rPr>
        <w:rFonts w:asciiTheme="majorHAnsi" w:eastAsiaTheme="majorEastAsia" w:hAnsiTheme="majorHAnsi" w:cstheme="majorBidi" w:hint="default"/>
      </w:rPr>
    </w:lvl>
    <w:lvl w:ilvl="2">
      <w:start w:val="1"/>
      <w:numFmt w:val="decimal"/>
      <w:lvlText w:val="%1.%2.%3"/>
      <w:lvlJc w:val="left"/>
      <w:pPr>
        <w:ind w:left="720" w:hanging="720"/>
      </w:pPr>
      <w:rPr>
        <w:rFonts w:asciiTheme="majorHAnsi" w:eastAsiaTheme="majorEastAsia" w:hAnsiTheme="majorHAnsi" w:cstheme="majorBidi" w:hint="default"/>
      </w:rPr>
    </w:lvl>
    <w:lvl w:ilvl="3">
      <w:start w:val="1"/>
      <w:numFmt w:val="decimal"/>
      <w:lvlText w:val="%1.%2.%3.%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asciiTheme="majorHAnsi" w:eastAsiaTheme="majorEastAsia" w:hAnsiTheme="majorHAnsi" w:cstheme="majorBidi" w:hint="default"/>
      </w:rPr>
    </w:lvl>
    <w:lvl w:ilvl="5">
      <w:start w:val="1"/>
      <w:numFmt w:val="decimal"/>
      <w:lvlText w:val="%1.%2.%3.%4.%5.%6"/>
      <w:lvlJc w:val="left"/>
      <w:pPr>
        <w:ind w:left="1080" w:hanging="1080"/>
      </w:pPr>
      <w:rPr>
        <w:rFonts w:asciiTheme="majorHAnsi" w:eastAsiaTheme="majorEastAsia" w:hAnsiTheme="majorHAnsi" w:cstheme="majorBidi" w:hint="default"/>
      </w:rPr>
    </w:lvl>
    <w:lvl w:ilvl="6">
      <w:start w:val="1"/>
      <w:numFmt w:val="decimal"/>
      <w:lvlText w:val="%1.%2.%3.%4.%5.%6.%7"/>
      <w:lvlJc w:val="left"/>
      <w:pPr>
        <w:ind w:left="1440" w:hanging="1440"/>
      </w:pPr>
      <w:rPr>
        <w:rFonts w:asciiTheme="majorHAnsi" w:eastAsiaTheme="majorEastAsia" w:hAnsiTheme="majorHAnsi" w:cstheme="majorBidi" w:hint="default"/>
      </w:rPr>
    </w:lvl>
    <w:lvl w:ilvl="7">
      <w:start w:val="1"/>
      <w:numFmt w:val="decimal"/>
      <w:lvlText w:val="%1.%2.%3.%4.%5.%6.%7.%8"/>
      <w:lvlJc w:val="left"/>
      <w:pPr>
        <w:ind w:left="1440" w:hanging="1440"/>
      </w:pPr>
      <w:rPr>
        <w:rFonts w:asciiTheme="majorHAnsi" w:eastAsiaTheme="majorEastAsia" w:hAnsiTheme="majorHAnsi" w:cstheme="majorBidi" w:hint="default"/>
      </w:rPr>
    </w:lvl>
    <w:lvl w:ilvl="8">
      <w:start w:val="1"/>
      <w:numFmt w:val="decimal"/>
      <w:lvlText w:val="%1.%2.%3.%4.%5.%6.%7.%8.%9"/>
      <w:lvlJc w:val="left"/>
      <w:pPr>
        <w:ind w:left="1800" w:hanging="1800"/>
      </w:pPr>
      <w:rPr>
        <w:rFonts w:asciiTheme="majorHAnsi" w:eastAsiaTheme="majorEastAsia" w:hAnsiTheme="majorHAnsi" w:cstheme="majorBidi" w:hint="default"/>
      </w:rPr>
    </w:lvl>
  </w:abstractNum>
  <w:abstractNum w:abstractNumId="40" w15:restartNumberingAfterBreak="0">
    <w:nsid w:val="778E41C1"/>
    <w:multiLevelType w:val="hybridMultilevel"/>
    <w:tmpl w:val="9502E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7F54BBD"/>
    <w:multiLevelType w:val="hybridMultilevel"/>
    <w:tmpl w:val="C7E0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804BD"/>
    <w:multiLevelType w:val="multilevel"/>
    <w:tmpl w:val="DEA623F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952E1"/>
    <w:multiLevelType w:val="multilevel"/>
    <w:tmpl w:val="3E4683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8E4E93"/>
    <w:multiLevelType w:val="multilevel"/>
    <w:tmpl w:val="2C52D4E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5420BA"/>
    <w:multiLevelType w:val="hybridMultilevel"/>
    <w:tmpl w:val="64E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0"/>
  </w:num>
  <w:num w:numId="4">
    <w:abstractNumId w:val="40"/>
  </w:num>
  <w:num w:numId="5">
    <w:abstractNumId w:val="16"/>
  </w:num>
  <w:num w:numId="6">
    <w:abstractNumId w:val="8"/>
  </w:num>
  <w:num w:numId="7">
    <w:abstractNumId w:val="6"/>
  </w:num>
  <w:num w:numId="8">
    <w:abstractNumId w:val="4"/>
  </w:num>
  <w:num w:numId="9">
    <w:abstractNumId w:val="17"/>
  </w:num>
  <w:num w:numId="10">
    <w:abstractNumId w:val="7"/>
  </w:num>
  <w:num w:numId="11">
    <w:abstractNumId w:val="29"/>
  </w:num>
  <w:num w:numId="12">
    <w:abstractNumId w:val="22"/>
  </w:num>
  <w:num w:numId="13">
    <w:abstractNumId w:val="15"/>
  </w:num>
  <w:num w:numId="14">
    <w:abstractNumId w:val="1"/>
  </w:num>
  <w:num w:numId="15">
    <w:abstractNumId w:val="3"/>
  </w:num>
  <w:num w:numId="16">
    <w:abstractNumId w:val="33"/>
  </w:num>
  <w:num w:numId="17">
    <w:abstractNumId w:val="42"/>
  </w:num>
  <w:num w:numId="18">
    <w:abstractNumId w:val="11"/>
  </w:num>
  <w:num w:numId="19">
    <w:abstractNumId w:val="12"/>
  </w:num>
  <w:num w:numId="20">
    <w:abstractNumId w:val="39"/>
  </w:num>
  <w:num w:numId="21">
    <w:abstractNumId w:val="24"/>
  </w:num>
  <w:num w:numId="22">
    <w:abstractNumId w:val="9"/>
  </w:num>
  <w:num w:numId="23">
    <w:abstractNumId w:val="20"/>
  </w:num>
  <w:num w:numId="24">
    <w:abstractNumId w:val="19"/>
  </w:num>
  <w:num w:numId="25">
    <w:abstractNumId w:val="18"/>
  </w:num>
  <w:num w:numId="26">
    <w:abstractNumId w:val="5"/>
  </w:num>
  <w:num w:numId="27">
    <w:abstractNumId w:val="32"/>
  </w:num>
  <w:num w:numId="28">
    <w:abstractNumId w:val="44"/>
  </w:num>
  <w:num w:numId="29">
    <w:abstractNumId w:val="21"/>
  </w:num>
  <w:num w:numId="30">
    <w:abstractNumId w:val="2"/>
  </w:num>
  <w:num w:numId="31">
    <w:abstractNumId w:val="35"/>
  </w:num>
  <w:num w:numId="32">
    <w:abstractNumId w:val="26"/>
  </w:num>
  <w:num w:numId="33">
    <w:abstractNumId w:val="25"/>
  </w:num>
  <w:num w:numId="34">
    <w:abstractNumId w:val="0"/>
  </w:num>
  <w:num w:numId="35">
    <w:abstractNumId w:val="13"/>
  </w:num>
  <w:num w:numId="36">
    <w:abstractNumId w:val="30"/>
  </w:num>
  <w:num w:numId="37">
    <w:abstractNumId w:val="28"/>
  </w:num>
  <w:num w:numId="38">
    <w:abstractNumId w:val="31"/>
  </w:num>
  <w:num w:numId="39">
    <w:abstractNumId w:val="38"/>
  </w:num>
  <w:num w:numId="40">
    <w:abstractNumId w:val="27"/>
  </w:num>
  <w:num w:numId="41">
    <w:abstractNumId w:val="14"/>
  </w:num>
  <w:num w:numId="42">
    <w:abstractNumId w:val="43"/>
  </w:num>
  <w:num w:numId="43">
    <w:abstractNumId w:val="23"/>
  </w:num>
  <w:num w:numId="44">
    <w:abstractNumId w:val="37"/>
  </w:num>
  <w:num w:numId="45">
    <w:abstractNumId w:val="45"/>
  </w:num>
  <w:num w:numId="46">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97"/>
    <w:rsid w:val="000017DB"/>
    <w:rsid w:val="00001C38"/>
    <w:rsid w:val="000056F1"/>
    <w:rsid w:val="000059D9"/>
    <w:rsid w:val="00005B0E"/>
    <w:rsid w:val="000067B8"/>
    <w:rsid w:val="00006A80"/>
    <w:rsid w:val="00006C80"/>
    <w:rsid w:val="00006CC3"/>
    <w:rsid w:val="00011F3E"/>
    <w:rsid w:val="00012B8E"/>
    <w:rsid w:val="00014754"/>
    <w:rsid w:val="000156E3"/>
    <w:rsid w:val="00016327"/>
    <w:rsid w:val="00017C34"/>
    <w:rsid w:val="00021698"/>
    <w:rsid w:val="00024319"/>
    <w:rsid w:val="0003188A"/>
    <w:rsid w:val="00031F15"/>
    <w:rsid w:val="00033055"/>
    <w:rsid w:val="00033BB8"/>
    <w:rsid w:val="00033FF6"/>
    <w:rsid w:val="00035AC8"/>
    <w:rsid w:val="000379F2"/>
    <w:rsid w:val="00037E12"/>
    <w:rsid w:val="00037E9C"/>
    <w:rsid w:val="000408F6"/>
    <w:rsid w:val="000423CE"/>
    <w:rsid w:val="000423F1"/>
    <w:rsid w:val="00043935"/>
    <w:rsid w:val="000472B1"/>
    <w:rsid w:val="00051875"/>
    <w:rsid w:val="0005277B"/>
    <w:rsid w:val="00052B2D"/>
    <w:rsid w:val="000547CC"/>
    <w:rsid w:val="000553F8"/>
    <w:rsid w:val="00055570"/>
    <w:rsid w:val="0005797C"/>
    <w:rsid w:val="00057B2F"/>
    <w:rsid w:val="00061AD7"/>
    <w:rsid w:val="000628ED"/>
    <w:rsid w:val="00064A4B"/>
    <w:rsid w:val="000673DD"/>
    <w:rsid w:val="00067941"/>
    <w:rsid w:val="00067B8A"/>
    <w:rsid w:val="00070BED"/>
    <w:rsid w:val="00072923"/>
    <w:rsid w:val="00072F98"/>
    <w:rsid w:val="000743F4"/>
    <w:rsid w:val="00076B94"/>
    <w:rsid w:val="00080108"/>
    <w:rsid w:val="00081384"/>
    <w:rsid w:val="00085C78"/>
    <w:rsid w:val="00086F31"/>
    <w:rsid w:val="00091578"/>
    <w:rsid w:val="000940B8"/>
    <w:rsid w:val="00094AB9"/>
    <w:rsid w:val="00094FE8"/>
    <w:rsid w:val="000950A4"/>
    <w:rsid w:val="00096A3D"/>
    <w:rsid w:val="00096B33"/>
    <w:rsid w:val="00096BC6"/>
    <w:rsid w:val="00096E13"/>
    <w:rsid w:val="000A0522"/>
    <w:rsid w:val="000A0B81"/>
    <w:rsid w:val="000A2825"/>
    <w:rsid w:val="000A30E4"/>
    <w:rsid w:val="000A517D"/>
    <w:rsid w:val="000A51F7"/>
    <w:rsid w:val="000A5EE7"/>
    <w:rsid w:val="000B05CE"/>
    <w:rsid w:val="000B1F72"/>
    <w:rsid w:val="000B21D5"/>
    <w:rsid w:val="000B38CD"/>
    <w:rsid w:val="000B3E6A"/>
    <w:rsid w:val="000B4F5A"/>
    <w:rsid w:val="000B62CC"/>
    <w:rsid w:val="000B701D"/>
    <w:rsid w:val="000C0424"/>
    <w:rsid w:val="000C480C"/>
    <w:rsid w:val="000C64AD"/>
    <w:rsid w:val="000C7B62"/>
    <w:rsid w:val="000D042F"/>
    <w:rsid w:val="000D1CF9"/>
    <w:rsid w:val="000D1F9E"/>
    <w:rsid w:val="000D300A"/>
    <w:rsid w:val="000D3631"/>
    <w:rsid w:val="000D3FCC"/>
    <w:rsid w:val="000D5472"/>
    <w:rsid w:val="000D5D81"/>
    <w:rsid w:val="000D7BCA"/>
    <w:rsid w:val="000E08E0"/>
    <w:rsid w:val="000E0942"/>
    <w:rsid w:val="000E1AAE"/>
    <w:rsid w:val="000E28CE"/>
    <w:rsid w:val="000E3DE0"/>
    <w:rsid w:val="000E5623"/>
    <w:rsid w:val="000F1378"/>
    <w:rsid w:val="000F1D08"/>
    <w:rsid w:val="000F43A9"/>
    <w:rsid w:val="00100866"/>
    <w:rsid w:val="00101152"/>
    <w:rsid w:val="00101CFD"/>
    <w:rsid w:val="001024C9"/>
    <w:rsid w:val="00102D8E"/>
    <w:rsid w:val="001031C2"/>
    <w:rsid w:val="00103429"/>
    <w:rsid w:val="001038D4"/>
    <w:rsid w:val="001107E7"/>
    <w:rsid w:val="001154AB"/>
    <w:rsid w:val="001160A1"/>
    <w:rsid w:val="00116283"/>
    <w:rsid w:val="001166A7"/>
    <w:rsid w:val="00117ED3"/>
    <w:rsid w:val="001218FE"/>
    <w:rsid w:val="00121936"/>
    <w:rsid w:val="00123327"/>
    <w:rsid w:val="00125AEB"/>
    <w:rsid w:val="0012687F"/>
    <w:rsid w:val="0012785F"/>
    <w:rsid w:val="00127FFD"/>
    <w:rsid w:val="0013098C"/>
    <w:rsid w:val="00130E07"/>
    <w:rsid w:val="00131EF6"/>
    <w:rsid w:val="00132A92"/>
    <w:rsid w:val="00133207"/>
    <w:rsid w:val="00133986"/>
    <w:rsid w:val="0013547C"/>
    <w:rsid w:val="00137A44"/>
    <w:rsid w:val="001407EC"/>
    <w:rsid w:val="001415AF"/>
    <w:rsid w:val="001427CC"/>
    <w:rsid w:val="0014300F"/>
    <w:rsid w:val="001431BB"/>
    <w:rsid w:val="00143CFE"/>
    <w:rsid w:val="001446AA"/>
    <w:rsid w:val="001471CA"/>
    <w:rsid w:val="0014797C"/>
    <w:rsid w:val="00152832"/>
    <w:rsid w:val="00153BC9"/>
    <w:rsid w:val="00154352"/>
    <w:rsid w:val="00155098"/>
    <w:rsid w:val="001568B1"/>
    <w:rsid w:val="00160C89"/>
    <w:rsid w:val="00161164"/>
    <w:rsid w:val="001618D1"/>
    <w:rsid w:val="00161CC9"/>
    <w:rsid w:val="001638B5"/>
    <w:rsid w:val="0016412D"/>
    <w:rsid w:val="0016697C"/>
    <w:rsid w:val="00167258"/>
    <w:rsid w:val="00167D8E"/>
    <w:rsid w:val="0017106D"/>
    <w:rsid w:val="001727F8"/>
    <w:rsid w:val="001731D0"/>
    <w:rsid w:val="00173F37"/>
    <w:rsid w:val="00176559"/>
    <w:rsid w:val="0017729C"/>
    <w:rsid w:val="001809C3"/>
    <w:rsid w:val="00180DEC"/>
    <w:rsid w:val="0018126A"/>
    <w:rsid w:val="00184740"/>
    <w:rsid w:val="00184D4B"/>
    <w:rsid w:val="001871EF"/>
    <w:rsid w:val="001879BD"/>
    <w:rsid w:val="001905EE"/>
    <w:rsid w:val="00190F9C"/>
    <w:rsid w:val="00195352"/>
    <w:rsid w:val="0019605B"/>
    <w:rsid w:val="00197F85"/>
    <w:rsid w:val="001A5AE7"/>
    <w:rsid w:val="001A7F7D"/>
    <w:rsid w:val="001B3115"/>
    <w:rsid w:val="001B3DDD"/>
    <w:rsid w:val="001B425D"/>
    <w:rsid w:val="001B4828"/>
    <w:rsid w:val="001B5BAE"/>
    <w:rsid w:val="001C1DD6"/>
    <w:rsid w:val="001C43FA"/>
    <w:rsid w:val="001C47A6"/>
    <w:rsid w:val="001C4AAB"/>
    <w:rsid w:val="001C63DA"/>
    <w:rsid w:val="001C66C6"/>
    <w:rsid w:val="001C6A8A"/>
    <w:rsid w:val="001C6F84"/>
    <w:rsid w:val="001D080D"/>
    <w:rsid w:val="001D2B0F"/>
    <w:rsid w:val="001D3CC9"/>
    <w:rsid w:val="001D40D5"/>
    <w:rsid w:val="001D5162"/>
    <w:rsid w:val="001D52C0"/>
    <w:rsid w:val="001E20CD"/>
    <w:rsid w:val="001E26B8"/>
    <w:rsid w:val="001F0943"/>
    <w:rsid w:val="001F0C45"/>
    <w:rsid w:val="001F1876"/>
    <w:rsid w:val="001F4034"/>
    <w:rsid w:val="001F5031"/>
    <w:rsid w:val="001F5A58"/>
    <w:rsid w:val="00202F49"/>
    <w:rsid w:val="00203208"/>
    <w:rsid w:val="00203912"/>
    <w:rsid w:val="00203969"/>
    <w:rsid w:val="00205BC6"/>
    <w:rsid w:val="002060F6"/>
    <w:rsid w:val="00207E61"/>
    <w:rsid w:val="00210182"/>
    <w:rsid w:val="00210192"/>
    <w:rsid w:val="00211118"/>
    <w:rsid w:val="002112D2"/>
    <w:rsid w:val="00215FD3"/>
    <w:rsid w:val="0021663C"/>
    <w:rsid w:val="00221DDA"/>
    <w:rsid w:val="002224DC"/>
    <w:rsid w:val="0022276E"/>
    <w:rsid w:val="00223162"/>
    <w:rsid w:val="002237FF"/>
    <w:rsid w:val="00223976"/>
    <w:rsid w:val="00224D5E"/>
    <w:rsid w:val="0022589D"/>
    <w:rsid w:val="002273F6"/>
    <w:rsid w:val="0023071B"/>
    <w:rsid w:val="002334A2"/>
    <w:rsid w:val="002337AD"/>
    <w:rsid w:val="00233801"/>
    <w:rsid w:val="00233878"/>
    <w:rsid w:val="00235B67"/>
    <w:rsid w:val="00236FAB"/>
    <w:rsid w:val="00242385"/>
    <w:rsid w:val="002450F6"/>
    <w:rsid w:val="0024592B"/>
    <w:rsid w:val="002461EA"/>
    <w:rsid w:val="00251206"/>
    <w:rsid w:val="00251A21"/>
    <w:rsid w:val="00257C3E"/>
    <w:rsid w:val="0026077C"/>
    <w:rsid w:val="00260E8F"/>
    <w:rsid w:val="002613D6"/>
    <w:rsid w:val="00264617"/>
    <w:rsid w:val="00265FB8"/>
    <w:rsid w:val="00267620"/>
    <w:rsid w:val="00267D77"/>
    <w:rsid w:val="00280506"/>
    <w:rsid w:val="00281326"/>
    <w:rsid w:val="0028234C"/>
    <w:rsid w:val="002826DD"/>
    <w:rsid w:val="002836F6"/>
    <w:rsid w:val="0028439F"/>
    <w:rsid w:val="00285027"/>
    <w:rsid w:val="00285855"/>
    <w:rsid w:val="00292D3E"/>
    <w:rsid w:val="00294818"/>
    <w:rsid w:val="002967D1"/>
    <w:rsid w:val="002A11D2"/>
    <w:rsid w:val="002A3229"/>
    <w:rsid w:val="002A3F39"/>
    <w:rsid w:val="002A4186"/>
    <w:rsid w:val="002A5FA2"/>
    <w:rsid w:val="002A6138"/>
    <w:rsid w:val="002A64B1"/>
    <w:rsid w:val="002B1512"/>
    <w:rsid w:val="002B24A5"/>
    <w:rsid w:val="002B376B"/>
    <w:rsid w:val="002B3E78"/>
    <w:rsid w:val="002B55F9"/>
    <w:rsid w:val="002C4AA8"/>
    <w:rsid w:val="002C6AAC"/>
    <w:rsid w:val="002D0FDB"/>
    <w:rsid w:val="002D1C1B"/>
    <w:rsid w:val="002D21DB"/>
    <w:rsid w:val="002D22F3"/>
    <w:rsid w:val="002D4A92"/>
    <w:rsid w:val="002D4C2F"/>
    <w:rsid w:val="002D53C5"/>
    <w:rsid w:val="002D55E4"/>
    <w:rsid w:val="002D6437"/>
    <w:rsid w:val="002E19EC"/>
    <w:rsid w:val="002E1CB6"/>
    <w:rsid w:val="002E26B0"/>
    <w:rsid w:val="002E3141"/>
    <w:rsid w:val="002E3AF6"/>
    <w:rsid w:val="002E7EF8"/>
    <w:rsid w:val="002F06D8"/>
    <w:rsid w:val="002F12BF"/>
    <w:rsid w:val="002F18D4"/>
    <w:rsid w:val="002F1C9D"/>
    <w:rsid w:val="002F2383"/>
    <w:rsid w:val="002F2FC7"/>
    <w:rsid w:val="002F6A10"/>
    <w:rsid w:val="002F78E3"/>
    <w:rsid w:val="0030066A"/>
    <w:rsid w:val="00300723"/>
    <w:rsid w:val="003015E0"/>
    <w:rsid w:val="00301835"/>
    <w:rsid w:val="00303031"/>
    <w:rsid w:val="00303A44"/>
    <w:rsid w:val="00303E58"/>
    <w:rsid w:val="00305393"/>
    <w:rsid w:val="00306E42"/>
    <w:rsid w:val="00310724"/>
    <w:rsid w:val="00310F05"/>
    <w:rsid w:val="00311908"/>
    <w:rsid w:val="003152B8"/>
    <w:rsid w:val="00315F48"/>
    <w:rsid w:val="003162A0"/>
    <w:rsid w:val="00317C60"/>
    <w:rsid w:val="003216B2"/>
    <w:rsid w:val="00334AB4"/>
    <w:rsid w:val="003358A8"/>
    <w:rsid w:val="003365BF"/>
    <w:rsid w:val="00340CC0"/>
    <w:rsid w:val="003413E9"/>
    <w:rsid w:val="0034338C"/>
    <w:rsid w:val="00343DAB"/>
    <w:rsid w:val="00345563"/>
    <w:rsid w:val="00347AA2"/>
    <w:rsid w:val="00351A94"/>
    <w:rsid w:val="00351B55"/>
    <w:rsid w:val="00351C79"/>
    <w:rsid w:val="00351D16"/>
    <w:rsid w:val="00352DEC"/>
    <w:rsid w:val="0035315F"/>
    <w:rsid w:val="00360C3B"/>
    <w:rsid w:val="00361FF1"/>
    <w:rsid w:val="003637A1"/>
    <w:rsid w:val="003647CD"/>
    <w:rsid w:val="003652DB"/>
    <w:rsid w:val="003658EF"/>
    <w:rsid w:val="00366996"/>
    <w:rsid w:val="00370054"/>
    <w:rsid w:val="00370487"/>
    <w:rsid w:val="0037076A"/>
    <w:rsid w:val="00372F27"/>
    <w:rsid w:val="003744EE"/>
    <w:rsid w:val="00376497"/>
    <w:rsid w:val="003835B5"/>
    <w:rsid w:val="003855DD"/>
    <w:rsid w:val="00387ABC"/>
    <w:rsid w:val="0039354A"/>
    <w:rsid w:val="0039381E"/>
    <w:rsid w:val="00394A9F"/>
    <w:rsid w:val="00395E16"/>
    <w:rsid w:val="003A1378"/>
    <w:rsid w:val="003A1CC1"/>
    <w:rsid w:val="003A281D"/>
    <w:rsid w:val="003A3F4B"/>
    <w:rsid w:val="003A4181"/>
    <w:rsid w:val="003A630D"/>
    <w:rsid w:val="003A6DF3"/>
    <w:rsid w:val="003B5B5D"/>
    <w:rsid w:val="003B618F"/>
    <w:rsid w:val="003B732D"/>
    <w:rsid w:val="003C1D33"/>
    <w:rsid w:val="003C29EA"/>
    <w:rsid w:val="003C3AF9"/>
    <w:rsid w:val="003C3D5D"/>
    <w:rsid w:val="003C4353"/>
    <w:rsid w:val="003C5016"/>
    <w:rsid w:val="003C57AF"/>
    <w:rsid w:val="003C5896"/>
    <w:rsid w:val="003C6224"/>
    <w:rsid w:val="003C7B42"/>
    <w:rsid w:val="003D10E2"/>
    <w:rsid w:val="003D2A14"/>
    <w:rsid w:val="003D3E56"/>
    <w:rsid w:val="003D4B50"/>
    <w:rsid w:val="003D72D5"/>
    <w:rsid w:val="003D743F"/>
    <w:rsid w:val="003E03F2"/>
    <w:rsid w:val="003E07CD"/>
    <w:rsid w:val="003E1AC9"/>
    <w:rsid w:val="003E289B"/>
    <w:rsid w:val="003E5A58"/>
    <w:rsid w:val="003E5B7F"/>
    <w:rsid w:val="003E712D"/>
    <w:rsid w:val="003F1030"/>
    <w:rsid w:val="003F32E3"/>
    <w:rsid w:val="003F37BE"/>
    <w:rsid w:val="003F44A7"/>
    <w:rsid w:val="003F4819"/>
    <w:rsid w:val="004042B4"/>
    <w:rsid w:val="00404E2A"/>
    <w:rsid w:val="00404F0D"/>
    <w:rsid w:val="004060A9"/>
    <w:rsid w:val="00406D04"/>
    <w:rsid w:val="00407DBD"/>
    <w:rsid w:val="0041414A"/>
    <w:rsid w:val="00414EDC"/>
    <w:rsid w:val="004156F2"/>
    <w:rsid w:val="004157DA"/>
    <w:rsid w:val="0041634D"/>
    <w:rsid w:val="00420118"/>
    <w:rsid w:val="004236C7"/>
    <w:rsid w:val="00430EA6"/>
    <w:rsid w:val="00431B0E"/>
    <w:rsid w:val="0043296C"/>
    <w:rsid w:val="0043301B"/>
    <w:rsid w:val="004406CB"/>
    <w:rsid w:val="00441260"/>
    <w:rsid w:val="0044160B"/>
    <w:rsid w:val="0044233B"/>
    <w:rsid w:val="004443CF"/>
    <w:rsid w:val="00446F55"/>
    <w:rsid w:val="00446F78"/>
    <w:rsid w:val="0045036B"/>
    <w:rsid w:val="00450C62"/>
    <w:rsid w:val="00450EC6"/>
    <w:rsid w:val="004549C7"/>
    <w:rsid w:val="00454DE5"/>
    <w:rsid w:val="00455CBB"/>
    <w:rsid w:val="00457166"/>
    <w:rsid w:val="0045739A"/>
    <w:rsid w:val="0046303C"/>
    <w:rsid w:val="004636B9"/>
    <w:rsid w:val="00463DFE"/>
    <w:rsid w:val="00464200"/>
    <w:rsid w:val="004661BB"/>
    <w:rsid w:val="00466F90"/>
    <w:rsid w:val="0046732F"/>
    <w:rsid w:val="004726FE"/>
    <w:rsid w:val="0047375A"/>
    <w:rsid w:val="004761FC"/>
    <w:rsid w:val="004802E5"/>
    <w:rsid w:val="00480F6E"/>
    <w:rsid w:val="004833D0"/>
    <w:rsid w:val="00484F62"/>
    <w:rsid w:val="004867E6"/>
    <w:rsid w:val="004872F1"/>
    <w:rsid w:val="00487997"/>
    <w:rsid w:val="00487EDD"/>
    <w:rsid w:val="00491F23"/>
    <w:rsid w:val="00493AF4"/>
    <w:rsid w:val="004952A4"/>
    <w:rsid w:val="0049534F"/>
    <w:rsid w:val="00496047"/>
    <w:rsid w:val="004975D8"/>
    <w:rsid w:val="00497A00"/>
    <w:rsid w:val="004A0F26"/>
    <w:rsid w:val="004A18C5"/>
    <w:rsid w:val="004A2584"/>
    <w:rsid w:val="004A3D52"/>
    <w:rsid w:val="004A6652"/>
    <w:rsid w:val="004A7C32"/>
    <w:rsid w:val="004B0186"/>
    <w:rsid w:val="004B05AA"/>
    <w:rsid w:val="004B0F2F"/>
    <w:rsid w:val="004B2BBB"/>
    <w:rsid w:val="004B3600"/>
    <w:rsid w:val="004B4C78"/>
    <w:rsid w:val="004B60B5"/>
    <w:rsid w:val="004B634F"/>
    <w:rsid w:val="004C05CE"/>
    <w:rsid w:val="004C1732"/>
    <w:rsid w:val="004C177C"/>
    <w:rsid w:val="004C232C"/>
    <w:rsid w:val="004C3539"/>
    <w:rsid w:val="004C3748"/>
    <w:rsid w:val="004C46F3"/>
    <w:rsid w:val="004C4855"/>
    <w:rsid w:val="004C4B39"/>
    <w:rsid w:val="004C66A9"/>
    <w:rsid w:val="004D3797"/>
    <w:rsid w:val="004D386F"/>
    <w:rsid w:val="004D4407"/>
    <w:rsid w:val="004D4460"/>
    <w:rsid w:val="004D7408"/>
    <w:rsid w:val="004D7595"/>
    <w:rsid w:val="004D7E56"/>
    <w:rsid w:val="004E0C13"/>
    <w:rsid w:val="004E3C8E"/>
    <w:rsid w:val="004E4273"/>
    <w:rsid w:val="004F0B07"/>
    <w:rsid w:val="004F0CE5"/>
    <w:rsid w:val="004F23E1"/>
    <w:rsid w:val="004F279A"/>
    <w:rsid w:val="004F2E23"/>
    <w:rsid w:val="004F3B5F"/>
    <w:rsid w:val="004F67BF"/>
    <w:rsid w:val="004F6A07"/>
    <w:rsid w:val="00500A83"/>
    <w:rsid w:val="0050432F"/>
    <w:rsid w:val="00504D48"/>
    <w:rsid w:val="00507C80"/>
    <w:rsid w:val="00510735"/>
    <w:rsid w:val="00510DDB"/>
    <w:rsid w:val="00512A7E"/>
    <w:rsid w:val="00512E3F"/>
    <w:rsid w:val="00513B5C"/>
    <w:rsid w:val="00514464"/>
    <w:rsid w:val="0051463D"/>
    <w:rsid w:val="00514A09"/>
    <w:rsid w:val="00515636"/>
    <w:rsid w:val="00515F17"/>
    <w:rsid w:val="00516BEF"/>
    <w:rsid w:val="00517460"/>
    <w:rsid w:val="00517970"/>
    <w:rsid w:val="0052009C"/>
    <w:rsid w:val="00520BE4"/>
    <w:rsid w:val="00521F5B"/>
    <w:rsid w:val="00522C49"/>
    <w:rsid w:val="0052325A"/>
    <w:rsid w:val="00526A1E"/>
    <w:rsid w:val="005273A1"/>
    <w:rsid w:val="00527453"/>
    <w:rsid w:val="0052768B"/>
    <w:rsid w:val="00533EE8"/>
    <w:rsid w:val="00536D58"/>
    <w:rsid w:val="00540D7D"/>
    <w:rsid w:val="00541CF3"/>
    <w:rsid w:val="00542809"/>
    <w:rsid w:val="005439E5"/>
    <w:rsid w:val="0054520E"/>
    <w:rsid w:val="0055358F"/>
    <w:rsid w:val="00554D29"/>
    <w:rsid w:val="005552FD"/>
    <w:rsid w:val="00555E51"/>
    <w:rsid w:val="00557753"/>
    <w:rsid w:val="005610BA"/>
    <w:rsid w:val="00562DF0"/>
    <w:rsid w:val="00563ECF"/>
    <w:rsid w:val="0056428C"/>
    <w:rsid w:val="00564356"/>
    <w:rsid w:val="00564487"/>
    <w:rsid w:val="00566BE4"/>
    <w:rsid w:val="00570F3B"/>
    <w:rsid w:val="005717EB"/>
    <w:rsid w:val="00571CDA"/>
    <w:rsid w:val="00574A03"/>
    <w:rsid w:val="00576E67"/>
    <w:rsid w:val="0058054D"/>
    <w:rsid w:val="00581C3E"/>
    <w:rsid w:val="00582708"/>
    <w:rsid w:val="00582AC6"/>
    <w:rsid w:val="005834E9"/>
    <w:rsid w:val="005917AA"/>
    <w:rsid w:val="00592813"/>
    <w:rsid w:val="00593A57"/>
    <w:rsid w:val="005948A8"/>
    <w:rsid w:val="00594D40"/>
    <w:rsid w:val="00595153"/>
    <w:rsid w:val="00595478"/>
    <w:rsid w:val="005967E9"/>
    <w:rsid w:val="005978D6"/>
    <w:rsid w:val="005978EC"/>
    <w:rsid w:val="005A094C"/>
    <w:rsid w:val="005A526E"/>
    <w:rsid w:val="005B137C"/>
    <w:rsid w:val="005B1F7B"/>
    <w:rsid w:val="005B3227"/>
    <w:rsid w:val="005B424F"/>
    <w:rsid w:val="005B42D2"/>
    <w:rsid w:val="005B46CF"/>
    <w:rsid w:val="005B639A"/>
    <w:rsid w:val="005B741D"/>
    <w:rsid w:val="005B76B2"/>
    <w:rsid w:val="005C1A7D"/>
    <w:rsid w:val="005C1ADC"/>
    <w:rsid w:val="005C1C45"/>
    <w:rsid w:val="005C3753"/>
    <w:rsid w:val="005C4BA8"/>
    <w:rsid w:val="005C5E5B"/>
    <w:rsid w:val="005D06E0"/>
    <w:rsid w:val="005D16CD"/>
    <w:rsid w:val="005D173A"/>
    <w:rsid w:val="005D17A2"/>
    <w:rsid w:val="005D5C15"/>
    <w:rsid w:val="005E138E"/>
    <w:rsid w:val="005F2D67"/>
    <w:rsid w:val="005F3CC3"/>
    <w:rsid w:val="005F6F1F"/>
    <w:rsid w:val="005F6FE0"/>
    <w:rsid w:val="00604D51"/>
    <w:rsid w:val="00606453"/>
    <w:rsid w:val="00606751"/>
    <w:rsid w:val="0060748B"/>
    <w:rsid w:val="006100E2"/>
    <w:rsid w:val="0061122C"/>
    <w:rsid w:val="00611736"/>
    <w:rsid w:val="0061347B"/>
    <w:rsid w:val="00615BD9"/>
    <w:rsid w:val="006165DA"/>
    <w:rsid w:val="00616648"/>
    <w:rsid w:val="00616EBE"/>
    <w:rsid w:val="006200F9"/>
    <w:rsid w:val="0062060C"/>
    <w:rsid w:val="00620CA2"/>
    <w:rsid w:val="0062284A"/>
    <w:rsid w:val="00624024"/>
    <w:rsid w:val="006250EF"/>
    <w:rsid w:val="006265CB"/>
    <w:rsid w:val="00626737"/>
    <w:rsid w:val="006277A0"/>
    <w:rsid w:val="00630271"/>
    <w:rsid w:val="00632878"/>
    <w:rsid w:val="00632A43"/>
    <w:rsid w:val="006334B8"/>
    <w:rsid w:val="00634401"/>
    <w:rsid w:val="0063512D"/>
    <w:rsid w:val="00635D94"/>
    <w:rsid w:val="00640467"/>
    <w:rsid w:val="0064293D"/>
    <w:rsid w:val="00650CC2"/>
    <w:rsid w:val="0065243B"/>
    <w:rsid w:val="006532D9"/>
    <w:rsid w:val="00654227"/>
    <w:rsid w:val="00654DE6"/>
    <w:rsid w:val="00655AD0"/>
    <w:rsid w:val="00655D8B"/>
    <w:rsid w:val="0065604F"/>
    <w:rsid w:val="00661257"/>
    <w:rsid w:val="0066153A"/>
    <w:rsid w:val="00661817"/>
    <w:rsid w:val="00664E6F"/>
    <w:rsid w:val="00666759"/>
    <w:rsid w:val="00667788"/>
    <w:rsid w:val="00670C99"/>
    <w:rsid w:val="00671077"/>
    <w:rsid w:val="006710E2"/>
    <w:rsid w:val="00672654"/>
    <w:rsid w:val="00674E73"/>
    <w:rsid w:val="00675E52"/>
    <w:rsid w:val="00677F42"/>
    <w:rsid w:val="006800A3"/>
    <w:rsid w:val="00681B4E"/>
    <w:rsid w:val="00683578"/>
    <w:rsid w:val="00683817"/>
    <w:rsid w:val="00684937"/>
    <w:rsid w:val="00684DA8"/>
    <w:rsid w:val="00684F06"/>
    <w:rsid w:val="00690546"/>
    <w:rsid w:val="00691692"/>
    <w:rsid w:val="00693760"/>
    <w:rsid w:val="00695673"/>
    <w:rsid w:val="006958E2"/>
    <w:rsid w:val="006A19A9"/>
    <w:rsid w:val="006A1CBB"/>
    <w:rsid w:val="006A24EE"/>
    <w:rsid w:val="006A68A5"/>
    <w:rsid w:val="006B0038"/>
    <w:rsid w:val="006B1406"/>
    <w:rsid w:val="006B2230"/>
    <w:rsid w:val="006B247C"/>
    <w:rsid w:val="006B2E86"/>
    <w:rsid w:val="006B3615"/>
    <w:rsid w:val="006C07F1"/>
    <w:rsid w:val="006C1368"/>
    <w:rsid w:val="006C15FE"/>
    <w:rsid w:val="006C1845"/>
    <w:rsid w:val="006D006E"/>
    <w:rsid w:val="006D10CF"/>
    <w:rsid w:val="006D14D6"/>
    <w:rsid w:val="006D3484"/>
    <w:rsid w:val="006D3F9C"/>
    <w:rsid w:val="006D46B4"/>
    <w:rsid w:val="006D7004"/>
    <w:rsid w:val="006D741A"/>
    <w:rsid w:val="006D7EA3"/>
    <w:rsid w:val="006E142F"/>
    <w:rsid w:val="006E1CF5"/>
    <w:rsid w:val="006E1F50"/>
    <w:rsid w:val="006E22B8"/>
    <w:rsid w:val="006E251B"/>
    <w:rsid w:val="006E3144"/>
    <w:rsid w:val="006E3509"/>
    <w:rsid w:val="006E5A10"/>
    <w:rsid w:val="006E5B00"/>
    <w:rsid w:val="006E64B8"/>
    <w:rsid w:val="006E737E"/>
    <w:rsid w:val="006E76AD"/>
    <w:rsid w:val="006E7FF1"/>
    <w:rsid w:val="006F18AB"/>
    <w:rsid w:val="006F20FF"/>
    <w:rsid w:val="006F25F0"/>
    <w:rsid w:val="006F3875"/>
    <w:rsid w:val="006F53B1"/>
    <w:rsid w:val="006F749F"/>
    <w:rsid w:val="007004E6"/>
    <w:rsid w:val="0070198A"/>
    <w:rsid w:val="0070426F"/>
    <w:rsid w:val="00704A30"/>
    <w:rsid w:val="00704B97"/>
    <w:rsid w:val="0070517C"/>
    <w:rsid w:val="007058EA"/>
    <w:rsid w:val="0070592D"/>
    <w:rsid w:val="00705C2C"/>
    <w:rsid w:val="0071062C"/>
    <w:rsid w:val="00710835"/>
    <w:rsid w:val="0071172B"/>
    <w:rsid w:val="00711970"/>
    <w:rsid w:val="00713AED"/>
    <w:rsid w:val="0071464E"/>
    <w:rsid w:val="00715D26"/>
    <w:rsid w:val="00716559"/>
    <w:rsid w:val="0071687F"/>
    <w:rsid w:val="0071752A"/>
    <w:rsid w:val="00717C0A"/>
    <w:rsid w:val="00720CAB"/>
    <w:rsid w:val="007218DA"/>
    <w:rsid w:val="00722516"/>
    <w:rsid w:val="00725B1C"/>
    <w:rsid w:val="00731BEA"/>
    <w:rsid w:val="007339A8"/>
    <w:rsid w:val="00734597"/>
    <w:rsid w:val="0073499D"/>
    <w:rsid w:val="0073506A"/>
    <w:rsid w:val="007361CE"/>
    <w:rsid w:val="007372EE"/>
    <w:rsid w:val="00740EB4"/>
    <w:rsid w:val="0074315C"/>
    <w:rsid w:val="00743C0E"/>
    <w:rsid w:val="0074510E"/>
    <w:rsid w:val="007469E0"/>
    <w:rsid w:val="00746D15"/>
    <w:rsid w:val="00751AD2"/>
    <w:rsid w:val="00752359"/>
    <w:rsid w:val="00752A70"/>
    <w:rsid w:val="007540D7"/>
    <w:rsid w:val="00755031"/>
    <w:rsid w:val="0075511D"/>
    <w:rsid w:val="00757E95"/>
    <w:rsid w:val="007610EF"/>
    <w:rsid w:val="0076290C"/>
    <w:rsid w:val="00762FCD"/>
    <w:rsid w:val="00767ABC"/>
    <w:rsid w:val="00772FAB"/>
    <w:rsid w:val="0077376B"/>
    <w:rsid w:val="007738B1"/>
    <w:rsid w:val="00775DAB"/>
    <w:rsid w:val="00776DDB"/>
    <w:rsid w:val="0077716F"/>
    <w:rsid w:val="007860D4"/>
    <w:rsid w:val="007879BF"/>
    <w:rsid w:val="00791EF7"/>
    <w:rsid w:val="00792D3F"/>
    <w:rsid w:val="00793332"/>
    <w:rsid w:val="007973AC"/>
    <w:rsid w:val="007974B2"/>
    <w:rsid w:val="007976DF"/>
    <w:rsid w:val="00797D57"/>
    <w:rsid w:val="007A01EC"/>
    <w:rsid w:val="007A0840"/>
    <w:rsid w:val="007A0D2C"/>
    <w:rsid w:val="007A2528"/>
    <w:rsid w:val="007A3799"/>
    <w:rsid w:val="007A4520"/>
    <w:rsid w:val="007A6BD2"/>
    <w:rsid w:val="007A6EEC"/>
    <w:rsid w:val="007A7510"/>
    <w:rsid w:val="007B64AF"/>
    <w:rsid w:val="007B7F3B"/>
    <w:rsid w:val="007B7FAD"/>
    <w:rsid w:val="007C016A"/>
    <w:rsid w:val="007C01E7"/>
    <w:rsid w:val="007C0FC3"/>
    <w:rsid w:val="007C124F"/>
    <w:rsid w:val="007C2F3B"/>
    <w:rsid w:val="007D0457"/>
    <w:rsid w:val="007D103E"/>
    <w:rsid w:val="007D11C8"/>
    <w:rsid w:val="007D2EAC"/>
    <w:rsid w:val="007D480A"/>
    <w:rsid w:val="007D5993"/>
    <w:rsid w:val="007E052A"/>
    <w:rsid w:val="007E0DD4"/>
    <w:rsid w:val="007E3BF5"/>
    <w:rsid w:val="007E3E86"/>
    <w:rsid w:val="007E4648"/>
    <w:rsid w:val="007E4FC3"/>
    <w:rsid w:val="007E5938"/>
    <w:rsid w:val="007E61DC"/>
    <w:rsid w:val="007F0304"/>
    <w:rsid w:val="007F1CF0"/>
    <w:rsid w:val="007F35CA"/>
    <w:rsid w:val="007F55CC"/>
    <w:rsid w:val="007F6F00"/>
    <w:rsid w:val="00802C19"/>
    <w:rsid w:val="00805207"/>
    <w:rsid w:val="00805262"/>
    <w:rsid w:val="0080544D"/>
    <w:rsid w:val="00805EA6"/>
    <w:rsid w:val="00806537"/>
    <w:rsid w:val="00806BF6"/>
    <w:rsid w:val="0081387D"/>
    <w:rsid w:val="00813930"/>
    <w:rsid w:val="00816701"/>
    <w:rsid w:val="00821081"/>
    <w:rsid w:val="00825545"/>
    <w:rsid w:val="00825DC1"/>
    <w:rsid w:val="00825E6D"/>
    <w:rsid w:val="008265BB"/>
    <w:rsid w:val="008270B0"/>
    <w:rsid w:val="00827339"/>
    <w:rsid w:val="008340CE"/>
    <w:rsid w:val="0083495F"/>
    <w:rsid w:val="00842CA9"/>
    <w:rsid w:val="00844916"/>
    <w:rsid w:val="00845437"/>
    <w:rsid w:val="00845E54"/>
    <w:rsid w:val="00846846"/>
    <w:rsid w:val="00846E63"/>
    <w:rsid w:val="00846EE4"/>
    <w:rsid w:val="00853963"/>
    <w:rsid w:val="008549ED"/>
    <w:rsid w:val="008559B6"/>
    <w:rsid w:val="00857EEF"/>
    <w:rsid w:val="008623EA"/>
    <w:rsid w:val="00862747"/>
    <w:rsid w:val="00863CEC"/>
    <w:rsid w:val="0086465C"/>
    <w:rsid w:val="00866945"/>
    <w:rsid w:val="008669CF"/>
    <w:rsid w:val="0086768F"/>
    <w:rsid w:val="00870B40"/>
    <w:rsid w:val="0087218F"/>
    <w:rsid w:val="008722C1"/>
    <w:rsid w:val="0087483C"/>
    <w:rsid w:val="008748F6"/>
    <w:rsid w:val="00874E43"/>
    <w:rsid w:val="0087511D"/>
    <w:rsid w:val="00877BA3"/>
    <w:rsid w:val="00877F5B"/>
    <w:rsid w:val="00884019"/>
    <w:rsid w:val="00884A0C"/>
    <w:rsid w:val="00885AB1"/>
    <w:rsid w:val="0088710D"/>
    <w:rsid w:val="008871CF"/>
    <w:rsid w:val="008927A8"/>
    <w:rsid w:val="0089408B"/>
    <w:rsid w:val="00894976"/>
    <w:rsid w:val="00894E55"/>
    <w:rsid w:val="008A0EB0"/>
    <w:rsid w:val="008A2889"/>
    <w:rsid w:val="008A3C18"/>
    <w:rsid w:val="008A5092"/>
    <w:rsid w:val="008A6058"/>
    <w:rsid w:val="008A64CF"/>
    <w:rsid w:val="008A6E0D"/>
    <w:rsid w:val="008A7D47"/>
    <w:rsid w:val="008B09B3"/>
    <w:rsid w:val="008B29D7"/>
    <w:rsid w:val="008B36F5"/>
    <w:rsid w:val="008C175B"/>
    <w:rsid w:val="008C2BB2"/>
    <w:rsid w:val="008C3726"/>
    <w:rsid w:val="008C5ECE"/>
    <w:rsid w:val="008C6146"/>
    <w:rsid w:val="008C65A1"/>
    <w:rsid w:val="008D1CA0"/>
    <w:rsid w:val="008D3450"/>
    <w:rsid w:val="008D3BB8"/>
    <w:rsid w:val="008D46C7"/>
    <w:rsid w:val="008D4BC1"/>
    <w:rsid w:val="008D5367"/>
    <w:rsid w:val="008D567B"/>
    <w:rsid w:val="008D581D"/>
    <w:rsid w:val="008E1F05"/>
    <w:rsid w:val="008E2DBC"/>
    <w:rsid w:val="008E4959"/>
    <w:rsid w:val="008E6DA8"/>
    <w:rsid w:val="008F004A"/>
    <w:rsid w:val="008F04DB"/>
    <w:rsid w:val="008F14B3"/>
    <w:rsid w:val="008F7825"/>
    <w:rsid w:val="00900338"/>
    <w:rsid w:val="0090204A"/>
    <w:rsid w:val="00902302"/>
    <w:rsid w:val="009029F1"/>
    <w:rsid w:val="00903B7B"/>
    <w:rsid w:val="00904476"/>
    <w:rsid w:val="009068AF"/>
    <w:rsid w:val="00907674"/>
    <w:rsid w:val="00913A42"/>
    <w:rsid w:val="009202C0"/>
    <w:rsid w:val="009217A4"/>
    <w:rsid w:val="00925796"/>
    <w:rsid w:val="009301D1"/>
    <w:rsid w:val="00931C73"/>
    <w:rsid w:val="00931D0C"/>
    <w:rsid w:val="00932E6D"/>
    <w:rsid w:val="00933278"/>
    <w:rsid w:val="00933A7B"/>
    <w:rsid w:val="00936469"/>
    <w:rsid w:val="00937204"/>
    <w:rsid w:val="0094054A"/>
    <w:rsid w:val="009465BA"/>
    <w:rsid w:val="0094715A"/>
    <w:rsid w:val="00947E22"/>
    <w:rsid w:val="00950114"/>
    <w:rsid w:val="009504FD"/>
    <w:rsid w:val="00951F90"/>
    <w:rsid w:val="009539AA"/>
    <w:rsid w:val="00954612"/>
    <w:rsid w:val="00957CDC"/>
    <w:rsid w:val="00963633"/>
    <w:rsid w:val="0096418D"/>
    <w:rsid w:val="00964E9F"/>
    <w:rsid w:val="0097076C"/>
    <w:rsid w:val="009720D3"/>
    <w:rsid w:val="00974DDA"/>
    <w:rsid w:val="00975430"/>
    <w:rsid w:val="009754FB"/>
    <w:rsid w:val="009756A4"/>
    <w:rsid w:val="00975775"/>
    <w:rsid w:val="00976592"/>
    <w:rsid w:val="009778D5"/>
    <w:rsid w:val="00983415"/>
    <w:rsid w:val="0098473A"/>
    <w:rsid w:val="0098580C"/>
    <w:rsid w:val="00986303"/>
    <w:rsid w:val="00990578"/>
    <w:rsid w:val="00990998"/>
    <w:rsid w:val="00991FB4"/>
    <w:rsid w:val="00992820"/>
    <w:rsid w:val="009939B0"/>
    <w:rsid w:val="0099434E"/>
    <w:rsid w:val="009943DF"/>
    <w:rsid w:val="00995E1C"/>
    <w:rsid w:val="009A123F"/>
    <w:rsid w:val="009A2223"/>
    <w:rsid w:val="009A29A5"/>
    <w:rsid w:val="009A3455"/>
    <w:rsid w:val="009A3826"/>
    <w:rsid w:val="009A4177"/>
    <w:rsid w:val="009A785E"/>
    <w:rsid w:val="009B0DEB"/>
    <w:rsid w:val="009B1FD9"/>
    <w:rsid w:val="009B20ED"/>
    <w:rsid w:val="009B2CE6"/>
    <w:rsid w:val="009B306D"/>
    <w:rsid w:val="009B51EC"/>
    <w:rsid w:val="009B5432"/>
    <w:rsid w:val="009B5A48"/>
    <w:rsid w:val="009B5FC5"/>
    <w:rsid w:val="009B7CA1"/>
    <w:rsid w:val="009C268C"/>
    <w:rsid w:val="009C2708"/>
    <w:rsid w:val="009C2753"/>
    <w:rsid w:val="009C3B79"/>
    <w:rsid w:val="009C502C"/>
    <w:rsid w:val="009C56B8"/>
    <w:rsid w:val="009C7917"/>
    <w:rsid w:val="009D173B"/>
    <w:rsid w:val="009D1A89"/>
    <w:rsid w:val="009D2D76"/>
    <w:rsid w:val="009D6715"/>
    <w:rsid w:val="009D6C28"/>
    <w:rsid w:val="009E0CB9"/>
    <w:rsid w:val="009E3D18"/>
    <w:rsid w:val="009E4081"/>
    <w:rsid w:val="009E53D2"/>
    <w:rsid w:val="009E5570"/>
    <w:rsid w:val="009E61EA"/>
    <w:rsid w:val="009E6E4D"/>
    <w:rsid w:val="009F033C"/>
    <w:rsid w:val="009F0A4A"/>
    <w:rsid w:val="009F15BE"/>
    <w:rsid w:val="009F387F"/>
    <w:rsid w:val="009F4585"/>
    <w:rsid w:val="009F56E5"/>
    <w:rsid w:val="009F622B"/>
    <w:rsid w:val="009F6305"/>
    <w:rsid w:val="009F6EE9"/>
    <w:rsid w:val="00A00B9F"/>
    <w:rsid w:val="00A0179F"/>
    <w:rsid w:val="00A029D5"/>
    <w:rsid w:val="00A02B29"/>
    <w:rsid w:val="00A02CBE"/>
    <w:rsid w:val="00A03481"/>
    <w:rsid w:val="00A0374B"/>
    <w:rsid w:val="00A03B63"/>
    <w:rsid w:val="00A04BCB"/>
    <w:rsid w:val="00A04D55"/>
    <w:rsid w:val="00A05F50"/>
    <w:rsid w:val="00A06E3B"/>
    <w:rsid w:val="00A103F4"/>
    <w:rsid w:val="00A10C7E"/>
    <w:rsid w:val="00A1583D"/>
    <w:rsid w:val="00A1711C"/>
    <w:rsid w:val="00A17D07"/>
    <w:rsid w:val="00A22188"/>
    <w:rsid w:val="00A22E09"/>
    <w:rsid w:val="00A2356C"/>
    <w:rsid w:val="00A23EB6"/>
    <w:rsid w:val="00A2487B"/>
    <w:rsid w:val="00A248C2"/>
    <w:rsid w:val="00A25144"/>
    <w:rsid w:val="00A2669E"/>
    <w:rsid w:val="00A27BDC"/>
    <w:rsid w:val="00A27D71"/>
    <w:rsid w:val="00A27E91"/>
    <w:rsid w:val="00A30621"/>
    <w:rsid w:val="00A31A02"/>
    <w:rsid w:val="00A33708"/>
    <w:rsid w:val="00A33AE6"/>
    <w:rsid w:val="00A34CAF"/>
    <w:rsid w:val="00A425AB"/>
    <w:rsid w:val="00A429A4"/>
    <w:rsid w:val="00A43008"/>
    <w:rsid w:val="00A43258"/>
    <w:rsid w:val="00A43682"/>
    <w:rsid w:val="00A44065"/>
    <w:rsid w:val="00A4520C"/>
    <w:rsid w:val="00A47157"/>
    <w:rsid w:val="00A50EF7"/>
    <w:rsid w:val="00A51C2E"/>
    <w:rsid w:val="00A52218"/>
    <w:rsid w:val="00A55D21"/>
    <w:rsid w:val="00A55D7A"/>
    <w:rsid w:val="00A570D1"/>
    <w:rsid w:val="00A607B6"/>
    <w:rsid w:val="00A633BE"/>
    <w:rsid w:val="00A638AE"/>
    <w:rsid w:val="00A639D2"/>
    <w:rsid w:val="00A671DB"/>
    <w:rsid w:val="00A71159"/>
    <w:rsid w:val="00A77B33"/>
    <w:rsid w:val="00A82639"/>
    <w:rsid w:val="00A8402E"/>
    <w:rsid w:val="00A85D60"/>
    <w:rsid w:val="00A86B77"/>
    <w:rsid w:val="00A872EA"/>
    <w:rsid w:val="00A906A6"/>
    <w:rsid w:val="00A95119"/>
    <w:rsid w:val="00A95A0C"/>
    <w:rsid w:val="00A95FCC"/>
    <w:rsid w:val="00A971F1"/>
    <w:rsid w:val="00A97A28"/>
    <w:rsid w:val="00AA3602"/>
    <w:rsid w:val="00AA371B"/>
    <w:rsid w:val="00AA3901"/>
    <w:rsid w:val="00AA6AEF"/>
    <w:rsid w:val="00AB04BC"/>
    <w:rsid w:val="00AB3F9D"/>
    <w:rsid w:val="00AB484D"/>
    <w:rsid w:val="00AC0E47"/>
    <w:rsid w:val="00AC15BE"/>
    <w:rsid w:val="00AC1AA4"/>
    <w:rsid w:val="00AC1F8F"/>
    <w:rsid w:val="00AC3C4D"/>
    <w:rsid w:val="00AC4796"/>
    <w:rsid w:val="00AC5E76"/>
    <w:rsid w:val="00AC70CC"/>
    <w:rsid w:val="00AD0D56"/>
    <w:rsid w:val="00AD13C1"/>
    <w:rsid w:val="00AD1D34"/>
    <w:rsid w:val="00AD1EE0"/>
    <w:rsid w:val="00AD3701"/>
    <w:rsid w:val="00AD3815"/>
    <w:rsid w:val="00AD5581"/>
    <w:rsid w:val="00AD7BD0"/>
    <w:rsid w:val="00AD7D8E"/>
    <w:rsid w:val="00AE01EC"/>
    <w:rsid w:val="00AE18CB"/>
    <w:rsid w:val="00AE30A6"/>
    <w:rsid w:val="00AE4C79"/>
    <w:rsid w:val="00AE5D7B"/>
    <w:rsid w:val="00AE66BB"/>
    <w:rsid w:val="00AE6FFA"/>
    <w:rsid w:val="00AE7037"/>
    <w:rsid w:val="00AE784D"/>
    <w:rsid w:val="00AF0187"/>
    <w:rsid w:val="00AF10DE"/>
    <w:rsid w:val="00AF2328"/>
    <w:rsid w:val="00AF2F1C"/>
    <w:rsid w:val="00AF5BC1"/>
    <w:rsid w:val="00B0512D"/>
    <w:rsid w:val="00B05EE7"/>
    <w:rsid w:val="00B06BEE"/>
    <w:rsid w:val="00B071F7"/>
    <w:rsid w:val="00B17421"/>
    <w:rsid w:val="00B22035"/>
    <w:rsid w:val="00B22F52"/>
    <w:rsid w:val="00B236C4"/>
    <w:rsid w:val="00B23A4C"/>
    <w:rsid w:val="00B24856"/>
    <w:rsid w:val="00B24DF8"/>
    <w:rsid w:val="00B258CA"/>
    <w:rsid w:val="00B25B12"/>
    <w:rsid w:val="00B25F12"/>
    <w:rsid w:val="00B2693F"/>
    <w:rsid w:val="00B30A9D"/>
    <w:rsid w:val="00B32448"/>
    <w:rsid w:val="00B32835"/>
    <w:rsid w:val="00B33484"/>
    <w:rsid w:val="00B34A42"/>
    <w:rsid w:val="00B36754"/>
    <w:rsid w:val="00B372C6"/>
    <w:rsid w:val="00B41DD7"/>
    <w:rsid w:val="00B42446"/>
    <w:rsid w:val="00B44ACF"/>
    <w:rsid w:val="00B45232"/>
    <w:rsid w:val="00B46ADB"/>
    <w:rsid w:val="00B47E73"/>
    <w:rsid w:val="00B52824"/>
    <w:rsid w:val="00B55ABF"/>
    <w:rsid w:val="00B56646"/>
    <w:rsid w:val="00B60912"/>
    <w:rsid w:val="00B6354B"/>
    <w:rsid w:val="00B64727"/>
    <w:rsid w:val="00B7132C"/>
    <w:rsid w:val="00B73A5F"/>
    <w:rsid w:val="00B74C23"/>
    <w:rsid w:val="00B74E34"/>
    <w:rsid w:val="00B763C7"/>
    <w:rsid w:val="00B776BA"/>
    <w:rsid w:val="00B778BC"/>
    <w:rsid w:val="00B82B22"/>
    <w:rsid w:val="00B8314E"/>
    <w:rsid w:val="00B833C6"/>
    <w:rsid w:val="00B8423C"/>
    <w:rsid w:val="00B8667C"/>
    <w:rsid w:val="00B87926"/>
    <w:rsid w:val="00B90EE5"/>
    <w:rsid w:val="00B92015"/>
    <w:rsid w:val="00B92B8D"/>
    <w:rsid w:val="00B9303D"/>
    <w:rsid w:val="00B93783"/>
    <w:rsid w:val="00B9599B"/>
    <w:rsid w:val="00B95A5C"/>
    <w:rsid w:val="00B95EFD"/>
    <w:rsid w:val="00B9616F"/>
    <w:rsid w:val="00B961F6"/>
    <w:rsid w:val="00BA2B1F"/>
    <w:rsid w:val="00BA4A4B"/>
    <w:rsid w:val="00BA7F4E"/>
    <w:rsid w:val="00BB0336"/>
    <w:rsid w:val="00BB097D"/>
    <w:rsid w:val="00BB13CE"/>
    <w:rsid w:val="00BB19B0"/>
    <w:rsid w:val="00BB6A9B"/>
    <w:rsid w:val="00BB7217"/>
    <w:rsid w:val="00BC247C"/>
    <w:rsid w:val="00BC359E"/>
    <w:rsid w:val="00BC3AA2"/>
    <w:rsid w:val="00BC3AB2"/>
    <w:rsid w:val="00BC3C36"/>
    <w:rsid w:val="00BD3D00"/>
    <w:rsid w:val="00BE006E"/>
    <w:rsid w:val="00BE5CCC"/>
    <w:rsid w:val="00BE6039"/>
    <w:rsid w:val="00BF0509"/>
    <w:rsid w:val="00BF0542"/>
    <w:rsid w:val="00BF0722"/>
    <w:rsid w:val="00BF13BA"/>
    <w:rsid w:val="00BF1FB1"/>
    <w:rsid w:val="00BF2997"/>
    <w:rsid w:val="00BF53FD"/>
    <w:rsid w:val="00BF67DC"/>
    <w:rsid w:val="00BF7804"/>
    <w:rsid w:val="00BF7996"/>
    <w:rsid w:val="00C01509"/>
    <w:rsid w:val="00C01C91"/>
    <w:rsid w:val="00C0318C"/>
    <w:rsid w:val="00C07897"/>
    <w:rsid w:val="00C105AF"/>
    <w:rsid w:val="00C10BBC"/>
    <w:rsid w:val="00C1237A"/>
    <w:rsid w:val="00C12F47"/>
    <w:rsid w:val="00C16733"/>
    <w:rsid w:val="00C173CB"/>
    <w:rsid w:val="00C17634"/>
    <w:rsid w:val="00C17BAB"/>
    <w:rsid w:val="00C2119F"/>
    <w:rsid w:val="00C22CE4"/>
    <w:rsid w:val="00C2317E"/>
    <w:rsid w:val="00C2349A"/>
    <w:rsid w:val="00C24360"/>
    <w:rsid w:val="00C264A7"/>
    <w:rsid w:val="00C27663"/>
    <w:rsid w:val="00C31ADF"/>
    <w:rsid w:val="00C32BA1"/>
    <w:rsid w:val="00C33719"/>
    <w:rsid w:val="00C34735"/>
    <w:rsid w:val="00C3592E"/>
    <w:rsid w:val="00C37AB9"/>
    <w:rsid w:val="00C437EB"/>
    <w:rsid w:val="00C458BE"/>
    <w:rsid w:val="00C4701C"/>
    <w:rsid w:val="00C516DD"/>
    <w:rsid w:val="00C51839"/>
    <w:rsid w:val="00C539D7"/>
    <w:rsid w:val="00C551E3"/>
    <w:rsid w:val="00C55ED1"/>
    <w:rsid w:val="00C60B9B"/>
    <w:rsid w:val="00C6280F"/>
    <w:rsid w:val="00C714A0"/>
    <w:rsid w:val="00C722DE"/>
    <w:rsid w:val="00C77A05"/>
    <w:rsid w:val="00C800D0"/>
    <w:rsid w:val="00C82651"/>
    <w:rsid w:val="00C85DF7"/>
    <w:rsid w:val="00C877B7"/>
    <w:rsid w:val="00C87BDD"/>
    <w:rsid w:val="00C916CD"/>
    <w:rsid w:val="00C93160"/>
    <w:rsid w:val="00C9410F"/>
    <w:rsid w:val="00C94196"/>
    <w:rsid w:val="00C950A2"/>
    <w:rsid w:val="00CA0101"/>
    <w:rsid w:val="00CA0B11"/>
    <w:rsid w:val="00CA176D"/>
    <w:rsid w:val="00CA3347"/>
    <w:rsid w:val="00CB0263"/>
    <w:rsid w:val="00CB2B51"/>
    <w:rsid w:val="00CB3B8C"/>
    <w:rsid w:val="00CB5A6A"/>
    <w:rsid w:val="00CC0B27"/>
    <w:rsid w:val="00CC1598"/>
    <w:rsid w:val="00CC3AA5"/>
    <w:rsid w:val="00CC5956"/>
    <w:rsid w:val="00CC6293"/>
    <w:rsid w:val="00CC6801"/>
    <w:rsid w:val="00CC6AE3"/>
    <w:rsid w:val="00CC7D09"/>
    <w:rsid w:val="00CD3540"/>
    <w:rsid w:val="00CD5934"/>
    <w:rsid w:val="00CD5AE8"/>
    <w:rsid w:val="00CE09F7"/>
    <w:rsid w:val="00CE1A01"/>
    <w:rsid w:val="00CE4559"/>
    <w:rsid w:val="00CE4FD3"/>
    <w:rsid w:val="00CF0B86"/>
    <w:rsid w:val="00CF363F"/>
    <w:rsid w:val="00CF549E"/>
    <w:rsid w:val="00CF5ACE"/>
    <w:rsid w:val="00D00365"/>
    <w:rsid w:val="00D01AED"/>
    <w:rsid w:val="00D03376"/>
    <w:rsid w:val="00D034AB"/>
    <w:rsid w:val="00D040F7"/>
    <w:rsid w:val="00D047A0"/>
    <w:rsid w:val="00D05246"/>
    <w:rsid w:val="00D05358"/>
    <w:rsid w:val="00D06101"/>
    <w:rsid w:val="00D07455"/>
    <w:rsid w:val="00D154C2"/>
    <w:rsid w:val="00D15A56"/>
    <w:rsid w:val="00D178A8"/>
    <w:rsid w:val="00D205C2"/>
    <w:rsid w:val="00D20704"/>
    <w:rsid w:val="00D21985"/>
    <w:rsid w:val="00D25700"/>
    <w:rsid w:val="00D25C1B"/>
    <w:rsid w:val="00D25DF0"/>
    <w:rsid w:val="00D26BC0"/>
    <w:rsid w:val="00D30545"/>
    <w:rsid w:val="00D31607"/>
    <w:rsid w:val="00D35E42"/>
    <w:rsid w:val="00D36C5D"/>
    <w:rsid w:val="00D36F54"/>
    <w:rsid w:val="00D37E0B"/>
    <w:rsid w:val="00D40DBD"/>
    <w:rsid w:val="00D43654"/>
    <w:rsid w:val="00D47BD0"/>
    <w:rsid w:val="00D5093C"/>
    <w:rsid w:val="00D511E4"/>
    <w:rsid w:val="00D52167"/>
    <w:rsid w:val="00D530FD"/>
    <w:rsid w:val="00D53BAB"/>
    <w:rsid w:val="00D5517A"/>
    <w:rsid w:val="00D552D1"/>
    <w:rsid w:val="00D61CEC"/>
    <w:rsid w:val="00D635D2"/>
    <w:rsid w:val="00D6363F"/>
    <w:rsid w:val="00D640BF"/>
    <w:rsid w:val="00D642B8"/>
    <w:rsid w:val="00D6451C"/>
    <w:rsid w:val="00D65AF5"/>
    <w:rsid w:val="00D66CE5"/>
    <w:rsid w:val="00D6700B"/>
    <w:rsid w:val="00D675A9"/>
    <w:rsid w:val="00D705E9"/>
    <w:rsid w:val="00D708BA"/>
    <w:rsid w:val="00D719A4"/>
    <w:rsid w:val="00D72852"/>
    <w:rsid w:val="00D72B99"/>
    <w:rsid w:val="00D734AB"/>
    <w:rsid w:val="00D744DB"/>
    <w:rsid w:val="00D74656"/>
    <w:rsid w:val="00D756BD"/>
    <w:rsid w:val="00D75907"/>
    <w:rsid w:val="00D769BF"/>
    <w:rsid w:val="00D76AA4"/>
    <w:rsid w:val="00D80070"/>
    <w:rsid w:val="00D80503"/>
    <w:rsid w:val="00D8151F"/>
    <w:rsid w:val="00D85722"/>
    <w:rsid w:val="00D87DFD"/>
    <w:rsid w:val="00D91C46"/>
    <w:rsid w:val="00D91D77"/>
    <w:rsid w:val="00D93F10"/>
    <w:rsid w:val="00D94254"/>
    <w:rsid w:val="00D94A46"/>
    <w:rsid w:val="00D9695C"/>
    <w:rsid w:val="00D96B25"/>
    <w:rsid w:val="00D97423"/>
    <w:rsid w:val="00D9763F"/>
    <w:rsid w:val="00DA010F"/>
    <w:rsid w:val="00DA5588"/>
    <w:rsid w:val="00DA5EDF"/>
    <w:rsid w:val="00DA7E84"/>
    <w:rsid w:val="00DA7EEF"/>
    <w:rsid w:val="00DB0506"/>
    <w:rsid w:val="00DB2EDF"/>
    <w:rsid w:val="00DB3475"/>
    <w:rsid w:val="00DB3B94"/>
    <w:rsid w:val="00DB4195"/>
    <w:rsid w:val="00DB7AB3"/>
    <w:rsid w:val="00DB7E93"/>
    <w:rsid w:val="00DC1212"/>
    <w:rsid w:val="00DC3285"/>
    <w:rsid w:val="00DC595C"/>
    <w:rsid w:val="00DC5DE3"/>
    <w:rsid w:val="00DC6E54"/>
    <w:rsid w:val="00DC77F7"/>
    <w:rsid w:val="00DD2D0D"/>
    <w:rsid w:val="00DD4177"/>
    <w:rsid w:val="00DD4504"/>
    <w:rsid w:val="00DD4C8B"/>
    <w:rsid w:val="00DD6A37"/>
    <w:rsid w:val="00DE095C"/>
    <w:rsid w:val="00DE5781"/>
    <w:rsid w:val="00DE5C6E"/>
    <w:rsid w:val="00DE5E9C"/>
    <w:rsid w:val="00DE5EBB"/>
    <w:rsid w:val="00DE5F7C"/>
    <w:rsid w:val="00DE746E"/>
    <w:rsid w:val="00DF598A"/>
    <w:rsid w:val="00DF5ED5"/>
    <w:rsid w:val="00E0213C"/>
    <w:rsid w:val="00E04790"/>
    <w:rsid w:val="00E04EA0"/>
    <w:rsid w:val="00E05D42"/>
    <w:rsid w:val="00E06CFA"/>
    <w:rsid w:val="00E12833"/>
    <w:rsid w:val="00E14106"/>
    <w:rsid w:val="00E154AB"/>
    <w:rsid w:val="00E17024"/>
    <w:rsid w:val="00E20108"/>
    <w:rsid w:val="00E20E95"/>
    <w:rsid w:val="00E251C0"/>
    <w:rsid w:val="00E26021"/>
    <w:rsid w:val="00E27BC3"/>
    <w:rsid w:val="00E33245"/>
    <w:rsid w:val="00E335E2"/>
    <w:rsid w:val="00E33880"/>
    <w:rsid w:val="00E33E61"/>
    <w:rsid w:val="00E418CD"/>
    <w:rsid w:val="00E41B10"/>
    <w:rsid w:val="00E44346"/>
    <w:rsid w:val="00E44704"/>
    <w:rsid w:val="00E450F7"/>
    <w:rsid w:val="00E50B05"/>
    <w:rsid w:val="00E52D0D"/>
    <w:rsid w:val="00E5450D"/>
    <w:rsid w:val="00E54ABC"/>
    <w:rsid w:val="00E56220"/>
    <w:rsid w:val="00E56703"/>
    <w:rsid w:val="00E56E91"/>
    <w:rsid w:val="00E57D90"/>
    <w:rsid w:val="00E60EC2"/>
    <w:rsid w:val="00E631BC"/>
    <w:rsid w:val="00E677D0"/>
    <w:rsid w:val="00E67B6B"/>
    <w:rsid w:val="00E71938"/>
    <w:rsid w:val="00E71C41"/>
    <w:rsid w:val="00E7237B"/>
    <w:rsid w:val="00E74A17"/>
    <w:rsid w:val="00E75413"/>
    <w:rsid w:val="00E76EE7"/>
    <w:rsid w:val="00E770D7"/>
    <w:rsid w:val="00E7715D"/>
    <w:rsid w:val="00E77D4B"/>
    <w:rsid w:val="00E81568"/>
    <w:rsid w:val="00E8378B"/>
    <w:rsid w:val="00E83F36"/>
    <w:rsid w:val="00E84E40"/>
    <w:rsid w:val="00E84F7F"/>
    <w:rsid w:val="00E8703B"/>
    <w:rsid w:val="00E870B1"/>
    <w:rsid w:val="00E872AE"/>
    <w:rsid w:val="00E92151"/>
    <w:rsid w:val="00E930CE"/>
    <w:rsid w:val="00E94E81"/>
    <w:rsid w:val="00E958A0"/>
    <w:rsid w:val="00E9607F"/>
    <w:rsid w:val="00E96449"/>
    <w:rsid w:val="00E96DBE"/>
    <w:rsid w:val="00E97C8C"/>
    <w:rsid w:val="00EA1817"/>
    <w:rsid w:val="00EA1FF9"/>
    <w:rsid w:val="00EA22AE"/>
    <w:rsid w:val="00EA3D01"/>
    <w:rsid w:val="00EA53FF"/>
    <w:rsid w:val="00EA5D7A"/>
    <w:rsid w:val="00EA67E4"/>
    <w:rsid w:val="00EB0D15"/>
    <w:rsid w:val="00EB1F42"/>
    <w:rsid w:val="00EB332F"/>
    <w:rsid w:val="00EB560B"/>
    <w:rsid w:val="00EB7367"/>
    <w:rsid w:val="00EB7C2C"/>
    <w:rsid w:val="00EC08FE"/>
    <w:rsid w:val="00EC129F"/>
    <w:rsid w:val="00EC2344"/>
    <w:rsid w:val="00EC440C"/>
    <w:rsid w:val="00EC4AA6"/>
    <w:rsid w:val="00EC4AE1"/>
    <w:rsid w:val="00EC7260"/>
    <w:rsid w:val="00EC78D4"/>
    <w:rsid w:val="00EC7BA2"/>
    <w:rsid w:val="00ED1CD8"/>
    <w:rsid w:val="00ED4407"/>
    <w:rsid w:val="00ED55E3"/>
    <w:rsid w:val="00ED6F5C"/>
    <w:rsid w:val="00ED757E"/>
    <w:rsid w:val="00EE0FED"/>
    <w:rsid w:val="00EE1CA7"/>
    <w:rsid w:val="00EE25E8"/>
    <w:rsid w:val="00EE3086"/>
    <w:rsid w:val="00EE3E90"/>
    <w:rsid w:val="00EE7B38"/>
    <w:rsid w:val="00EF0AEE"/>
    <w:rsid w:val="00EF4477"/>
    <w:rsid w:val="00EF5F84"/>
    <w:rsid w:val="00EF5FA1"/>
    <w:rsid w:val="00EF6B4F"/>
    <w:rsid w:val="00EF6C39"/>
    <w:rsid w:val="00EF7CD1"/>
    <w:rsid w:val="00F01498"/>
    <w:rsid w:val="00F02BFC"/>
    <w:rsid w:val="00F03788"/>
    <w:rsid w:val="00F03B38"/>
    <w:rsid w:val="00F05DA7"/>
    <w:rsid w:val="00F05FA7"/>
    <w:rsid w:val="00F1211C"/>
    <w:rsid w:val="00F13DDA"/>
    <w:rsid w:val="00F15510"/>
    <w:rsid w:val="00F158A9"/>
    <w:rsid w:val="00F161B3"/>
    <w:rsid w:val="00F20AE4"/>
    <w:rsid w:val="00F20ED8"/>
    <w:rsid w:val="00F22C82"/>
    <w:rsid w:val="00F22F79"/>
    <w:rsid w:val="00F24033"/>
    <w:rsid w:val="00F2553B"/>
    <w:rsid w:val="00F26DE3"/>
    <w:rsid w:val="00F31A00"/>
    <w:rsid w:val="00F33DFE"/>
    <w:rsid w:val="00F36B93"/>
    <w:rsid w:val="00F405F2"/>
    <w:rsid w:val="00F40838"/>
    <w:rsid w:val="00F40C70"/>
    <w:rsid w:val="00F4606F"/>
    <w:rsid w:val="00F46584"/>
    <w:rsid w:val="00F47695"/>
    <w:rsid w:val="00F51EFA"/>
    <w:rsid w:val="00F56C3C"/>
    <w:rsid w:val="00F57B57"/>
    <w:rsid w:val="00F624CF"/>
    <w:rsid w:val="00F6313F"/>
    <w:rsid w:val="00F634D8"/>
    <w:rsid w:val="00F65077"/>
    <w:rsid w:val="00F66156"/>
    <w:rsid w:val="00F67670"/>
    <w:rsid w:val="00F70FD4"/>
    <w:rsid w:val="00F71473"/>
    <w:rsid w:val="00F71D6A"/>
    <w:rsid w:val="00F72060"/>
    <w:rsid w:val="00F7422F"/>
    <w:rsid w:val="00F74887"/>
    <w:rsid w:val="00F74D55"/>
    <w:rsid w:val="00F76D9E"/>
    <w:rsid w:val="00F771E9"/>
    <w:rsid w:val="00F77646"/>
    <w:rsid w:val="00F801F1"/>
    <w:rsid w:val="00F83005"/>
    <w:rsid w:val="00F83D6C"/>
    <w:rsid w:val="00F85069"/>
    <w:rsid w:val="00F85636"/>
    <w:rsid w:val="00F86056"/>
    <w:rsid w:val="00F86A57"/>
    <w:rsid w:val="00F871C2"/>
    <w:rsid w:val="00F87BE4"/>
    <w:rsid w:val="00F915C0"/>
    <w:rsid w:val="00F93501"/>
    <w:rsid w:val="00F958F4"/>
    <w:rsid w:val="00FA04FB"/>
    <w:rsid w:val="00FA07D1"/>
    <w:rsid w:val="00FA111B"/>
    <w:rsid w:val="00FA40A2"/>
    <w:rsid w:val="00FA4DDC"/>
    <w:rsid w:val="00FA516B"/>
    <w:rsid w:val="00FA7229"/>
    <w:rsid w:val="00FB1818"/>
    <w:rsid w:val="00FB34D8"/>
    <w:rsid w:val="00FB620C"/>
    <w:rsid w:val="00FC0F2A"/>
    <w:rsid w:val="00FC14A4"/>
    <w:rsid w:val="00FC7450"/>
    <w:rsid w:val="00FD1261"/>
    <w:rsid w:val="00FD265A"/>
    <w:rsid w:val="00FD291A"/>
    <w:rsid w:val="00FD3394"/>
    <w:rsid w:val="00FD373E"/>
    <w:rsid w:val="00FD5506"/>
    <w:rsid w:val="00FD65A1"/>
    <w:rsid w:val="00FD72B6"/>
    <w:rsid w:val="00FD7350"/>
    <w:rsid w:val="00FD76C7"/>
    <w:rsid w:val="00FE175C"/>
    <w:rsid w:val="00FE1D79"/>
    <w:rsid w:val="00FE24BF"/>
    <w:rsid w:val="00FE3DB3"/>
    <w:rsid w:val="00FE4EF5"/>
    <w:rsid w:val="00FE517B"/>
    <w:rsid w:val="00FE749E"/>
    <w:rsid w:val="00FF00BB"/>
    <w:rsid w:val="00FF22CF"/>
    <w:rsid w:val="00FF2C7E"/>
    <w:rsid w:val="00FF3B1A"/>
    <w:rsid w:val="00FF4758"/>
    <w:rsid w:val="00FF5188"/>
    <w:rsid w:val="00FF57FA"/>
    <w:rsid w:val="00FF6CF3"/>
    <w:rsid w:val="02523854"/>
    <w:rsid w:val="0D77E0D7"/>
    <w:rsid w:val="29F2BCD8"/>
    <w:rsid w:val="4B1B1259"/>
    <w:rsid w:val="4BBD3E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74A23A8A"/>
  <w15:docId w15:val="{DDE89F11-DC72-1440-94C6-BD6A6E5D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852"/>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styleId="Header">
    <w:name w:val="header"/>
    <w:basedOn w:val="Normal"/>
    <w:link w:val="HeaderChar"/>
    <w:rsid w:val="003658EF"/>
    <w:pPr>
      <w:tabs>
        <w:tab w:val="center" w:pos="4320"/>
        <w:tab w:val="right" w:pos="8640"/>
      </w:tabs>
    </w:pPr>
  </w:style>
  <w:style w:type="character" w:customStyle="1" w:styleId="HeaderChar">
    <w:name w:val="Header Char"/>
    <w:link w:val="Header"/>
    <w:rsid w:val="003658EF"/>
    <w:rPr>
      <w:sz w:val="24"/>
      <w:lang w:val="en-GB"/>
    </w:r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aliases w:val="TOC 1tb"/>
    <w:basedOn w:val="Normal"/>
    <w:next w:val="Normal"/>
    <w:autoRedefine/>
    <w:uiPriority w:val="39"/>
    <w:qFormat/>
    <w:rsid w:val="00695673"/>
    <w:pPr>
      <w:tabs>
        <w:tab w:val="right" w:leader="underscore" w:pos="8827"/>
      </w:tabs>
      <w:spacing w:before="120"/>
    </w:pPr>
    <w:rPr>
      <w:rFonts w:ascii="Calibri" w:hAnsi="Calibri"/>
      <w:b/>
      <w:caps/>
      <w:szCs w:val="24"/>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uiPriority w:val="39"/>
    <w:rsid w:val="000F3BA2"/>
    <w:pPr>
      <w:ind w:left="1440"/>
    </w:pPr>
    <w:rPr>
      <w:sz w:val="20"/>
    </w:rPr>
  </w:style>
  <w:style w:type="paragraph" w:styleId="TOC9">
    <w:name w:val="toc 9"/>
    <w:basedOn w:val="Normal"/>
    <w:next w:val="Normal"/>
    <w:autoRedefine/>
    <w:semiHidden/>
    <w:rsid w:val="000F3BA2"/>
    <w:pPr>
      <w:ind w:left="1680"/>
    </w:pPr>
    <w:rPr>
      <w:sz w:val="20"/>
    </w:rPr>
  </w:style>
  <w:style w:type="paragraph" w:customStyle="1" w:styleId="Agency-heading-1">
    <w:name w:val="Agency-heading-1"/>
    <w:basedOn w:val="Normal"/>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body-text">
    <w:name w:val="Agency-body-text"/>
    <w:basedOn w:val="Normal"/>
    <w:qFormat/>
    <w:rsid w:val="002F78E3"/>
    <w:pPr>
      <w:spacing w:before="120" w:after="120"/>
    </w:pPr>
    <w:rPr>
      <w:rFonts w:ascii="Calibri" w:hAnsi="Calibri"/>
      <w:color w:val="000000" w:themeColor="text1"/>
    </w:rPr>
  </w:style>
  <w:style w:type="paragraph" w:customStyle="1" w:styleId="Agency-heading-2">
    <w:name w:val="Agency-heading-2"/>
    <w:basedOn w:val="Normal"/>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
    <w:next w:val="Agency-body-text"/>
    <w:qFormat/>
    <w:rsid w:val="008F04DB"/>
    <w:pPr>
      <w:keepNext/>
      <w:spacing w:before="240" w:after="120"/>
      <w:outlineLvl w:val="3"/>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styleId="FootnoteText">
    <w:name w:val="footnote text"/>
    <w:basedOn w:val="Normal"/>
    <w:link w:val="FootnoteTextChar"/>
    <w:uiPriority w:val="99"/>
    <w:rsid w:val="00A8402E"/>
    <w:rPr>
      <w:szCs w:val="24"/>
    </w:rPr>
  </w:style>
  <w:style w:type="character" w:customStyle="1" w:styleId="FootnoteTextChar">
    <w:name w:val="Footnote Text Char"/>
    <w:link w:val="FootnoteText"/>
    <w:uiPriority w:val="99"/>
    <w:rsid w:val="00A8402E"/>
    <w:rPr>
      <w:sz w:val="24"/>
      <w:szCs w:val="24"/>
      <w:lang w:val="en-GB"/>
    </w:rPr>
  </w:style>
  <w:style w:type="character" w:styleId="FootnoteReference">
    <w:name w:val="footnote reference"/>
    <w:aliases w:val="Footnote Reference (Alt+R)"/>
    <w:rsid w:val="00A8402E"/>
    <w:rPr>
      <w:vertAlign w:val="superscript"/>
    </w:rPr>
  </w:style>
  <w:style w:type="paragraph" w:customStyle="1" w:styleId="Agency-heading-1-report">
    <w:name w:val="Agency-heading-1-report"/>
    <w:basedOn w:val="Normal"/>
    <w:next w:val="Agency-body-text-report"/>
    <w:rsid w:val="00BF2997"/>
    <w:pPr>
      <w:keepNext/>
      <w:pageBreakBefore/>
      <w:pBdr>
        <w:bottom w:val="single" w:sz="8" w:space="2" w:color="20204B"/>
      </w:pBdr>
      <w:spacing w:before="4080" w:after="480"/>
      <w:contextualSpacing/>
      <w:outlineLvl w:val="0"/>
    </w:pPr>
    <w:rPr>
      <w:rFonts w:ascii="Calibri" w:hAnsi="Calibri"/>
      <w:b/>
      <w:caps/>
      <w:color w:val="211F4C"/>
      <w:sz w:val="40"/>
      <w:szCs w:val="24"/>
    </w:rPr>
  </w:style>
  <w:style w:type="paragraph" w:customStyle="1" w:styleId="Agency-body-text-report">
    <w:name w:val="Agency-body-text-report"/>
    <w:basedOn w:val="Normal"/>
    <w:rsid w:val="00BF2997"/>
    <w:pPr>
      <w:spacing w:before="120" w:after="120"/>
    </w:pPr>
    <w:rPr>
      <w:rFonts w:ascii="Calibri" w:hAnsi="Calibri"/>
      <w:color w:val="404040" w:themeColor="text1" w:themeTint="BF"/>
      <w:szCs w:val="24"/>
    </w:rPr>
  </w:style>
  <w:style w:type="paragraph" w:customStyle="1" w:styleId="Agency-heading-2-report">
    <w:name w:val="Agency-heading-2-report"/>
    <w:basedOn w:val="Normal"/>
    <w:next w:val="Agency-body-text-report"/>
    <w:rsid w:val="00BF2997"/>
    <w:pPr>
      <w:keepNext/>
      <w:pBdr>
        <w:bottom w:val="single" w:sz="8" w:space="2" w:color="7F7F7F"/>
      </w:pBdr>
      <w:spacing w:before="600" w:after="600"/>
      <w:outlineLvl w:val="1"/>
    </w:pPr>
    <w:rPr>
      <w:rFonts w:ascii="Calibri" w:hAnsi="Calibri"/>
      <w:b/>
      <w:color w:val="404040" w:themeColor="text1" w:themeTint="BF"/>
      <w:sz w:val="32"/>
      <w:szCs w:val="28"/>
    </w:rPr>
  </w:style>
  <w:style w:type="paragraph" w:customStyle="1" w:styleId="Agency-heading-3-report">
    <w:name w:val="Agency-heading-3-report"/>
    <w:basedOn w:val="Normal"/>
    <w:next w:val="Agency-body-text-report"/>
    <w:qFormat/>
    <w:rsid w:val="00BF2997"/>
    <w:pPr>
      <w:keepNext/>
      <w:spacing w:before="240" w:after="240"/>
      <w:outlineLvl w:val="2"/>
    </w:pPr>
    <w:rPr>
      <w:rFonts w:ascii="Calibri" w:hAnsi="Calibri"/>
      <w:b/>
      <w:color w:val="404040" w:themeColor="text1" w:themeTint="BF"/>
      <w:szCs w:val="26"/>
    </w:rPr>
  </w:style>
  <w:style w:type="paragraph" w:customStyle="1" w:styleId="Agency-heading-4-report">
    <w:name w:val="Agency-heading-4-report"/>
    <w:basedOn w:val="Normal"/>
    <w:next w:val="Agency-body-text-report"/>
    <w:rsid w:val="00BF2997"/>
    <w:pPr>
      <w:keepNext/>
      <w:spacing w:before="240" w:after="240"/>
      <w:outlineLvl w:val="3"/>
    </w:pPr>
    <w:rPr>
      <w:rFonts w:ascii="Calibri" w:hAnsi="Calibri"/>
      <w:bCs/>
      <w:i/>
      <w:color w:val="404040" w:themeColor="text1" w:themeTint="BF"/>
      <w:szCs w:val="28"/>
    </w:rPr>
  </w:style>
  <w:style w:type="paragraph" w:customStyle="1" w:styleId="Agency-caption-report">
    <w:name w:val="Agency-caption-report"/>
    <w:basedOn w:val="Normal"/>
    <w:next w:val="Agency-body-text-report"/>
    <w:rsid w:val="00BF2997"/>
    <w:pPr>
      <w:spacing w:before="240" w:after="240"/>
    </w:pPr>
    <w:rPr>
      <w:rFonts w:ascii="Calibri" w:hAnsi="Calibri"/>
      <w:b/>
      <w:bCs/>
      <w:color w:val="595959"/>
      <w:sz w:val="22"/>
      <w:szCs w:val="18"/>
    </w:rPr>
  </w:style>
  <w:style w:type="paragraph" w:customStyle="1" w:styleId="Agency-footer-report">
    <w:name w:val="Agency-footer-report"/>
    <w:basedOn w:val="Normal"/>
    <w:rsid w:val="00BF2997"/>
    <w:pPr>
      <w:tabs>
        <w:tab w:val="center" w:pos="4320"/>
        <w:tab w:val="right" w:pos="8640"/>
      </w:tabs>
    </w:pPr>
    <w:rPr>
      <w:rFonts w:ascii="Calibri" w:hAnsi="Calibri"/>
      <w:color w:val="595959"/>
      <w:sz w:val="22"/>
      <w:szCs w:val="24"/>
    </w:rPr>
  </w:style>
  <w:style w:type="paragraph" w:customStyle="1" w:styleId="Agency-footnote-report">
    <w:name w:val="Agency-footnote-report"/>
    <w:basedOn w:val="Normal"/>
    <w:rsid w:val="00BF2997"/>
    <w:pPr>
      <w:spacing w:before="120" w:after="120"/>
    </w:pPr>
    <w:rPr>
      <w:rFonts w:ascii="Calibri" w:hAnsi="Calibri"/>
      <w:color w:val="404040" w:themeColor="text1" w:themeTint="BF"/>
      <w:sz w:val="22"/>
      <w:szCs w:val="24"/>
    </w:rPr>
  </w:style>
  <w:style w:type="character" w:styleId="Hyperlink">
    <w:name w:val="Hyperlink"/>
    <w:rsid w:val="00BF2997"/>
    <w:rPr>
      <w:color w:val="0000FF"/>
      <w:u w:val="single"/>
    </w:rPr>
  </w:style>
  <w:style w:type="paragraph" w:customStyle="1" w:styleId="Agency-quotation">
    <w:name w:val="Agency-quotation"/>
    <w:basedOn w:val="Agency-body-text-report"/>
    <w:next w:val="Agency-body-text-report"/>
    <w:rsid w:val="00BF2997"/>
    <w:pPr>
      <w:spacing w:before="240" w:after="240"/>
    </w:pPr>
    <w:rPr>
      <w:i/>
    </w:rPr>
  </w:style>
  <w:style w:type="character" w:customStyle="1" w:styleId="ea-BodytextCharChar">
    <w:name w:val="ea-Body text Char Char"/>
    <w:rsid w:val="00BF2997"/>
    <w:rPr>
      <w:rFonts w:ascii="Arial" w:hAnsi="Arial"/>
      <w:color w:val="000000"/>
      <w:sz w:val="24"/>
      <w:lang w:val="en-GB" w:eastAsia="en-US" w:bidi="ar-SA"/>
    </w:rPr>
  </w:style>
  <w:style w:type="character" w:customStyle="1" w:styleId="CommentTextChar">
    <w:name w:val="Comment Text Char"/>
    <w:basedOn w:val="DefaultParagraphFont"/>
    <w:link w:val="CommentText"/>
    <w:uiPriority w:val="99"/>
    <w:rsid w:val="00BF2997"/>
  </w:style>
  <w:style w:type="paragraph" w:styleId="CommentText">
    <w:name w:val="annotation text"/>
    <w:basedOn w:val="Normal"/>
    <w:link w:val="CommentTextChar"/>
    <w:uiPriority w:val="99"/>
    <w:unhideWhenUsed/>
    <w:rsid w:val="00BF2997"/>
    <w:rPr>
      <w:sz w:val="20"/>
    </w:rPr>
  </w:style>
  <w:style w:type="character" w:customStyle="1" w:styleId="CommentTextChar1">
    <w:name w:val="Comment Text Char1"/>
    <w:basedOn w:val="DefaultParagraphFont"/>
    <w:semiHidden/>
    <w:rsid w:val="00BF2997"/>
  </w:style>
  <w:style w:type="paragraph" w:customStyle="1" w:styleId="Default">
    <w:name w:val="Default"/>
    <w:rsid w:val="00BF2997"/>
    <w:pPr>
      <w:autoSpaceDE w:val="0"/>
      <w:autoSpaceDN w:val="0"/>
      <w:adjustRightInd w:val="0"/>
    </w:pPr>
    <w:rPr>
      <w:rFonts w:ascii="Calibri" w:hAnsi="Calibri" w:cs="Calibri"/>
      <w:color w:val="000000"/>
      <w:sz w:val="24"/>
      <w:szCs w:val="24"/>
      <w:lang w:val="da-DK"/>
    </w:rPr>
  </w:style>
  <w:style w:type="character" w:customStyle="1" w:styleId="UnresolvedMention1">
    <w:name w:val="Unresolved Mention1"/>
    <w:basedOn w:val="DefaultParagraphFont"/>
    <w:uiPriority w:val="99"/>
    <w:unhideWhenUsed/>
    <w:rsid w:val="00BF2997"/>
    <w:rPr>
      <w:color w:val="605E5C"/>
      <w:shd w:val="clear" w:color="auto" w:fill="E1DFDD"/>
    </w:rPr>
  </w:style>
  <w:style w:type="character" w:styleId="CommentReference">
    <w:name w:val="annotation reference"/>
    <w:basedOn w:val="DefaultParagraphFont"/>
    <w:uiPriority w:val="99"/>
    <w:semiHidden/>
    <w:unhideWhenUsed/>
    <w:rsid w:val="003A281D"/>
    <w:rPr>
      <w:sz w:val="16"/>
      <w:szCs w:val="16"/>
    </w:rPr>
  </w:style>
  <w:style w:type="paragraph" w:styleId="CommentSubject">
    <w:name w:val="annotation subject"/>
    <w:basedOn w:val="CommentText"/>
    <w:next w:val="CommentText"/>
    <w:link w:val="CommentSubjectChar"/>
    <w:semiHidden/>
    <w:unhideWhenUsed/>
    <w:rsid w:val="003A281D"/>
    <w:rPr>
      <w:b/>
      <w:bCs/>
    </w:rPr>
  </w:style>
  <w:style w:type="character" w:customStyle="1" w:styleId="CommentSubjectChar">
    <w:name w:val="Comment Subject Char"/>
    <w:basedOn w:val="CommentTextChar"/>
    <w:link w:val="CommentSubject"/>
    <w:semiHidden/>
    <w:rsid w:val="003A281D"/>
    <w:rPr>
      <w:b/>
      <w:bCs/>
    </w:rPr>
  </w:style>
  <w:style w:type="paragraph" w:styleId="Caption">
    <w:name w:val="caption"/>
    <w:basedOn w:val="Normal"/>
    <w:next w:val="Normal"/>
    <w:unhideWhenUsed/>
    <w:qFormat/>
    <w:rsid w:val="00D26BC0"/>
    <w:pPr>
      <w:spacing w:after="200"/>
    </w:pPr>
    <w:rPr>
      <w:i/>
      <w:iCs/>
      <w:color w:val="1F497D" w:themeColor="text2"/>
      <w:sz w:val="18"/>
      <w:szCs w:val="18"/>
    </w:rPr>
  </w:style>
  <w:style w:type="paragraph" w:styleId="Revision">
    <w:name w:val="Revision"/>
    <w:hidden/>
    <w:semiHidden/>
    <w:rsid w:val="007976DF"/>
    <w:rPr>
      <w:sz w:val="24"/>
    </w:rPr>
  </w:style>
  <w:style w:type="character" w:styleId="FollowedHyperlink">
    <w:name w:val="FollowedHyperlink"/>
    <w:basedOn w:val="DefaultParagraphFont"/>
    <w:semiHidden/>
    <w:unhideWhenUsed/>
    <w:rsid w:val="00FF3B1A"/>
    <w:rPr>
      <w:color w:val="800080" w:themeColor="followedHyperlink"/>
      <w:u w:val="single"/>
    </w:rPr>
  </w:style>
  <w:style w:type="character" w:styleId="Emphasis">
    <w:name w:val="Emphasis"/>
    <w:basedOn w:val="DefaultParagraphFont"/>
    <w:uiPriority w:val="20"/>
    <w:qFormat/>
    <w:rsid w:val="001218FE"/>
    <w:rPr>
      <w:i/>
      <w:iCs/>
    </w:rPr>
  </w:style>
  <w:style w:type="character" w:customStyle="1" w:styleId="st">
    <w:name w:val="st"/>
    <w:basedOn w:val="DefaultParagraphFont"/>
    <w:rsid w:val="000D042F"/>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sid w:val="00AE7037"/>
    <w:rPr>
      <w:color w:val="605E5C"/>
      <w:shd w:val="clear" w:color="auto" w:fill="E1DFDD"/>
    </w:rPr>
  </w:style>
  <w:style w:type="character" w:styleId="PlaceholderText">
    <w:name w:val="Placeholder Text"/>
    <w:basedOn w:val="DefaultParagraphFont"/>
    <w:semiHidden/>
    <w:rsid w:val="000D1CF9"/>
    <w:rPr>
      <w:color w:val="808080"/>
    </w:rPr>
  </w:style>
  <w:style w:type="table" w:styleId="TableGridLight">
    <w:name w:val="Grid Table Light"/>
    <w:basedOn w:val="TableNormal"/>
    <w:uiPriority w:val="40"/>
    <w:rsid w:val="000D1C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E9607F"/>
    <w:rPr>
      <w:rFonts w:ascii="Calibri" w:hAnsi="Calibri" w:cs="Times New Roman (Body CS)"/>
      <w:sz w:val="28"/>
      <w:szCs w:val="21"/>
      <w:lang w:eastAsia="en-GB"/>
    </w:rPr>
  </w:style>
  <w:style w:type="character" w:customStyle="1" w:styleId="PlainTextChar">
    <w:name w:val="Plain Text Char"/>
    <w:basedOn w:val="DefaultParagraphFont"/>
    <w:link w:val="PlainText"/>
    <w:uiPriority w:val="99"/>
    <w:rsid w:val="00E9607F"/>
    <w:rPr>
      <w:rFonts w:ascii="Calibri" w:hAnsi="Calibri" w:cs="Times New Roman (Body CS)"/>
      <w:sz w:val="28"/>
      <w:szCs w:val="21"/>
      <w:lang w:eastAsia="en-GB"/>
    </w:rPr>
  </w:style>
  <w:style w:type="character" w:customStyle="1" w:styleId="UnresolvedMention3">
    <w:name w:val="Unresolved Mention3"/>
    <w:basedOn w:val="DefaultParagraphFont"/>
    <w:uiPriority w:val="99"/>
    <w:semiHidden/>
    <w:unhideWhenUsed/>
    <w:rsid w:val="002C6AAC"/>
    <w:rPr>
      <w:color w:val="605E5C"/>
      <w:shd w:val="clear" w:color="auto" w:fill="E1DFDD"/>
    </w:rPr>
  </w:style>
  <w:style w:type="character" w:styleId="PageNumber">
    <w:name w:val="page number"/>
    <w:basedOn w:val="DefaultParagraphFont"/>
    <w:semiHidden/>
    <w:unhideWhenUsed/>
    <w:rsid w:val="007C124F"/>
  </w:style>
  <w:style w:type="character" w:customStyle="1" w:styleId="UnresolvedMention4">
    <w:name w:val="Unresolved Mention4"/>
    <w:basedOn w:val="DefaultParagraphFont"/>
    <w:uiPriority w:val="99"/>
    <w:semiHidden/>
    <w:unhideWhenUsed/>
    <w:rsid w:val="00677F42"/>
    <w:rPr>
      <w:color w:val="605E5C"/>
      <w:shd w:val="clear" w:color="auto" w:fill="E1DFDD"/>
    </w:rPr>
  </w:style>
  <w:style w:type="character" w:styleId="UnresolvedMention">
    <w:name w:val="Unresolved Mention"/>
    <w:basedOn w:val="DefaultParagraphFont"/>
    <w:uiPriority w:val="99"/>
    <w:unhideWhenUsed/>
    <w:rsid w:val="0059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10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659575476">
      <w:bodyDiv w:val="1"/>
      <w:marLeft w:val="0"/>
      <w:marRight w:val="0"/>
      <w:marTop w:val="0"/>
      <w:marBottom w:val="0"/>
      <w:divBdr>
        <w:top w:val="none" w:sz="0" w:space="0" w:color="auto"/>
        <w:left w:val="none" w:sz="0" w:space="0" w:color="auto"/>
        <w:bottom w:val="none" w:sz="0" w:space="0" w:color="auto"/>
        <w:right w:val="none" w:sz="0" w:space="0" w:color="auto"/>
      </w:divBdr>
    </w:div>
    <w:div w:id="716781047">
      <w:bodyDiv w:val="1"/>
      <w:marLeft w:val="0"/>
      <w:marRight w:val="0"/>
      <w:marTop w:val="0"/>
      <w:marBottom w:val="0"/>
      <w:divBdr>
        <w:top w:val="none" w:sz="0" w:space="0" w:color="auto"/>
        <w:left w:val="none" w:sz="0" w:space="0" w:color="auto"/>
        <w:bottom w:val="none" w:sz="0" w:space="0" w:color="auto"/>
        <w:right w:val="none" w:sz="0" w:space="0" w:color="auto"/>
      </w:divBdr>
    </w:div>
    <w:div w:id="824322525">
      <w:bodyDiv w:val="1"/>
      <w:marLeft w:val="0"/>
      <w:marRight w:val="0"/>
      <w:marTop w:val="0"/>
      <w:marBottom w:val="0"/>
      <w:divBdr>
        <w:top w:val="none" w:sz="0" w:space="0" w:color="auto"/>
        <w:left w:val="none" w:sz="0" w:space="0" w:color="auto"/>
        <w:bottom w:val="none" w:sz="0" w:space="0" w:color="auto"/>
        <w:right w:val="none" w:sz="0" w:space="0" w:color="auto"/>
      </w:divBdr>
      <w:divsChild>
        <w:div w:id="1111238376">
          <w:marLeft w:val="0"/>
          <w:marRight w:val="0"/>
          <w:marTop w:val="0"/>
          <w:marBottom w:val="0"/>
          <w:divBdr>
            <w:top w:val="none" w:sz="0" w:space="0" w:color="auto"/>
            <w:left w:val="none" w:sz="0" w:space="0" w:color="auto"/>
            <w:bottom w:val="none" w:sz="0" w:space="0" w:color="auto"/>
            <w:right w:val="none" w:sz="0" w:space="0" w:color="auto"/>
          </w:divBdr>
        </w:div>
      </w:divsChild>
    </w:div>
    <w:div w:id="1040983379">
      <w:bodyDiv w:val="1"/>
      <w:marLeft w:val="0"/>
      <w:marRight w:val="0"/>
      <w:marTop w:val="0"/>
      <w:marBottom w:val="0"/>
      <w:divBdr>
        <w:top w:val="none" w:sz="0" w:space="0" w:color="auto"/>
        <w:left w:val="none" w:sz="0" w:space="0" w:color="auto"/>
        <w:bottom w:val="none" w:sz="0" w:space="0" w:color="auto"/>
        <w:right w:val="none" w:sz="0" w:space="0" w:color="auto"/>
      </w:divBdr>
    </w:div>
    <w:div w:id="1710956588">
      <w:bodyDiv w:val="1"/>
      <w:marLeft w:val="0"/>
      <w:marRight w:val="0"/>
      <w:marTop w:val="0"/>
      <w:marBottom w:val="0"/>
      <w:divBdr>
        <w:top w:val="none" w:sz="0" w:space="0" w:color="auto"/>
        <w:left w:val="none" w:sz="0" w:space="0" w:color="auto"/>
        <w:bottom w:val="none" w:sz="0" w:space="0" w:color="auto"/>
        <w:right w:val="none" w:sz="0" w:space="0" w:color="auto"/>
      </w:divBdr>
    </w:div>
    <w:div w:id="1933784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ean-agency.org" TargetMode="External"/><Relationship Id="rId18" Type="http://schemas.openxmlformats.org/officeDocument/2006/relationships/hyperlink" Target="https://www.european-agency.org/resources/publications/agency-position-inclusive-education-systems-fly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european-agency.org" TargetMode="External"/><Relationship Id="rId25" Type="http://schemas.openxmlformats.org/officeDocument/2006/relationships/header" Target="header4.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brussels.office@european-agency.org" TargetMode="External"/><Relationship Id="rId20" Type="http://schemas.openxmlformats.org/officeDocument/2006/relationships/header" Target="header1.xml"/><Relationship Id="rId29" Type="http://schemas.openxmlformats.org/officeDocument/2006/relationships/hyperlink" Target="https://www.european-agency.org/resources/publications/analysis-framework-mapping-inclusive-education-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secretariat@european-agency.org" TargetMode="External"/><Relationship Id="rId23" Type="http://schemas.openxmlformats.org/officeDocument/2006/relationships/footer" Target="footer2.xml"/><Relationship Id="rId28" Type="http://schemas.openxmlformats.org/officeDocument/2006/relationships/hyperlink" Target="https://www.european-agency.org/resources/publications/country-policy-review-and-analysis-methodology-report" TargetMode="External"/><Relationship Id="rId10" Type="http://schemas.openxmlformats.org/officeDocument/2006/relationships/endnotes" Target="endnotes.xml"/><Relationship Id="rId19" Type="http://schemas.openxmlformats.org/officeDocument/2006/relationships/hyperlink" Target="https://www.european-agency.org/projects/country-policy-review-and-analysi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1.xml"/><Relationship Id="rId27" Type="http://schemas.openxmlformats.org/officeDocument/2006/relationships/hyperlink" Target="http://www.european-agency.org/resources/publications/agency-position-inclusive-education-systems-flyer" TargetMode="External"/><Relationship Id="rId30" Type="http://schemas.openxmlformats.org/officeDocument/2006/relationships/hyperlink" Target="https://www.european-agency.org/resources/publications/country-policy-review-and-analysis-methodology-report-revised-2018"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jp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71217C-70EA-CC49-8DAD-B3DF92392FD2}">
  <we:reference id="wa104041485" version="1.1.1.0" store="en-US"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2" ma:contentTypeDescription="Create a new document." ma:contentTypeScope="" ma:versionID="f542c457dca67b81f4dd2148cdac6df8">
  <xsd:schema xmlns:xsd="http://www.w3.org/2001/XMLSchema" xmlns:xs="http://www.w3.org/2001/XMLSchema" xmlns:p="http://schemas.microsoft.com/office/2006/metadata/properties" xmlns:ns2="29ae7998-ccd0-4263-bc53-7550cb5938ea" targetNamespace="http://schemas.microsoft.com/office/2006/metadata/properties" ma:root="true" ma:fieldsID="bc4dfbb9cc5df47f7cde421a80bd63dc" ns2:_="">
    <xsd:import namespace="29ae7998-ccd0-4263-bc53-7550cb5938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90A2-17D2-47A2-B679-ED17EED1E7DD}">
  <ds:schemaRefs>
    <ds:schemaRef ds:uri="http://schemas.microsoft.com/sharepoint/v3/contenttype/forms"/>
  </ds:schemaRefs>
</ds:datastoreItem>
</file>

<file path=customXml/itemProps2.xml><?xml version="1.0" encoding="utf-8"?>
<ds:datastoreItem xmlns:ds="http://schemas.openxmlformats.org/officeDocument/2006/customXml" ds:itemID="{3E572F5D-5BF7-481D-8229-9E6B1641D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08C72-8075-4FE2-BB20-9679D9AA7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e7998-ccd0-4263-bc53-7550cb59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15953-B978-1C42-B462-6766B196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3259</Words>
  <Characters>18580</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TPL4I: Policy Mapping Tool</vt:lpstr>
      <vt:lpstr>Analysis Framework for Mapping Inclusive Education Policies</vt:lpstr>
    </vt:vector>
  </TitlesOfParts>
  <Manager/>
  <Company>European Agency for Special Needs and Inclusive Education</Company>
  <LinksUpToDate>false</LinksUpToDate>
  <CharactersWithSpaces>21796</CharactersWithSpaces>
  <SharedDoc>false</SharedDoc>
  <HyperlinkBase/>
  <HLinks>
    <vt:vector size="66" baseType="variant">
      <vt:variant>
        <vt:i4>4587599</vt:i4>
      </vt:variant>
      <vt:variant>
        <vt:i4>36</vt:i4>
      </vt:variant>
      <vt:variant>
        <vt:i4>0</vt:i4>
      </vt:variant>
      <vt:variant>
        <vt:i4>5</vt:i4>
      </vt:variant>
      <vt:variant>
        <vt:lpwstr>https://www.european-agency.org/resources/publications/country-policy-review-and-analysis-methodology-report-revised-2018</vt:lpwstr>
      </vt:variant>
      <vt:variant>
        <vt:lpwstr/>
      </vt:variant>
      <vt:variant>
        <vt:i4>3932272</vt:i4>
      </vt:variant>
      <vt:variant>
        <vt:i4>33</vt:i4>
      </vt:variant>
      <vt:variant>
        <vt:i4>0</vt:i4>
      </vt:variant>
      <vt:variant>
        <vt:i4>5</vt:i4>
      </vt:variant>
      <vt:variant>
        <vt:lpwstr>https://www.european-agency.org/sites/default/files/analysis_framework_for_mapping_inclusive_education_policies.pdf</vt:lpwstr>
      </vt:variant>
      <vt:variant>
        <vt:lpwstr/>
      </vt:variant>
      <vt:variant>
        <vt:i4>3014752</vt:i4>
      </vt:variant>
      <vt:variant>
        <vt:i4>30</vt:i4>
      </vt:variant>
      <vt:variant>
        <vt:i4>0</vt:i4>
      </vt:variant>
      <vt:variant>
        <vt:i4>5</vt:i4>
      </vt:variant>
      <vt:variant>
        <vt:lpwstr>https://www.european-agency.org/sites/default/files/CPRA Methodology Report.pdf</vt:lpwstr>
      </vt:variant>
      <vt:variant>
        <vt:lpwstr/>
      </vt:variant>
      <vt:variant>
        <vt:i4>5767263</vt:i4>
      </vt:variant>
      <vt:variant>
        <vt:i4>27</vt:i4>
      </vt:variant>
      <vt:variant>
        <vt:i4>0</vt:i4>
      </vt:variant>
      <vt:variant>
        <vt:i4>5</vt:i4>
      </vt:variant>
      <vt:variant>
        <vt:lpwstr>https://www.european-agency.org/resources/publications/agency-position-inclusive-education-systems-flyer</vt:lpwstr>
      </vt:variant>
      <vt:variant>
        <vt:lpwstr/>
      </vt:variant>
      <vt:variant>
        <vt:i4>5308423</vt:i4>
      </vt:variant>
      <vt:variant>
        <vt:i4>24</vt:i4>
      </vt:variant>
      <vt:variant>
        <vt:i4>0</vt:i4>
      </vt:variant>
      <vt:variant>
        <vt:i4>5</vt:i4>
      </vt:variant>
      <vt:variant>
        <vt:lpwstr>https://eacea.ec.europa.eu/national-policies/eurydice</vt:lpwstr>
      </vt:variant>
      <vt:variant>
        <vt:lpwstr/>
      </vt:variant>
      <vt:variant>
        <vt:i4>5308423</vt:i4>
      </vt:variant>
      <vt:variant>
        <vt:i4>21</vt:i4>
      </vt:variant>
      <vt:variant>
        <vt:i4>0</vt:i4>
      </vt:variant>
      <vt:variant>
        <vt:i4>5</vt:i4>
      </vt:variant>
      <vt:variant>
        <vt:lpwstr>https://eacea.ec.europa.eu/national-policies/eurydice</vt:lpwstr>
      </vt:variant>
      <vt:variant>
        <vt:lpwstr/>
      </vt:variant>
      <vt:variant>
        <vt:i4>5308423</vt:i4>
      </vt:variant>
      <vt:variant>
        <vt:i4>18</vt:i4>
      </vt:variant>
      <vt:variant>
        <vt:i4>0</vt:i4>
      </vt:variant>
      <vt:variant>
        <vt:i4>5</vt:i4>
      </vt:variant>
      <vt:variant>
        <vt:lpwstr>https://eacea.ec.europa.eu/national-policies/eurydice</vt:lpwstr>
      </vt:variant>
      <vt:variant>
        <vt:lpwstr/>
      </vt:variant>
      <vt:variant>
        <vt:i4>5308423</vt:i4>
      </vt:variant>
      <vt:variant>
        <vt:i4>15</vt:i4>
      </vt:variant>
      <vt:variant>
        <vt:i4>0</vt:i4>
      </vt:variant>
      <vt:variant>
        <vt:i4>5</vt:i4>
      </vt:variant>
      <vt:variant>
        <vt:lpwstr>https://eacea.ec.europa.eu/national-policies/eurydice</vt:lpwstr>
      </vt:variant>
      <vt:variant>
        <vt:lpwstr/>
      </vt:variant>
      <vt:variant>
        <vt:i4>5308423</vt:i4>
      </vt:variant>
      <vt:variant>
        <vt:i4>12</vt:i4>
      </vt:variant>
      <vt:variant>
        <vt:i4>0</vt:i4>
      </vt:variant>
      <vt:variant>
        <vt:i4>5</vt:i4>
      </vt:variant>
      <vt:variant>
        <vt:lpwstr>https://eacea.ec.europa.eu/national-policies/eurydice</vt:lpwstr>
      </vt:variant>
      <vt:variant>
        <vt:lpwstr/>
      </vt:variant>
      <vt:variant>
        <vt:i4>6422637</vt:i4>
      </vt:variant>
      <vt:variant>
        <vt:i4>9</vt:i4>
      </vt:variant>
      <vt:variant>
        <vt:i4>0</vt:i4>
      </vt:variant>
      <vt:variant>
        <vt:i4>5</vt:i4>
      </vt:variant>
      <vt:variant>
        <vt:lpwstr>https://www.european-agency.org/projects/country-policy-review-and-analysis</vt:lpwstr>
      </vt:variant>
      <vt:variant>
        <vt:lpwstr/>
      </vt:variant>
      <vt:variant>
        <vt:i4>5767263</vt:i4>
      </vt:variant>
      <vt:variant>
        <vt:i4>6</vt:i4>
      </vt:variant>
      <vt:variant>
        <vt:i4>0</vt:i4>
      </vt:variant>
      <vt:variant>
        <vt:i4>5</vt:i4>
      </vt:variant>
      <vt:variant>
        <vt:lpwstr>https://www.european-agency.org/resources/publications/agency-position-inclusive-education-systems-flyer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TPL4I: Policy Self-Review Tool</dc:title>
  <dc:subject>Teachers’ Professional Learning for Inclusion (TPL4I)</dc:subject>
  <dc:creator>European Agency for Special Needs and Inclusive Education</dc:creator>
  <cp:keywords/>
  <dc:description/>
  <cp:lastModifiedBy>Áine Wynne</cp:lastModifiedBy>
  <cp:revision>6</cp:revision>
  <cp:lastPrinted>2009-05-04T16:34:00Z</cp:lastPrinted>
  <dcterms:created xsi:type="dcterms:W3CDTF">2019-12-11T18:10:00Z</dcterms:created>
  <dcterms:modified xsi:type="dcterms:W3CDTF">2019-12-12T13:26:00Z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ies>
</file>