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theme/themeOverride66.xml" ContentType="application/vnd.openxmlformats-officedocument.themeOverride+xml"/>
  <Override PartName="/word/charts/chart67.xml" ContentType="application/vnd.openxmlformats-officedocument.drawingml.chart+xml"/>
  <Override PartName="/word/theme/themeOverride67.xml" ContentType="application/vnd.openxmlformats-officedocument.themeOverride+xml"/>
  <Override PartName="/word/charts/chart68.xml" ContentType="application/vnd.openxmlformats-officedocument.drawingml.chart+xml"/>
  <Override PartName="/word/theme/themeOverride68.xml" ContentType="application/vnd.openxmlformats-officedocument.themeOverride+xml"/>
  <Override PartName="/word/charts/chart69.xml" ContentType="application/vnd.openxmlformats-officedocument.drawingml.chart+xml"/>
  <Override PartName="/word/theme/themeOverride69.xml" ContentType="application/vnd.openxmlformats-officedocument.themeOverride+xml"/>
  <Override PartName="/word/charts/chart70.xml" ContentType="application/vnd.openxmlformats-officedocument.drawingml.chart+xml"/>
  <Override PartName="/word/theme/themeOverride70.xml" ContentType="application/vnd.openxmlformats-officedocument.themeOverride+xml"/>
  <Override PartName="/word/charts/chart71.xml" ContentType="application/vnd.openxmlformats-officedocument.drawingml.chart+xml"/>
  <Override PartName="/word/theme/themeOverride71.xml" ContentType="application/vnd.openxmlformats-officedocument.themeOverride+xml"/>
  <Override PartName="/word/charts/chart72.xml" ContentType="application/vnd.openxmlformats-officedocument.drawingml.chart+xml"/>
  <Override PartName="/word/theme/themeOverride72.xml" ContentType="application/vnd.openxmlformats-officedocument.themeOverride+xml"/>
  <Override PartName="/word/charts/chart73.xml" ContentType="application/vnd.openxmlformats-officedocument.drawingml.chart+xml"/>
  <Override PartName="/word/theme/themeOverride73.xml" ContentType="application/vnd.openxmlformats-officedocument.themeOverride+xml"/>
  <Override PartName="/word/charts/chart74.xml" ContentType="application/vnd.openxmlformats-officedocument.drawingml.chart+xml"/>
  <Override PartName="/word/theme/themeOverride74.xml" ContentType="application/vnd.openxmlformats-officedocument.themeOverride+xml"/>
  <Override PartName="/word/charts/chart75.xml" ContentType="application/vnd.openxmlformats-officedocument.drawingml.chart+xml"/>
  <Override PartName="/word/theme/themeOverride75.xml" ContentType="application/vnd.openxmlformats-officedocument.themeOverride+xml"/>
  <Override PartName="/word/charts/chart76.xml" ContentType="application/vnd.openxmlformats-officedocument.drawingml.chart+xml"/>
  <Override PartName="/word/theme/themeOverride76.xml" ContentType="application/vnd.openxmlformats-officedocument.themeOverride+xml"/>
  <Override PartName="/word/charts/chart77.xml" ContentType="application/vnd.openxmlformats-officedocument.drawingml.chart+xml"/>
  <Override PartName="/word/theme/themeOverride77.xml" ContentType="application/vnd.openxmlformats-officedocument.themeOverride+xml"/>
  <Override PartName="/word/charts/chart78.xml" ContentType="application/vnd.openxmlformats-officedocument.drawingml.chart+xml"/>
  <Override PartName="/word/theme/themeOverride78.xml" ContentType="application/vnd.openxmlformats-officedocument.themeOverride+xml"/>
  <Override PartName="/word/charts/chart79.xml" ContentType="application/vnd.openxmlformats-officedocument.drawingml.chart+xml"/>
  <Override PartName="/word/theme/themeOverride79.xml" ContentType="application/vnd.openxmlformats-officedocument.themeOverride+xml"/>
  <Override PartName="/word/charts/chart80.xml" ContentType="application/vnd.openxmlformats-officedocument.drawingml.chart+xml"/>
  <Override PartName="/word/theme/themeOverride80.xml" ContentType="application/vnd.openxmlformats-officedocument.themeOverride+xml"/>
  <Override PartName="/word/charts/chart81.xml" ContentType="application/vnd.openxmlformats-officedocument.drawingml.chart+xml"/>
  <Override PartName="/word/theme/themeOverride81.xml" ContentType="application/vnd.openxmlformats-officedocument.themeOverride+xml"/>
  <Override PartName="/word/charts/chart82.xml" ContentType="application/vnd.openxmlformats-officedocument.drawingml.chart+xml"/>
  <Override PartName="/word/theme/themeOverride82.xml" ContentType="application/vnd.openxmlformats-officedocument.themeOverride+xml"/>
  <Override PartName="/word/charts/chart83.xml" ContentType="application/vnd.openxmlformats-officedocument.drawingml.chart+xml"/>
  <Override PartName="/word/theme/themeOverride83.xml" ContentType="application/vnd.openxmlformats-officedocument.themeOverride+xml"/>
  <Override PartName="/word/charts/chart84.xml" ContentType="application/vnd.openxmlformats-officedocument.drawingml.chart+xml"/>
  <Override PartName="/word/theme/themeOverride84.xml" ContentType="application/vnd.openxmlformats-officedocument.themeOverride+xml"/>
  <Override PartName="/word/charts/chart85.xml" ContentType="application/vnd.openxmlformats-officedocument.drawingml.chart+xml"/>
  <Override PartName="/word/theme/themeOverride85.xml" ContentType="application/vnd.openxmlformats-officedocument.themeOverride+xml"/>
  <Override PartName="/word/charts/chart86.xml" ContentType="application/vnd.openxmlformats-officedocument.drawingml.chart+xml"/>
  <Override PartName="/word/theme/themeOverride86.xml" ContentType="application/vnd.openxmlformats-officedocument.themeOverride+xml"/>
  <Override PartName="/word/charts/chart87.xml" ContentType="application/vnd.openxmlformats-officedocument.drawingml.chart+xml"/>
  <Override PartName="/word/theme/themeOverride87.xml" ContentType="application/vnd.openxmlformats-officedocument.themeOverride+xml"/>
  <Override PartName="/word/charts/chart88.xml" ContentType="application/vnd.openxmlformats-officedocument.drawingml.chart+xml"/>
  <Override PartName="/word/theme/themeOverride88.xml" ContentType="application/vnd.openxmlformats-officedocument.themeOverride+xml"/>
  <Override PartName="/word/charts/chart89.xml" ContentType="application/vnd.openxmlformats-officedocument.drawingml.chart+xml"/>
  <Override PartName="/word/theme/themeOverride89.xml" ContentType="application/vnd.openxmlformats-officedocument.themeOverride+xml"/>
  <Override PartName="/word/charts/chart90.xml" ContentType="application/vnd.openxmlformats-officedocument.drawingml.chart+xml"/>
  <Override PartName="/word/theme/themeOverride90.xml" ContentType="application/vnd.openxmlformats-officedocument.themeOverride+xml"/>
  <Override PartName="/word/charts/chart91.xml" ContentType="application/vnd.openxmlformats-officedocument.drawingml.chart+xml"/>
  <Override PartName="/word/theme/themeOverride91.xml" ContentType="application/vnd.openxmlformats-officedocument.themeOverride+xml"/>
  <Override PartName="/word/charts/chart92.xml" ContentType="application/vnd.openxmlformats-officedocument.drawingml.chart+xml"/>
  <Override PartName="/word/theme/themeOverride92.xml" ContentType="application/vnd.openxmlformats-officedocument.themeOverride+xml"/>
  <Override PartName="/word/charts/chart93.xml" ContentType="application/vnd.openxmlformats-officedocument.drawingml.chart+xml"/>
  <Override PartName="/word/theme/themeOverride93.xml" ContentType="application/vnd.openxmlformats-officedocument.themeOverride+xml"/>
  <Override PartName="/word/charts/chart94.xml" ContentType="application/vnd.openxmlformats-officedocument.drawingml.chart+xml"/>
  <Override PartName="/word/theme/themeOverride94.xml" ContentType="application/vnd.openxmlformats-officedocument.themeOverride+xml"/>
  <Override PartName="/word/charts/chart95.xml" ContentType="application/vnd.openxmlformats-officedocument.drawingml.chart+xml"/>
  <Override PartName="/word/theme/themeOverride95.xml" ContentType="application/vnd.openxmlformats-officedocument.themeOverride+xml"/>
  <Override PartName="/word/charts/chart96.xml" ContentType="application/vnd.openxmlformats-officedocument.drawingml.chart+xml"/>
  <Override PartName="/word/theme/themeOverride96.xml" ContentType="application/vnd.openxmlformats-officedocument.themeOverride+xml"/>
  <Override PartName="/word/charts/chart97.xml" ContentType="application/vnd.openxmlformats-officedocument.drawingml.chart+xml"/>
  <Override PartName="/word/theme/themeOverride97.xml" ContentType="application/vnd.openxmlformats-officedocument.themeOverride+xml"/>
  <Override PartName="/word/charts/chart98.xml" ContentType="application/vnd.openxmlformats-officedocument.drawingml.chart+xml"/>
  <Override PartName="/word/theme/themeOverride98.xml" ContentType="application/vnd.openxmlformats-officedocument.themeOverride+xml"/>
  <Override PartName="/word/charts/chart99.xml" ContentType="application/vnd.openxmlformats-officedocument.drawingml.chart+xml"/>
  <Override PartName="/word/theme/themeOverride99.xml" ContentType="application/vnd.openxmlformats-officedocument.themeOverride+xml"/>
  <Override PartName="/word/charts/chart100.xml" ContentType="application/vnd.openxmlformats-officedocument.drawingml.chart+xml"/>
  <Override PartName="/word/theme/themeOverride100.xml" ContentType="application/vnd.openxmlformats-officedocument.themeOverride+xml"/>
  <Override PartName="/word/charts/chart101.xml" ContentType="application/vnd.openxmlformats-officedocument.drawingml.chart+xml"/>
  <Override PartName="/word/theme/themeOverride101.xml" ContentType="application/vnd.openxmlformats-officedocument.themeOverride+xml"/>
  <Override PartName="/word/charts/chart102.xml" ContentType="application/vnd.openxmlformats-officedocument.drawingml.chart+xml"/>
  <Override PartName="/word/theme/themeOverride102.xml" ContentType="application/vnd.openxmlformats-officedocument.themeOverride+xml"/>
  <Override PartName="/word/charts/chart103.xml" ContentType="application/vnd.openxmlformats-officedocument.drawingml.chart+xml"/>
  <Override PartName="/word/theme/themeOverride103.xml" ContentType="application/vnd.openxmlformats-officedocument.themeOverride+xml"/>
  <Override PartName="/word/charts/chart104.xml" ContentType="application/vnd.openxmlformats-officedocument.drawingml.chart+xml"/>
  <Override PartName="/word/theme/themeOverride104.xml" ContentType="application/vnd.openxmlformats-officedocument.themeOverride+xml"/>
  <Override PartName="/word/charts/chart105.xml" ContentType="application/vnd.openxmlformats-officedocument.drawingml.chart+xml"/>
  <Override PartName="/word/theme/themeOverride105.xml" ContentType="application/vnd.openxmlformats-officedocument.themeOverride+xml"/>
  <Override PartName="/word/charts/chart106.xml" ContentType="application/vnd.openxmlformats-officedocument.drawingml.chart+xml"/>
  <Override PartName="/word/theme/themeOverride106.xml" ContentType="application/vnd.openxmlformats-officedocument.themeOverride+xml"/>
  <Override PartName="/word/charts/chart107.xml" ContentType="application/vnd.openxmlformats-officedocument.drawingml.chart+xml"/>
  <Override PartName="/word/theme/themeOverride107.xml" ContentType="application/vnd.openxmlformats-officedocument.themeOverride+xml"/>
  <Override PartName="/word/charts/chart108.xml" ContentType="application/vnd.openxmlformats-officedocument.drawingml.chart+xml"/>
  <Override PartName="/word/theme/themeOverride108.xml" ContentType="application/vnd.openxmlformats-officedocument.themeOverride+xml"/>
  <Override PartName="/word/charts/chart109.xml" ContentType="application/vnd.openxmlformats-officedocument.drawingml.chart+xml"/>
  <Override PartName="/word/theme/themeOverride109.xml" ContentType="application/vnd.openxmlformats-officedocument.themeOverride+xml"/>
  <Override PartName="/word/charts/chart110.xml" ContentType="application/vnd.openxmlformats-officedocument.drawingml.chart+xml"/>
  <Override PartName="/word/theme/themeOverride110.xml" ContentType="application/vnd.openxmlformats-officedocument.themeOverride+xml"/>
  <Override PartName="/word/charts/chart111.xml" ContentType="application/vnd.openxmlformats-officedocument.drawingml.chart+xml"/>
  <Override PartName="/word/theme/themeOverride111.xml" ContentType="application/vnd.openxmlformats-officedocument.themeOverride+xml"/>
  <Override PartName="/word/charts/chart112.xml" ContentType="application/vnd.openxmlformats-officedocument.drawingml.chart+xml"/>
  <Override PartName="/word/theme/themeOverride112.xml" ContentType="application/vnd.openxmlformats-officedocument.themeOverride+xml"/>
  <Override PartName="/word/charts/chart113.xml" ContentType="application/vnd.openxmlformats-officedocument.drawingml.chart+xml"/>
  <Override PartName="/word/theme/themeOverride113.xml" ContentType="application/vnd.openxmlformats-officedocument.themeOverride+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EFE8BC" w14:textId="77777777" w:rsidR="00D2437E" w:rsidRPr="00D739A7" w:rsidRDefault="00D2437E" w:rsidP="00D2437E">
      <w:pPr>
        <w:spacing w:before="5580" w:after="120" w:line="240" w:lineRule="auto"/>
        <w:rPr>
          <w:rFonts w:ascii="Calibri" w:eastAsia="Times New Roman" w:hAnsi="Calibri" w:cs="Calibri"/>
          <w:sz w:val="24"/>
          <w:szCs w:val="24"/>
          <w:lang w:val="en-GB"/>
        </w:rPr>
      </w:pPr>
      <w:r w:rsidRPr="00D739A7">
        <w:rPr>
          <w:rFonts w:ascii="Calibri" w:eastAsia="Times New Roman" w:hAnsi="Calibri" w:cs="Calibri"/>
          <w:noProof/>
          <w:sz w:val="24"/>
          <w:szCs w:val="24"/>
          <w:lang w:val="en-GB" w:eastAsia="en-GB"/>
        </w:rPr>
        <mc:AlternateContent>
          <mc:Choice Requires="wpg">
            <w:drawing>
              <wp:anchor distT="0" distB="0" distL="114300" distR="114300" simplePos="0" relativeHeight="251658244" behindDoc="0" locked="0" layoutInCell="1" allowOverlap="1" wp14:anchorId="1552C666" wp14:editId="2391FFBD">
                <wp:simplePos x="0" y="0"/>
                <wp:positionH relativeFrom="column">
                  <wp:posOffset>278130</wp:posOffset>
                </wp:positionH>
                <wp:positionV relativeFrom="paragraph">
                  <wp:posOffset>3526790</wp:posOffset>
                </wp:positionV>
                <wp:extent cx="3014345" cy="556260"/>
                <wp:effectExtent l="0" t="0" r="8255" b="2540"/>
                <wp:wrapThrough wrapText="bothSides">
                  <wp:wrapPolygon edited="0">
                    <wp:start x="0" y="0"/>
                    <wp:lineTo x="0" y="20712"/>
                    <wp:lineTo x="21477" y="20712"/>
                    <wp:lineTo x="21477" y="0"/>
                    <wp:lineTo x="0" y="0"/>
                  </wp:wrapPolygon>
                </wp:wrapThrough>
                <wp:docPr id="2" name="Group 2" descr="European Agency for Special Needs and Inclusive Education logo"/>
                <wp:cNvGraphicFramePr/>
                <a:graphic xmlns:a="http://schemas.openxmlformats.org/drawingml/2006/main">
                  <a:graphicData uri="http://schemas.microsoft.com/office/word/2010/wordprocessingGroup">
                    <wpg:wgp>
                      <wpg:cNvGrpSpPr/>
                      <wpg:grpSpPr>
                        <a:xfrm>
                          <a:off x="0" y="0"/>
                          <a:ext cx="3014345" cy="556260"/>
                          <a:chOff x="0" y="0"/>
                          <a:chExt cx="3014345" cy="556260"/>
                        </a:xfrm>
                      </wpg:grpSpPr>
                      <wps:wsp>
                        <wps:cNvPr id="9" name="Rectangle 6"/>
                        <wps:cNvSpPr>
                          <a:spLocks/>
                        </wps:cNvSpPr>
                        <wps:spPr>
                          <a:xfrm>
                            <a:off x="15874" y="477520"/>
                            <a:ext cx="2988945" cy="78740"/>
                          </a:xfrm>
                          <a:prstGeom prst="rect">
                            <a:avLst/>
                          </a:prstGeom>
                          <a:solidFill>
                            <a:srgbClr val="19215C"/>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 name="Picture 7" descr="European Agency for Special Needs and Inclusive Education" title="Agency logo"/>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14345" cy="43243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14:sizeRelV relativeFrom="margin">
                  <wp14:pctHeight>0</wp14:pctHeight>
                </wp14:sizeRelV>
              </wp:anchor>
            </w:drawing>
          </mc:Choice>
          <mc:Fallback xmlns:w16cex="http://schemas.microsoft.com/office/word/2018/wordml/cex" xmlns:w16="http://schemas.microsoft.com/office/word/2018/wordml" xmlns:arto="http://schemas.microsoft.com/office/word/2006/arto">
            <w:pict>
              <v:group w14:anchorId="21A05A92" id="Group 2" o:spid="_x0000_s1026" alt="European Agency for Special Needs and Inclusive Education logo" style="position:absolute;margin-left:21.9pt;margin-top:277.7pt;width:237.35pt;height:43.8pt;z-index:251661312;mso-height-relative:margin" coordsize="30143,5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">
                <v:rect id="Rectangle 6" o:spid="_x0000_s1027" style="position:absolute;left:158;top:4775;width:29890;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" fillcolor="#19215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alt="European Agency for Special Needs and Inclusive Education" style="position:absolute;width:30143;height:4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">
                  <v:imagedata r:id="rId12" o:title="European Agency for Special Needs and Inclusive Education"/>
                </v:shape>
                <w10:wrap type="through"/>
              </v:group>
            </w:pict>
          </mc:Fallback>
        </mc:AlternateContent>
      </w:r>
    </w:p>
    <w:p w14:paraId="60C08009" w14:textId="77777777" w:rsidR="00D2437E" w:rsidRPr="00D739A7" w:rsidRDefault="00D2437E" w:rsidP="00D2437E">
      <w:pPr>
        <w:spacing w:after="0" w:line="240" w:lineRule="auto"/>
        <w:rPr>
          <w:rFonts w:ascii="Calibri" w:eastAsia="Times New Roman" w:hAnsi="Calibri" w:cs="Calibri"/>
          <w:color w:val="000000"/>
          <w:sz w:val="28"/>
          <w:szCs w:val="24"/>
          <w:lang w:val="en-GB"/>
        </w:rPr>
        <w:sectPr w:rsidR="00D2437E" w:rsidRPr="00D739A7" w:rsidSect="008A7E10">
          <w:footerReference w:type="even" r:id="rId13"/>
          <w:footerReference w:type="default" r:id="rId14"/>
          <w:pgSz w:w="11899" w:h="16838"/>
          <w:pgMar w:top="1134" w:right="1418" w:bottom="1276" w:left="1418" w:header="709" w:footer="1400" w:gutter="0"/>
          <w:cols w:space="708"/>
          <w:titlePg/>
          <w:docGrid w:linePitch="360"/>
        </w:sectPr>
      </w:pPr>
      <w:r w:rsidRPr="00D739A7">
        <w:rPr>
          <w:rFonts w:ascii="Calibri" w:eastAsia="Times New Roman" w:hAnsi="Calibri" w:cs="Calibri"/>
          <w:noProof/>
          <w:sz w:val="24"/>
          <w:szCs w:val="24"/>
          <w:lang w:val="en-GB" w:eastAsia="en-GB"/>
        </w:rPr>
        <mc:AlternateContent>
          <mc:Choice Requires="wps">
            <w:drawing>
              <wp:anchor distT="4294967295" distB="4294967295" distL="114300" distR="114300" simplePos="0" relativeHeight="251658241" behindDoc="0" locked="0" layoutInCell="1" allowOverlap="1" wp14:anchorId="330CB07B" wp14:editId="3892989E">
                <wp:simplePos x="0" y="0"/>
                <wp:positionH relativeFrom="column">
                  <wp:posOffset>292312</wp:posOffset>
                </wp:positionH>
                <wp:positionV relativeFrom="paragraph">
                  <wp:posOffset>197485</wp:posOffset>
                </wp:positionV>
                <wp:extent cx="6583680" cy="0"/>
                <wp:effectExtent l="0" t="0" r="20320" b="25400"/>
                <wp:wrapNone/>
                <wp:docPr id="8" name="Straight Connector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83680" cy="0"/>
                        </a:xfrm>
                        <a:prstGeom prst="line">
                          <a:avLst/>
                        </a:prstGeom>
                        <a:noFill/>
                        <a:ln w="12700" cap="flat" cmpd="sng" algn="ctr">
                          <a:solidFill>
                            <a:srgbClr val="19215C"/>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5FCF67B" id="Straight Connector 5" o:spid="_x0000_s1026" style="position:absolute;z-index:251658241;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page" from="23pt,15.55pt" to="541.4pt,15.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" strokecolor="#19215c" strokeweight="1pt">
                <o:lock v:ext="edit" shapetype="f"/>
              </v:line>
            </w:pict>
          </mc:Fallback>
        </mc:AlternateContent>
      </w:r>
    </w:p>
    <w:p w14:paraId="53FCD054" w14:textId="17CC415C" w:rsidR="00D2437E" w:rsidRPr="00D739A7" w:rsidRDefault="00A37E6A" w:rsidP="00D2437E">
      <w:pPr>
        <w:spacing w:before="120" w:after="120" w:line="240" w:lineRule="auto"/>
        <w:rPr>
          <w:rFonts w:ascii="Calibri" w:eastAsia="Times New Roman" w:hAnsi="Calibri" w:cs="Calibri"/>
          <w:color w:val="000000"/>
          <w:sz w:val="24"/>
          <w:szCs w:val="24"/>
          <w:lang w:val="en-GB"/>
        </w:rPr>
        <w:sectPr w:rsidR="00D2437E" w:rsidRPr="00D739A7" w:rsidSect="008A7E10">
          <w:headerReference w:type="even" r:id="rId15"/>
          <w:headerReference w:type="default" r:id="rId16"/>
          <w:footerReference w:type="even" r:id="rId17"/>
          <w:footerReference w:type="default" r:id="rId18"/>
          <w:pgSz w:w="11899" w:h="16838"/>
          <w:pgMar w:top="1134" w:right="1551" w:bottom="1276" w:left="1418" w:header="709" w:footer="1125" w:gutter="0"/>
          <w:cols w:space="708"/>
          <w:titlePg/>
          <w:docGrid w:linePitch="360"/>
        </w:sectPr>
      </w:pPr>
      <w:r w:rsidRPr="00D739A7">
        <w:rPr>
          <w:rFonts w:ascii="Calibri" w:eastAsia="Times New Roman" w:hAnsi="Calibri" w:cs="Calibri"/>
          <w:noProof/>
          <w:color w:val="000000"/>
          <w:sz w:val="24"/>
          <w:szCs w:val="24"/>
          <w:lang w:val="en-GB" w:eastAsia="en-GB"/>
        </w:rPr>
        <w:lastRenderedPageBreak/>
        <w:drawing>
          <wp:anchor distT="0" distB="0" distL="114300" distR="114300" simplePos="0" relativeHeight="251658240" behindDoc="1" locked="0" layoutInCell="1" allowOverlap="1" wp14:anchorId="5AB5B9A3" wp14:editId="0D98AD83">
            <wp:simplePos x="0" y="0"/>
            <wp:positionH relativeFrom="margin">
              <wp:posOffset>1068070</wp:posOffset>
            </wp:positionH>
            <wp:positionV relativeFrom="paragraph">
              <wp:posOffset>873760</wp:posOffset>
            </wp:positionV>
            <wp:extent cx="4726940" cy="4679950"/>
            <wp:effectExtent l="0" t="0" r="0" b="6350"/>
            <wp:wrapSquare wrapText="bothSides"/>
            <wp:docPr id="14" name="Picture 14" descr="EASIE logo: European Agency Statistics on Inclusive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ASIE.png"/>
                    <pic:cNvPicPr/>
                  </pic:nvPicPr>
                  <pic:blipFill>
                    <a:blip r:embed="rId19"/>
                    <a:stretch>
                      <a:fillRect/>
                    </a:stretch>
                  </pic:blipFill>
                  <pic:spPr>
                    <a:xfrm>
                      <a:off x="0" y="0"/>
                      <a:ext cx="4726940" cy="4679950"/>
                    </a:xfrm>
                    <a:prstGeom prst="rect">
                      <a:avLst/>
                    </a:prstGeom>
                  </pic:spPr>
                </pic:pic>
              </a:graphicData>
            </a:graphic>
            <wp14:sizeRelH relativeFrom="page">
              <wp14:pctWidth>0</wp14:pctWidth>
            </wp14:sizeRelH>
            <wp14:sizeRelV relativeFrom="page">
              <wp14:pctHeight>0</wp14:pctHeight>
            </wp14:sizeRelV>
          </wp:anchor>
        </w:drawing>
      </w:r>
      <w:r w:rsidR="00D74B28" w:rsidRPr="00D739A7">
        <w:rPr>
          <w:rFonts w:ascii="Calibri" w:eastAsia="Times New Roman" w:hAnsi="Calibri" w:cs="Calibri"/>
          <w:noProof/>
          <w:color w:val="000000"/>
          <w:sz w:val="24"/>
          <w:szCs w:val="24"/>
          <w:lang w:val="en-GB" w:eastAsia="en-GB"/>
        </w:rPr>
        <mc:AlternateContent>
          <mc:Choice Requires="wps">
            <w:drawing>
              <wp:anchor distT="0" distB="0" distL="114300" distR="114300" simplePos="0" relativeHeight="251658243" behindDoc="0" locked="0" layoutInCell="1" allowOverlap="1" wp14:anchorId="6D29EB6E" wp14:editId="0690580E">
                <wp:simplePos x="0" y="0"/>
                <wp:positionH relativeFrom="column">
                  <wp:posOffset>105410</wp:posOffset>
                </wp:positionH>
                <wp:positionV relativeFrom="paragraph">
                  <wp:posOffset>4072890</wp:posOffset>
                </wp:positionV>
                <wp:extent cx="5575300" cy="952500"/>
                <wp:effectExtent l="0" t="0" r="6350" b="0"/>
                <wp:wrapSquare wrapText="bothSides"/>
                <wp:docPr id="16" name="Text Box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75300" cy="952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2393C5CE" w14:textId="77777777" w:rsidR="00093840" w:rsidRPr="00D33E36" w:rsidRDefault="00093840" w:rsidP="00D2437E">
                            <w:pPr>
                              <w:jc w:val="right"/>
                              <w:rPr>
                                <w:rFonts w:ascii="Calibri" w:hAnsi="Calibri"/>
                                <w:color w:val="19215C"/>
                                <w:sz w:val="28"/>
                                <w:szCs w:val="28"/>
                                <w:lang w:val="en-GB"/>
                              </w:rPr>
                            </w:pPr>
                            <w:r w:rsidRPr="00D33E36">
                              <w:rPr>
                                <w:rFonts w:ascii="Calibri" w:hAnsi="Calibri"/>
                                <w:color w:val="19215C"/>
                                <w:sz w:val="28"/>
                                <w:szCs w:val="28"/>
                                <w:lang w:val="en-GB"/>
                              </w:rPr>
                              <w:t>2018 Dataset Cross-Country Report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29EB6E" id="_x0000_t202" coordsize="21600,21600" o:spt="202" path="m,l,21600r21600,l21600,xe">
                <v:stroke joinstyle="miter"/>
                <v:path gradientshapeok="t" o:connecttype="rect"/>
              </v:shapetype>
              <v:shape id="Text Box 16" o:spid="_x0000_s1026" type="#_x0000_t202" style="position:absolute;margin-left:8.3pt;margin-top:320.7pt;width:439pt;height: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" filled="f" stroked="f">
                <v:textbox inset="0,0,0,0">
                  <w:txbxContent>
                    <w:p w14:paraId="2393C5CE" w14:textId="77777777" w:rsidR="00093840" w:rsidRPr="00D33E36" w:rsidRDefault="00093840" w:rsidP="00D2437E">
                      <w:pPr>
                        <w:jc w:val="right"/>
                        <w:rPr>
                          <w:rFonts w:ascii="Calibri" w:hAnsi="Calibri"/>
                          <w:color w:val="19215C"/>
                          <w:sz w:val="28"/>
                          <w:szCs w:val="28"/>
                          <w:lang w:val="en-GB"/>
                        </w:rPr>
                      </w:pPr>
                      <w:r w:rsidRPr="00D33E36">
                        <w:rPr>
                          <w:rFonts w:ascii="Calibri" w:hAnsi="Calibri"/>
                          <w:color w:val="19215C"/>
                          <w:sz w:val="28"/>
                          <w:szCs w:val="28"/>
                          <w:lang w:val="en-GB"/>
                        </w:rPr>
                        <w:t>2018 Dataset Cross-Country Report</w:t>
                      </w:r>
                    </w:p>
                  </w:txbxContent>
                </v:textbox>
                <w10:wrap type="square"/>
              </v:shape>
            </w:pict>
          </mc:Fallback>
        </mc:AlternateContent>
      </w:r>
      <w:r w:rsidR="00D2437E" w:rsidRPr="00D739A7">
        <w:rPr>
          <w:rFonts w:ascii="Calibri" w:eastAsia="Times New Roman" w:hAnsi="Calibri" w:cs="Calibri"/>
          <w:noProof/>
          <w:color w:val="000000"/>
          <w:sz w:val="24"/>
          <w:szCs w:val="24"/>
          <w:lang w:val="en-GB" w:eastAsia="en-GB"/>
        </w:rPr>
        <mc:AlternateContent>
          <mc:Choice Requires="wps">
            <w:drawing>
              <wp:anchor distT="4294967295" distB="4294967295" distL="114300" distR="114300" simplePos="0" relativeHeight="251658242" behindDoc="0" locked="0" layoutInCell="1" allowOverlap="1" wp14:anchorId="529C8BCD" wp14:editId="6AF5C6BA">
                <wp:simplePos x="0" y="0"/>
                <wp:positionH relativeFrom="column">
                  <wp:posOffset>-909955</wp:posOffset>
                </wp:positionH>
                <wp:positionV relativeFrom="paragraph">
                  <wp:posOffset>4004215</wp:posOffset>
                </wp:positionV>
                <wp:extent cx="6563360" cy="0"/>
                <wp:effectExtent l="0" t="0" r="15240" b="25400"/>
                <wp:wrapNone/>
                <wp:docPr id="15" name="Straight Connector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563360" cy="0"/>
                        </a:xfrm>
                        <a:prstGeom prst="line">
                          <a:avLst/>
                        </a:prstGeom>
                        <a:noFill/>
                        <a:ln w="12700" cap="flat" cmpd="sng" algn="ctr">
                          <a:solidFill>
                            <a:srgbClr val="19215C"/>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A7A73E" id="Straight Connector 15" o:spid="_x0000_s1026" style="position:absolute;flip:y;z-index:25165824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margin" from="-71.65pt,315.3pt" to="445.15pt,315.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" strokecolor="#19215c" strokeweight="1pt">
                <o:lock v:ext="edit" shapetype="f"/>
              </v:line>
            </w:pict>
          </mc:Fallback>
        </mc:AlternateContent>
      </w:r>
      <w:bookmarkStart w:id="0" w:name="_Toc96671627"/>
      <w:bookmarkStart w:id="1" w:name="_Toc96675672"/>
    </w:p>
    <w:p w14:paraId="24D11869" w14:textId="77777777" w:rsidR="00D2437E" w:rsidRPr="00D739A7" w:rsidRDefault="00D2437E" w:rsidP="00D2437E">
      <w:pPr>
        <w:spacing w:before="4600" w:after="36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lastRenderedPageBreak/>
        <w:t>Editors: Joacim Ramberg, András Lénárt</w:t>
      </w:r>
      <w:r w:rsidRPr="00D739A7">
        <w:rPr>
          <w:rFonts w:ascii="Calibri" w:eastAsia="Times New Roman" w:hAnsi="Calibri" w:cs="Calibri"/>
          <w:color w:val="000000"/>
          <w:sz w:val="24"/>
          <w:szCs w:val="24"/>
          <w:lang w:val="en-GB" w:eastAsia="en-GB"/>
        </w:rPr>
        <w:t xml:space="preserve"> </w:t>
      </w:r>
      <w:r w:rsidRPr="00D739A7">
        <w:rPr>
          <w:rFonts w:ascii="Calibri" w:eastAsia="Times New Roman" w:hAnsi="Calibri" w:cs="Calibri"/>
          <w:color w:val="000000"/>
          <w:sz w:val="24"/>
          <w:szCs w:val="24"/>
          <w:lang w:val="en-GB"/>
        </w:rPr>
        <w:t>and Amanda Watkins</w:t>
      </w:r>
    </w:p>
    <w:p w14:paraId="04A22B39" w14:textId="34A493DC" w:rsidR="00D2437E" w:rsidRPr="00D739A7" w:rsidRDefault="00D2437E" w:rsidP="00D2437E">
      <w:pPr>
        <w:spacing w:before="120" w:after="36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Extracts from the document are permitted provided that a clear reference to the source is given. This report should be referenced as follows: European Agency for Special Needs and Inclusive Education, 20</w:t>
      </w:r>
      <w:r w:rsidR="008A7E10" w:rsidRPr="00D739A7">
        <w:rPr>
          <w:rFonts w:ascii="Calibri" w:eastAsia="Times New Roman" w:hAnsi="Calibri" w:cs="Calibri"/>
          <w:color w:val="000000"/>
          <w:sz w:val="24"/>
          <w:szCs w:val="24"/>
          <w:lang w:val="en-GB"/>
        </w:rPr>
        <w:t>20</w:t>
      </w:r>
      <w:r w:rsidRPr="00D739A7">
        <w:rPr>
          <w:rFonts w:ascii="Calibri" w:eastAsia="Times New Roman" w:hAnsi="Calibri" w:cs="Calibri"/>
          <w:i/>
          <w:color w:val="000000"/>
          <w:sz w:val="24"/>
          <w:szCs w:val="24"/>
          <w:lang w:val="en-GB"/>
        </w:rPr>
        <w:t>. European Agency Statistics on Inclusive Education: 201</w:t>
      </w:r>
      <w:r w:rsidR="00D74B28" w:rsidRPr="00D739A7">
        <w:rPr>
          <w:rFonts w:ascii="Calibri" w:eastAsia="Times New Roman" w:hAnsi="Calibri" w:cs="Calibri"/>
          <w:i/>
          <w:color w:val="000000"/>
          <w:sz w:val="24"/>
          <w:szCs w:val="24"/>
          <w:lang w:val="en-GB"/>
        </w:rPr>
        <w:t>8</w:t>
      </w:r>
      <w:r w:rsidRPr="00D739A7">
        <w:rPr>
          <w:rFonts w:ascii="Calibri" w:eastAsia="Times New Roman" w:hAnsi="Calibri" w:cs="Calibri"/>
          <w:i/>
          <w:color w:val="000000"/>
          <w:sz w:val="24"/>
          <w:szCs w:val="24"/>
          <w:lang w:val="en-GB"/>
        </w:rPr>
        <w:t xml:space="preserve"> Dataset Cross-Country Report</w:t>
      </w:r>
      <w:r w:rsidRPr="00D739A7">
        <w:rPr>
          <w:rFonts w:ascii="Calibri" w:eastAsia="Times New Roman" w:hAnsi="Calibri" w:cs="Calibri"/>
          <w:color w:val="000000"/>
          <w:sz w:val="24"/>
          <w:szCs w:val="24"/>
          <w:lang w:val="en-GB"/>
        </w:rPr>
        <w:t>. (J. Ramberg, A. Lénárt, and A. Watkins, eds.). Odense, Denmark</w:t>
      </w:r>
    </w:p>
    <w:p w14:paraId="5C60CA39" w14:textId="77777777" w:rsidR="00D2437E" w:rsidRPr="00D739A7" w:rsidRDefault="00D2437E" w:rsidP="00D2437E">
      <w:pPr>
        <w:spacing w:before="120" w:after="36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 xml:space="preserve">With a view to greater accessibility, this report is available in accessible electronic format on the Agency’s website: </w:t>
      </w:r>
      <w:hyperlink r:id="rId20" w:history="1">
        <w:r w:rsidRPr="00D739A7">
          <w:rPr>
            <w:rFonts w:ascii="Calibri" w:eastAsia="Times New Roman" w:hAnsi="Calibri" w:cs="Calibri"/>
            <w:color w:val="0000FF"/>
            <w:sz w:val="24"/>
            <w:szCs w:val="24"/>
            <w:u w:val="single"/>
            <w:lang w:val="en-GB"/>
          </w:rPr>
          <w:t>www.european-agency.org</w:t>
        </w:r>
      </w:hyperlink>
    </w:p>
    <w:p w14:paraId="083AE678" w14:textId="28C936AA" w:rsidR="00D2437E" w:rsidRPr="00D739A7" w:rsidRDefault="00D2437E" w:rsidP="00D2437E">
      <w:pPr>
        <w:spacing w:before="120" w:after="36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 xml:space="preserve">ISBN: </w:t>
      </w:r>
      <w:r w:rsidR="00590320" w:rsidRPr="00D739A7">
        <w:rPr>
          <w:rFonts w:ascii="Calibri" w:eastAsia="Times New Roman" w:hAnsi="Calibri" w:cs="Calibri"/>
          <w:color w:val="000000"/>
          <w:sz w:val="24"/>
          <w:szCs w:val="24"/>
          <w:lang w:val="en-GB"/>
        </w:rPr>
        <w:t>978-87-7110-905-4</w:t>
      </w:r>
      <w:r w:rsidRPr="00D739A7">
        <w:rPr>
          <w:rFonts w:ascii="Calibri" w:eastAsia="Times New Roman" w:hAnsi="Calibri" w:cs="Calibri"/>
          <w:color w:val="000000"/>
          <w:sz w:val="24"/>
          <w:szCs w:val="24"/>
          <w:lang w:val="en-GB"/>
        </w:rPr>
        <w:t xml:space="preserve"> (Electronic)</w:t>
      </w:r>
    </w:p>
    <w:p w14:paraId="56A84370" w14:textId="77777777" w:rsidR="00D2437E" w:rsidRPr="00D739A7" w:rsidRDefault="00D2437E" w:rsidP="00D2437E">
      <w:pPr>
        <w:spacing w:before="4600" w:after="0" w:line="240" w:lineRule="auto"/>
        <w:rPr>
          <w:rFonts w:ascii="Calibri" w:eastAsia="Times New Roman" w:hAnsi="Calibri" w:cs="Calibri"/>
          <w:color w:val="000000"/>
          <w:sz w:val="24"/>
          <w:szCs w:val="24"/>
          <w:lang w:val="en-GB"/>
        </w:rPr>
        <w:sectPr w:rsidR="00D2437E" w:rsidRPr="00D739A7" w:rsidSect="00C201A8">
          <w:headerReference w:type="even" r:id="rId21"/>
          <w:footerReference w:type="even" r:id="rId22"/>
          <w:pgSz w:w="11899" w:h="16838"/>
          <w:pgMar w:top="1134" w:right="1551" w:bottom="1276" w:left="1418" w:header="709" w:footer="709" w:gutter="0"/>
          <w:cols w:space="708"/>
          <w:docGrid w:linePitch="360"/>
        </w:sectPr>
      </w:pPr>
    </w:p>
    <w:p w14:paraId="10300239" w14:textId="77777777" w:rsidR="00D2437E" w:rsidRPr="00D739A7" w:rsidRDefault="00D2437E" w:rsidP="00D2437E">
      <w:pPr>
        <w:spacing w:before="4600" w:after="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lastRenderedPageBreak/>
        <w:t>The European Agency for Special Needs and Inclusive Education (the Agency) is an independent and self-governing organisation. The Agency is co-funded by the ministries of education in its member countries and by the European Commission via an operating grant within the European Union (EU) Erasmus+ education programme (2014-2020).</w:t>
      </w:r>
    </w:p>
    <w:p w14:paraId="1CD1F2B7" w14:textId="77777777" w:rsidR="00D2437E" w:rsidRPr="00D739A7" w:rsidRDefault="00D2437E" w:rsidP="00D2437E">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The views expressed by any individual in this document do not necessarily represent the official views of the Agency, its member countries or the Commission. The Commission cannot be held responsible for any use that may be made of the information in this document.</w:t>
      </w:r>
    </w:p>
    <w:p w14:paraId="3D591E30" w14:textId="77777777" w:rsidR="00D2437E" w:rsidRPr="00D739A7" w:rsidRDefault="00D2437E" w:rsidP="00D2437E">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 European Agency for Special Needs and Inclusive Education 20</w:t>
      </w:r>
      <w:r w:rsidR="008A7E10" w:rsidRPr="00D739A7">
        <w:rPr>
          <w:rFonts w:ascii="Calibri" w:eastAsia="Times New Roman" w:hAnsi="Calibri" w:cs="Calibri"/>
          <w:color w:val="000000"/>
          <w:sz w:val="24"/>
          <w:szCs w:val="24"/>
          <w:lang w:val="en-GB"/>
        </w:rPr>
        <w:t>20</w:t>
      </w:r>
    </w:p>
    <w:p w14:paraId="1EE7EAC3" w14:textId="77777777" w:rsidR="00D2437E" w:rsidRPr="00D739A7" w:rsidRDefault="00AC30F3" w:rsidP="00D2437E">
      <w:pPr>
        <w:spacing w:before="240" w:after="240" w:line="240" w:lineRule="auto"/>
        <w:rPr>
          <w:rFonts w:ascii="Calibri" w:eastAsia="Times New Roman" w:hAnsi="Calibri" w:cs="Calibri"/>
          <w:color w:val="000000"/>
          <w:sz w:val="24"/>
          <w:szCs w:val="24"/>
          <w:lang w:val="en-GB"/>
        </w:rPr>
      </w:pPr>
      <w:hyperlink r:id="rId23" w:history="1">
        <w:r w:rsidR="00D2437E" w:rsidRPr="00D739A7">
          <w:rPr>
            <w:rFonts w:ascii="Calibri" w:eastAsia="Times New Roman" w:hAnsi="Calibri" w:cs="Calibri"/>
            <w:color w:val="0000FF"/>
            <w:sz w:val="24"/>
            <w:szCs w:val="24"/>
            <w:u w:val="single"/>
            <w:lang w:val="en-GB"/>
          </w:rPr>
          <w:t>www.european-agency.org</w:t>
        </w:r>
      </w:hyperlink>
    </w:p>
    <w:p w14:paraId="08F08FB2" w14:textId="77777777" w:rsidR="00550DA8" w:rsidRPr="00D739A7" w:rsidRDefault="00D2437E" w:rsidP="00D2437E">
      <w:pPr>
        <w:spacing w:before="240" w:after="24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SECRETARIAT: Østre Stationsvej 33, DK-5000, Odense C, Denmark</w:t>
      </w:r>
    </w:p>
    <w:p w14:paraId="2E479E20" w14:textId="77777777" w:rsidR="00550DA8" w:rsidRPr="00D739A7" w:rsidRDefault="00D2437E" w:rsidP="00D2437E">
      <w:pPr>
        <w:spacing w:before="240" w:after="24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Tel.: +45 64 41 00 20</w:t>
      </w:r>
    </w:p>
    <w:p w14:paraId="37CA2859" w14:textId="221F8540" w:rsidR="00D2437E" w:rsidRPr="00D739A7" w:rsidRDefault="00AC30F3" w:rsidP="00D2437E">
      <w:pPr>
        <w:spacing w:before="240" w:after="240" w:line="240" w:lineRule="auto"/>
        <w:rPr>
          <w:rFonts w:ascii="Calibri" w:eastAsia="Times New Roman" w:hAnsi="Calibri" w:cs="Calibri"/>
          <w:color w:val="000000"/>
          <w:sz w:val="24"/>
          <w:szCs w:val="24"/>
          <w:lang w:val="en-GB"/>
        </w:rPr>
      </w:pPr>
      <w:hyperlink r:id="rId24" w:history="1">
        <w:r w:rsidR="00D2437E" w:rsidRPr="00D739A7">
          <w:rPr>
            <w:rFonts w:ascii="Calibri" w:eastAsia="Times New Roman" w:hAnsi="Calibri" w:cs="Calibri"/>
            <w:color w:val="0000FF"/>
            <w:sz w:val="24"/>
            <w:szCs w:val="24"/>
            <w:u w:val="single"/>
            <w:lang w:val="en-GB"/>
          </w:rPr>
          <w:t>secretariat@european-agency.org</w:t>
        </w:r>
      </w:hyperlink>
    </w:p>
    <w:p w14:paraId="50CD335B" w14:textId="77777777" w:rsidR="00550DA8" w:rsidRPr="00D739A7" w:rsidRDefault="00D2437E" w:rsidP="00D2437E">
      <w:pPr>
        <w:spacing w:before="240" w:after="24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BRUSSELS OFFICE: Rue Montoyer 21, BE-1000, Brussels, Belgium</w:t>
      </w:r>
    </w:p>
    <w:p w14:paraId="29C23DCE" w14:textId="77777777" w:rsidR="00550DA8" w:rsidRPr="00D739A7" w:rsidRDefault="00D2437E" w:rsidP="00D2437E">
      <w:pPr>
        <w:spacing w:before="240" w:after="24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Tel.: +32 2 213 62 80</w:t>
      </w:r>
    </w:p>
    <w:p w14:paraId="3E58FABE" w14:textId="47D3F747" w:rsidR="00D2437E" w:rsidRPr="00D739A7" w:rsidRDefault="00AC30F3" w:rsidP="00D2437E">
      <w:pPr>
        <w:spacing w:before="240" w:after="240" w:line="240" w:lineRule="auto"/>
        <w:rPr>
          <w:rFonts w:ascii="Calibri" w:eastAsia="Times New Roman" w:hAnsi="Calibri" w:cs="Calibri"/>
          <w:color w:val="000000"/>
          <w:sz w:val="24"/>
          <w:szCs w:val="24"/>
          <w:lang w:val="en-GB"/>
        </w:rPr>
      </w:pPr>
      <w:hyperlink r:id="rId25" w:history="1">
        <w:r w:rsidR="00D2437E" w:rsidRPr="00D739A7">
          <w:rPr>
            <w:rFonts w:ascii="Calibri" w:eastAsia="Times New Roman" w:hAnsi="Calibri" w:cs="Calibri"/>
            <w:color w:val="0000FF"/>
            <w:sz w:val="24"/>
            <w:szCs w:val="24"/>
            <w:u w:val="single"/>
            <w:lang w:val="en-GB"/>
          </w:rPr>
          <w:t>brussels.office@european-agency.org</w:t>
        </w:r>
      </w:hyperlink>
    </w:p>
    <w:tbl>
      <w:tblPr>
        <w:tblW w:w="9073" w:type="dxa"/>
        <w:jc w:val="center"/>
        <w:tblLayout w:type="fixed"/>
        <w:tblLook w:val="0000" w:firstRow="0" w:lastRow="0" w:firstColumn="0" w:lastColumn="0" w:noHBand="0" w:noVBand="0"/>
        <w:tblDescription w:val="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w:tblPr>
      <w:tblGrid>
        <w:gridCol w:w="2662"/>
        <w:gridCol w:w="6411"/>
      </w:tblGrid>
      <w:tr w:rsidR="00D2437E" w:rsidRPr="00D739A7" w14:paraId="6F3BCEFB" w14:textId="77777777" w:rsidTr="008A7E10">
        <w:trPr>
          <w:trHeight w:val="1295"/>
          <w:tblHeader/>
          <w:jc w:val="center"/>
        </w:trPr>
        <w:tc>
          <w:tcPr>
            <w:tcW w:w="2662" w:type="dxa"/>
            <w:vAlign w:val="center"/>
          </w:tcPr>
          <w:p w14:paraId="76981CEB" w14:textId="77777777" w:rsidR="00D2437E" w:rsidRPr="00D739A7" w:rsidRDefault="00D2437E" w:rsidP="00D2437E">
            <w:pPr>
              <w:spacing w:before="360" w:after="0" w:line="240" w:lineRule="auto"/>
              <w:rPr>
                <w:rFonts w:ascii="Calibri" w:eastAsia="Times New Roman" w:hAnsi="Calibri" w:cs="Calibri"/>
                <w:sz w:val="24"/>
                <w:szCs w:val="24"/>
                <w:lang w:val="en-GB"/>
              </w:rPr>
            </w:pPr>
            <w:r w:rsidRPr="00D739A7">
              <w:rPr>
                <w:rFonts w:ascii="Calibri" w:eastAsia="Times New Roman" w:hAnsi="Calibri" w:cs="Calibri"/>
                <w:noProof/>
                <w:sz w:val="24"/>
                <w:szCs w:val="24"/>
                <w:lang w:val="en-GB" w:eastAsia="en-GB"/>
              </w:rPr>
              <w:drawing>
                <wp:inline distT="0" distB="0" distL="0" distR="0" wp14:anchorId="4AC214F3" wp14:editId="12AA819A">
                  <wp:extent cx="1599873" cy="457200"/>
                  <wp:effectExtent l="0" t="0" r="635" b="0"/>
                  <wp:docPr id="1" name="Picture 1" descr="Co-funded by the Erasmus+ Programme of the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_flag_co_funded_pos_[rgb]_right.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99873" cy="457200"/>
                          </a:xfrm>
                          <a:prstGeom prst="rect">
                            <a:avLst/>
                          </a:prstGeom>
                        </pic:spPr>
                      </pic:pic>
                    </a:graphicData>
                  </a:graphic>
                </wp:inline>
              </w:drawing>
            </w:r>
          </w:p>
        </w:tc>
        <w:tc>
          <w:tcPr>
            <w:tcW w:w="6411" w:type="dxa"/>
            <w:vAlign w:val="center"/>
          </w:tcPr>
          <w:p w14:paraId="449A51AA" w14:textId="77777777" w:rsidR="00D2437E" w:rsidRPr="00D739A7" w:rsidRDefault="00D2437E" w:rsidP="00D2437E">
            <w:pPr>
              <w:spacing w:before="360" w:after="0" w:line="200" w:lineRule="exact"/>
              <w:ind w:left="23"/>
              <w:rPr>
                <w:rFonts w:ascii="Calibri" w:eastAsia="Times New Roman" w:hAnsi="Calibri" w:cs="Calibri"/>
                <w:color w:val="595959"/>
                <w:sz w:val="20"/>
                <w:szCs w:val="20"/>
                <w:lang w:val="en-GB"/>
              </w:rPr>
            </w:pPr>
            <w:r w:rsidRPr="00D739A7">
              <w:rPr>
                <w:rFonts w:ascii="Calibri" w:eastAsia="Times New Roman" w:hAnsi="Calibri" w:cs="Calibri"/>
                <w:color w:val="595959"/>
                <w:sz w:val="20"/>
                <w:szCs w:val="20"/>
                <w:lang w:val="en-GB"/>
              </w:rPr>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tc>
      </w:tr>
    </w:tbl>
    <w:p w14:paraId="6480666C" w14:textId="77777777" w:rsidR="00D2437E" w:rsidRPr="00D739A7" w:rsidRDefault="00D2437E" w:rsidP="00D2437E">
      <w:pPr>
        <w:spacing w:after="0" w:line="240" w:lineRule="auto"/>
        <w:rPr>
          <w:rFonts w:ascii="Calibri" w:eastAsia="Times New Roman" w:hAnsi="Calibri" w:cs="Calibri"/>
          <w:sz w:val="24"/>
          <w:szCs w:val="24"/>
          <w:lang w:val="en-GB"/>
        </w:rPr>
      </w:pPr>
      <w:r w:rsidRPr="00D739A7">
        <w:rPr>
          <w:rFonts w:ascii="Calibri" w:eastAsia="Times New Roman" w:hAnsi="Calibri" w:cs="Calibri"/>
          <w:sz w:val="24"/>
          <w:szCs w:val="24"/>
          <w:lang w:val="en-GB"/>
        </w:rPr>
        <w:br w:type="page"/>
      </w:r>
    </w:p>
    <w:p w14:paraId="2CE62529" w14:textId="77777777" w:rsidR="00D2437E" w:rsidRPr="00D739A7" w:rsidRDefault="00D2437E" w:rsidP="00D2437E">
      <w:pPr>
        <w:pBdr>
          <w:bottom w:val="single" w:sz="4" w:space="1" w:color="auto"/>
        </w:pBdr>
        <w:tabs>
          <w:tab w:val="left" w:pos="2379"/>
        </w:tabs>
        <w:spacing w:before="480" w:after="480" w:line="240" w:lineRule="auto"/>
        <w:rPr>
          <w:rFonts w:ascii="Calibri" w:eastAsia="Times New Roman" w:hAnsi="Calibri" w:cs="Calibri"/>
          <w:b/>
          <w:color w:val="000542"/>
          <w:sz w:val="40"/>
          <w:szCs w:val="40"/>
          <w:lang w:val="en-GB"/>
        </w:rPr>
      </w:pPr>
      <w:r w:rsidRPr="00D739A7">
        <w:rPr>
          <w:rFonts w:ascii="Calibri" w:eastAsia="Times New Roman" w:hAnsi="Calibri" w:cs="Calibri"/>
          <w:b/>
          <w:color w:val="000542"/>
          <w:sz w:val="40"/>
          <w:szCs w:val="40"/>
          <w:lang w:val="en-GB"/>
        </w:rPr>
        <w:lastRenderedPageBreak/>
        <w:t>CONTENTS</w:t>
      </w:r>
    </w:p>
    <w:bookmarkStart w:id="2" w:name="_Toc336680183"/>
    <w:p w14:paraId="578F36C9" w14:textId="6EC0AF13" w:rsidR="00EE284F" w:rsidRPr="00D739A7" w:rsidRDefault="007F0AF0">
      <w:pPr>
        <w:pStyle w:val="TOC1"/>
        <w:tabs>
          <w:tab w:val="right" w:leader="dot" w:pos="8920"/>
        </w:tabs>
        <w:rPr>
          <w:rFonts w:asciiTheme="minorHAnsi" w:hAnsiTheme="minorHAnsi" w:cstheme="minorBidi"/>
          <w:b w:val="0"/>
          <w:caps w:val="0"/>
          <w:szCs w:val="24"/>
          <w:lang w:val="en-GB" w:eastAsia="en-GB"/>
        </w:rPr>
      </w:pPr>
      <w:r w:rsidRPr="00D739A7">
        <w:rPr>
          <w:rFonts w:eastAsia="Times New Roman"/>
          <w:lang w:val="en-GB"/>
        </w:rPr>
        <w:fldChar w:fldCharType="begin"/>
      </w:r>
      <w:r w:rsidRPr="00D739A7">
        <w:rPr>
          <w:rFonts w:eastAsia="Times New Roman"/>
          <w:lang w:val="en-GB"/>
        </w:rPr>
        <w:instrText xml:space="preserve"> TOC \h \z \t "Agency-heading-1-report,1,Agency-heading-2-report,2,Agency-heading-3-report,3,Agency-heading-1,1" </w:instrText>
      </w:r>
      <w:r w:rsidRPr="00D739A7">
        <w:rPr>
          <w:rFonts w:eastAsia="Times New Roman"/>
          <w:lang w:val="en-GB"/>
        </w:rPr>
        <w:fldChar w:fldCharType="separate"/>
      </w:r>
      <w:hyperlink w:anchor="_Toc35943013" w:history="1">
        <w:r w:rsidR="00EE284F" w:rsidRPr="00D739A7">
          <w:rPr>
            <w:rStyle w:val="Hyperlink"/>
            <w:lang w:val="en-GB"/>
          </w:rPr>
          <w:t>Introduction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_Toc35943013 \h </w:instrText>
        </w:r>
        <w:r w:rsidR="00EE284F" w:rsidRPr="00D739A7">
          <w:rPr>
            <w:webHidden/>
            <w:lang w:val="en-GB"/>
          </w:rPr>
        </w:r>
        <w:r w:rsidR="00EE284F" w:rsidRPr="00D739A7">
          <w:rPr>
            <w:webHidden/>
            <w:lang w:val="en-GB"/>
          </w:rPr>
          <w:fldChar w:fldCharType="separate"/>
        </w:r>
        <w:r w:rsidR="00EE284F" w:rsidRPr="00D739A7">
          <w:rPr>
            <w:webHidden/>
            <w:lang w:val="en-GB"/>
          </w:rPr>
          <w:t>9</w:t>
        </w:r>
        <w:r w:rsidR="00EE284F" w:rsidRPr="00D739A7">
          <w:rPr>
            <w:webHidden/>
            <w:lang w:val="en-GB"/>
          </w:rPr>
          <w:fldChar w:fldCharType="end"/>
        </w:r>
      </w:hyperlink>
    </w:p>
    <w:p w14:paraId="2C3590A4" w14:textId="04BA4EEB" w:rsidR="00EE284F" w:rsidRPr="00D739A7" w:rsidRDefault="00AC30F3">
      <w:pPr>
        <w:pStyle w:val="TOC2"/>
        <w:rPr>
          <w:rFonts w:asciiTheme="minorHAnsi" w:hAnsiTheme="minorHAnsi"/>
          <w:szCs w:val="24"/>
          <w:lang w:val="en-GB" w:eastAsia="en-GB"/>
        </w:rPr>
      </w:pPr>
      <w:hyperlink w:anchor="_Toc35943014" w:history="1">
        <w:r w:rsidR="00EE284F" w:rsidRPr="00D739A7">
          <w:rPr>
            <w:rStyle w:val="Hyperlink"/>
            <w:lang w:val="en-GB"/>
          </w:rPr>
          <w:t>The 2018 EASIE dataset</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_Toc35943014 \h </w:instrText>
        </w:r>
        <w:r w:rsidR="00EE284F" w:rsidRPr="00D739A7">
          <w:rPr>
            <w:webHidden/>
            <w:lang w:val="en-GB"/>
          </w:rPr>
        </w:r>
        <w:r w:rsidR="00EE284F" w:rsidRPr="00D739A7">
          <w:rPr>
            <w:webHidden/>
            <w:lang w:val="en-GB"/>
          </w:rPr>
          <w:fldChar w:fldCharType="separate"/>
        </w:r>
        <w:r w:rsidR="00EE284F" w:rsidRPr="00D739A7">
          <w:rPr>
            <w:webHidden/>
            <w:lang w:val="en-GB"/>
          </w:rPr>
          <w:t>10</w:t>
        </w:r>
        <w:r w:rsidR="00EE284F" w:rsidRPr="00D739A7">
          <w:rPr>
            <w:webHidden/>
            <w:lang w:val="en-GB"/>
          </w:rPr>
          <w:fldChar w:fldCharType="end"/>
        </w:r>
      </w:hyperlink>
    </w:p>
    <w:p w14:paraId="1DFAB255" w14:textId="1C0E30D9" w:rsidR="00EE284F" w:rsidRPr="00D739A7" w:rsidRDefault="00AC30F3">
      <w:pPr>
        <w:pStyle w:val="TOC2"/>
        <w:rPr>
          <w:rFonts w:asciiTheme="minorHAnsi" w:hAnsiTheme="minorHAnsi"/>
          <w:szCs w:val="24"/>
          <w:lang w:val="en-GB" w:eastAsia="en-GB"/>
        </w:rPr>
      </w:pPr>
      <w:hyperlink w:anchor="_Toc35943015" w:history="1">
        <w:r w:rsidR="00EE284F" w:rsidRPr="00D739A7">
          <w:rPr>
            <w:rStyle w:val="Hyperlink"/>
            <w:lang w:val="en-GB"/>
          </w:rPr>
          <w:t>The EASIE 2018 dataset cross-country analysis</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_Toc35943015 \h </w:instrText>
        </w:r>
        <w:r w:rsidR="00EE284F" w:rsidRPr="00D739A7">
          <w:rPr>
            <w:webHidden/>
            <w:lang w:val="en-GB"/>
          </w:rPr>
        </w:r>
        <w:r w:rsidR="00EE284F" w:rsidRPr="00D739A7">
          <w:rPr>
            <w:webHidden/>
            <w:lang w:val="en-GB"/>
          </w:rPr>
          <w:fldChar w:fldCharType="separate"/>
        </w:r>
        <w:r w:rsidR="00EE284F" w:rsidRPr="00D739A7">
          <w:rPr>
            <w:webHidden/>
            <w:lang w:val="en-GB"/>
          </w:rPr>
          <w:t>11</w:t>
        </w:r>
        <w:r w:rsidR="00EE284F" w:rsidRPr="00D739A7">
          <w:rPr>
            <w:webHidden/>
            <w:lang w:val="en-GB"/>
          </w:rPr>
          <w:fldChar w:fldCharType="end"/>
        </w:r>
      </w:hyperlink>
    </w:p>
    <w:p w14:paraId="359816AF" w14:textId="6AA2D0B4" w:rsidR="00EE284F" w:rsidRPr="00D739A7" w:rsidRDefault="00AC30F3">
      <w:pPr>
        <w:pStyle w:val="TOC2"/>
        <w:rPr>
          <w:rFonts w:asciiTheme="minorHAnsi" w:hAnsiTheme="minorHAnsi"/>
          <w:szCs w:val="24"/>
          <w:lang w:val="en-GB" w:eastAsia="en-GB"/>
        </w:rPr>
      </w:pPr>
      <w:hyperlink w:anchor="_Toc35943016" w:history="1">
        <w:r w:rsidR="00EE284F" w:rsidRPr="00D739A7">
          <w:rPr>
            <w:rStyle w:val="Hyperlink"/>
            <w:lang w:val="en-GB"/>
          </w:rPr>
          <w:t>Information provided for each indicator</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_Toc35943016 \h </w:instrText>
        </w:r>
        <w:r w:rsidR="00EE284F" w:rsidRPr="00D739A7">
          <w:rPr>
            <w:webHidden/>
            <w:lang w:val="en-GB"/>
          </w:rPr>
        </w:r>
        <w:r w:rsidR="00EE284F" w:rsidRPr="00D739A7">
          <w:rPr>
            <w:webHidden/>
            <w:lang w:val="en-GB"/>
          </w:rPr>
          <w:fldChar w:fldCharType="separate"/>
        </w:r>
        <w:r w:rsidR="00EE284F" w:rsidRPr="00D739A7">
          <w:rPr>
            <w:webHidden/>
            <w:lang w:val="en-GB"/>
          </w:rPr>
          <w:t>12</w:t>
        </w:r>
        <w:r w:rsidR="00EE284F" w:rsidRPr="00D739A7">
          <w:rPr>
            <w:webHidden/>
            <w:lang w:val="en-GB"/>
          </w:rPr>
          <w:fldChar w:fldCharType="end"/>
        </w:r>
      </w:hyperlink>
    </w:p>
    <w:p w14:paraId="26AB0D12" w14:textId="2D5A206B"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17" w:history="1">
        <w:r w:rsidR="00EE284F" w:rsidRPr="00D739A7">
          <w:rPr>
            <w:rStyle w:val="Hyperlink"/>
            <w:lang w:val="en-GB"/>
          </w:rPr>
          <w:t>Chapter 1: Pre-primary education (ISCED Level 02)</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_Toc35943017 \h </w:instrText>
        </w:r>
        <w:r w:rsidR="00EE284F" w:rsidRPr="00D739A7">
          <w:rPr>
            <w:webHidden/>
            <w:lang w:val="en-GB"/>
          </w:rPr>
        </w:r>
        <w:r w:rsidR="00EE284F" w:rsidRPr="00D739A7">
          <w:rPr>
            <w:webHidden/>
            <w:lang w:val="en-GB"/>
          </w:rPr>
          <w:fldChar w:fldCharType="separate"/>
        </w:r>
        <w:r w:rsidR="00EE284F" w:rsidRPr="00D739A7">
          <w:rPr>
            <w:webHidden/>
            <w:lang w:val="en-GB"/>
          </w:rPr>
          <w:t>14</w:t>
        </w:r>
        <w:r w:rsidR="00EE284F" w:rsidRPr="00D739A7">
          <w:rPr>
            <w:webHidden/>
            <w:lang w:val="en-GB"/>
          </w:rPr>
          <w:fldChar w:fldCharType="end"/>
        </w:r>
      </w:hyperlink>
    </w:p>
    <w:p w14:paraId="0B2128AF" w14:textId="6BBA6FA5"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18" w:history="1">
        <w:r w:rsidR="00EE284F" w:rsidRPr="00D739A7">
          <w:rPr>
            <w:rStyle w:val="Hyperlink"/>
            <w:bCs/>
            <w:lang w:val="en-GB"/>
          </w:rPr>
          <w:t>1.1.</w:t>
        </w:r>
        <w:r w:rsidR="00EE284F" w:rsidRPr="00D739A7">
          <w:rPr>
            <w:rStyle w:val="Hyperlink"/>
            <w:lang w:val="en-GB"/>
          </w:rPr>
          <w:t xml:space="preserve"> Population and Enrolment</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_Toc35943018 \h </w:instrText>
        </w:r>
        <w:r w:rsidR="00EE284F" w:rsidRPr="00D739A7">
          <w:rPr>
            <w:webHidden/>
            <w:lang w:val="en-GB"/>
          </w:rPr>
        </w:r>
        <w:r w:rsidR="00EE284F" w:rsidRPr="00D739A7">
          <w:rPr>
            <w:webHidden/>
            <w:lang w:val="en-GB"/>
          </w:rPr>
          <w:fldChar w:fldCharType="separate"/>
        </w:r>
        <w:r w:rsidR="00EE284F" w:rsidRPr="00D739A7">
          <w:rPr>
            <w:webHidden/>
            <w:lang w:val="en-GB"/>
          </w:rPr>
          <w:t>15</w:t>
        </w:r>
        <w:r w:rsidR="00EE284F" w:rsidRPr="00D739A7">
          <w:rPr>
            <w:webHidden/>
            <w:lang w:val="en-GB"/>
          </w:rPr>
          <w:fldChar w:fldCharType="end"/>
        </w:r>
      </w:hyperlink>
    </w:p>
    <w:p w14:paraId="12227D72" w14:textId="590C0D0C" w:rsidR="00EE284F" w:rsidRPr="00D739A7" w:rsidRDefault="00AC30F3">
      <w:pPr>
        <w:pStyle w:val="TOC2"/>
        <w:rPr>
          <w:rFonts w:asciiTheme="minorHAnsi" w:hAnsiTheme="minorHAnsi"/>
          <w:szCs w:val="24"/>
          <w:lang w:val="en-GB" w:eastAsia="en-GB"/>
        </w:rPr>
      </w:pPr>
      <w:hyperlink w:anchor="_Toc35943019" w:history="1">
        <w:r w:rsidR="00EE284F" w:rsidRPr="00D739A7">
          <w:rPr>
            <w:rStyle w:val="Hyperlink"/>
            <w:lang w:val="en-GB"/>
          </w:rPr>
          <w:t>Indicator 1.1.1: the enrolment rate in mainstream education, based on the enrolled pre</w:t>
        </w:r>
        <w:r w:rsidR="00EE284F" w:rsidRPr="00D739A7">
          <w:rPr>
            <w:rStyle w:val="Hyperlink"/>
            <w:lang w:val="en-GB"/>
          </w:rPr>
          <w:noBreakHyphen/>
          <w:t>primary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_Toc35943019 \h </w:instrText>
        </w:r>
        <w:r w:rsidR="00EE284F" w:rsidRPr="00D739A7">
          <w:rPr>
            <w:webHidden/>
            <w:lang w:val="en-GB"/>
          </w:rPr>
        </w:r>
        <w:r w:rsidR="00EE284F" w:rsidRPr="00D739A7">
          <w:rPr>
            <w:webHidden/>
            <w:lang w:val="en-GB"/>
          </w:rPr>
          <w:fldChar w:fldCharType="separate"/>
        </w:r>
        <w:r w:rsidR="00EE284F" w:rsidRPr="00D739A7">
          <w:rPr>
            <w:webHidden/>
            <w:lang w:val="en-GB"/>
          </w:rPr>
          <w:t>16</w:t>
        </w:r>
        <w:r w:rsidR="00EE284F" w:rsidRPr="00D739A7">
          <w:rPr>
            <w:webHidden/>
            <w:lang w:val="en-GB"/>
          </w:rPr>
          <w:fldChar w:fldCharType="end"/>
        </w:r>
      </w:hyperlink>
    </w:p>
    <w:p w14:paraId="503336E9" w14:textId="1F873449" w:rsidR="00EE284F" w:rsidRPr="00D739A7" w:rsidRDefault="00AC30F3">
      <w:pPr>
        <w:pStyle w:val="TOC2"/>
        <w:rPr>
          <w:rFonts w:asciiTheme="minorHAnsi" w:hAnsiTheme="minorHAnsi"/>
          <w:szCs w:val="24"/>
          <w:lang w:val="en-GB" w:eastAsia="en-GB"/>
        </w:rPr>
      </w:pPr>
      <w:hyperlink w:anchor="_Toc35943020" w:history="1">
        <w:r w:rsidR="00EE284F" w:rsidRPr="00D739A7">
          <w:rPr>
            <w:rStyle w:val="Hyperlink"/>
            <w:lang w:val="en-GB"/>
          </w:rPr>
          <w:t>Indicator 1.1.2: the enrolment rate in inclusive education, based on the enrolled pre</w:t>
        </w:r>
        <w:r w:rsidR="00EE284F" w:rsidRPr="00D739A7">
          <w:rPr>
            <w:rStyle w:val="Hyperlink"/>
            <w:lang w:val="en-GB"/>
          </w:rPr>
          <w:noBreakHyphen/>
          <w:t>primary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_Toc35943020 \h </w:instrText>
        </w:r>
        <w:r w:rsidR="00EE284F" w:rsidRPr="00D739A7">
          <w:rPr>
            <w:webHidden/>
            <w:lang w:val="en-GB"/>
          </w:rPr>
        </w:r>
        <w:r w:rsidR="00EE284F" w:rsidRPr="00D739A7">
          <w:rPr>
            <w:webHidden/>
            <w:lang w:val="en-GB"/>
          </w:rPr>
          <w:fldChar w:fldCharType="separate"/>
        </w:r>
        <w:r w:rsidR="00EE284F" w:rsidRPr="00D739A7">
          <w:rPr>
            <w:webHidden/>
            <w:lang w:val="en-GB"/>
          </w:rPr>
          <w:t>17</w:t>
        </w:r>
        <w:r w:rsidR="00EE284F" w:rsidRPr="00D739A7">
          <w:rPr>
            <w:webHidden/>
            <w:lang w:val="en-GB"/>
          </w:rPr>
          <w:fldChar w:fldCharType="end"/>
        </w:r>
      </w:hyperlink>
    </w:p>
    <w:p w14:paraId="57CE60D6" w14:textId="09F2D351"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21" w:history="1">
        <w:r w:rsidR="00EE284F" w:rsidRPr="00D739A7">
          <w:rPr>
            <w:rStyle w:val="Hyperlink"/>
            <w:lang w:val="en-GB"/>
          </w:rPr>
          <w:t>1.2. Age Samples</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_Toc35943021 \h </w:instrText>
        </w:r>
        <w:r w:rsidR="00EE284F" w:rsidRPr="00D739A7">
          <w:rPr>
            <w:webHidden/>
            <w:lang w:val="en-GB"/>
          </w:rPr>
        </w:r>
        <w:r w:rsidR="00EE284F" w:rsidRPr="00D739A7">
          <w:rPr>
            <w:webHidden/>
            <w:lang w:val="en-GB"/>
          </w:rPr>
          <w:fldChar w:fldCharType="separate"/>
        </w:r>
        <w:r w:rsidR="00EE284F" w:rsidRPr="00D739A7">
          <w:rPr>
            <w:webHidden/>
            <w:lang w:val="en-GB"/>
          </w:rPr>
          <w:t>18</w:t>
        </w:r>
        <w:r w:rsidR="00EE284F" w:rsidRPr="00D739A7">
          <w:rPr>
            <w:webHidden/>
            <w:lang w:val="en-GB"/>
          </w:rPr>
          <w:fldChar w:fldCharType="end"/>
        </w:r>
      </w:hyperlink>
    </w:p>
    <w:p w14:paraId="2365C391" w14:textId="16F0BBC5" w:rsidR="00EE284F" w:rsidRPr="00D739A7" w:rsidRDefault="00AC30F3">
      <w:pPr>
        <w:pStyle w:val="TOC2"/>
        <w:rPr>
          <w:rFonts w:asciiTheme="minorHAnsi" w:hAnsiTheme="minorHAnsi"/>
          <w:szCs w:val="24"/>
          <w:lang w:val="en-GB" w:eastAsia="en-GB"/>
        </w:rPr>
      </w:pPr>
      <w:hyperlink w:anchor="_Toc35943022" w:history="1">
        <w:r w:rsidR="00EE284F" w:rsidRPr="00D739A7">
          <w:rPr>
            <w:rStyle w:val="Hyperlink"/>
            <w:lang w:val="en-GB"/>
          </w:rPr>
          <w:t>Indicator 1.2.1: the age sample enrolment rate in mainstream education for 4-year-olds, based on the enrolled pre-primary population of 4-year-olds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_Toc35943022 \h </w:instrText>
        </w:r>
        <w:r w:rsidR="00EE284F" w:rsidRPr="00D739A7">
          <w:rPr>
            <w:webHidden/>
            <w:lang w:val="en-GB"/>
          </w:rPr>
        </w:r>
        <w:r w:rsidR="00EE284F" w:rsidRPr="00D739A7">
          <w:rPr>
            <w:webHidden/>
            <w:lang w:val="en-GB"/>
          </w:rPr>
          <w:fldChar w:fldCharType="separate"/>
        </w:r>
        <w:r w:rsidR="00EE284F" w:rsidRPr="00D739A7">
          <w:rPr>
            <w:webHidden/>
            <w:lang w:val="en-GB"/>
          </w:rPr>
          <w:t>19</w:t>
        </w:r>
        <w:r w:rsidR="00EE284F" w:rsidRPr="00D739A7">
          <w:rPr>
            <w:webHidden/>
            <w:lang w:val="en-GB"/>
          </w:rPr>
          <w:fldChar w:fldCharType="end"/>
        </w:r>
      </w:hyperlink>
    </w:p>
    <w:p w14:paraId="120C52A4" w14:textId="20EDAAC4" w:rsidR="00EE284F" w:rsidRPr="00D739A7" w:rsidRDefault="00AC30F3">
      <w:pPr>
        <w:pStyle w:val="TOC2"/>
        <w:rPr>
          <w:rFonts w:asciiTheme="minorHAnsi" w:hAnsiTheme="minorHAnsi"/>
          <w:szCs w:val="24"/>
          <w:lang w:val="en-GB" w:eastAsia="en-GB"/>
        </w:rPr>
      </w:pPr>
      <w:hyperlink w:anchor="_Toc35943023" w:history="1">
        <w:r w:rsidR="00EE284F" w:rsidRPr="00D739A7">
          <w:rPr>
            <w:rStyle w:val="Hyperlink"/>
            <w:lang w:val="en-GB"/>
          </w:rPr>
          <w:t xml:space="preserve">Indicator 1.2.2 the age sample enrolment rate in inclusive education for 4-year-olds, </w:t>
        </w:r>
        <w:r w:rsidR="00EE284F" w:rsidRPr="00D739A7">
          <w:rPr>
            <w:rStyle w:val="Hyperlink"/>
            <w:lang w:val="en-GB"/>
          </w:rPr>
          <w:br/>
          <w:t>based on the enrolled pre-primary population of 4</w:t>
        </w:r>
        <w:r w:rsidR="00EE284F" w:rsidRPr="00D739A7">
          <w:rPr>
            <w:rStyle w:val="Hyperlink"/>
            <w:lang w:val="en-GB"/>
          </w:rPr>
          <w:noBreakHyphen/>
          <w:t>year-olds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_Toc35943023 \h </w:instrText>
        </w:r>
        <w:r w:rsidR="00EE284F" w:rsidRPr="00D739A7">
          <w:rPr>
            <w:webHidden/>
            <w:lang w:val="en-GB"/>
          </w:rPr>
        </w:r>
        <w:r w:rsidR="00EE284F" w:rsidRPr="00D739A7">
          <w:rPr>
            <w:webHidden/>
            <w:lang w:val="en-GB"/>
          </w:rPr>
          <w:fldChar w:fldCharType="separate"/>
        </w:r>
        <w:r w:rsidR="00EE284F" w:rsidRPr="00D739A7">
          <w:rPr>
            <w:webHidden/>
            <w:lang w:val="en-GB"/>
          </w:rPr>
          <w:t>20</w:t>
        </w:r>
        <w:r w:rsidR="00EE284F" w:rsidRPr="00D739A7">
          <w:rPr>
            <w:webHidden/>
            <w:lang w:val="en-GB"/>
          </w:rPr>
          <w:fldChar w:fldCharType="end"/>
        </w:r>
      </w:hyperlink>
    </w:p>
    <w:p w14:paraId="7DCB238F" w14:textId="3496D1E7"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24" w:history="1">
        <w:r w:rsidR="00EE284F" w:rsidRPr="00D739A7">
          <w:rPr>
            <w:rStyle w:val="Hyperlink"/>
            <w:lang w:val="en-GB"/>
          </w:rPr>
          <w:t>1.3. Children with an official decision of SEN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_Toc35943024 \h </w:instrText>
        </w:r>
        <w:r w:rsidR="00EE284F" w:rsidRPr="00D739A7">
          <w:rPr>
            <w:webHidden/>
            <w:lang w:val="en-GB"/>
          </w:rPr>
        </w:r>
        <w:r w:rsidR="00EE284F" w:rsidRPr="00D739A7">
          <w:rPr>
            <w:webHidden/>
            <w:lang w:val="en-GB"/>
          </w:rPr>
          <w:fldChar w:fldCharType="separate"/>
        </w:r>
        <w:r w:rsidR="00EE284F" w:rsidRPr="00D739A7">
          <w:rPr>
            <w:webHidden/>
            <w:lang w:val="en-GB"/>
          </w:rPr>
          <w:t>21</w:t>
        </w:r>
        <w:r w:rsidR="00EE284F" w:rsidRPr="00D739A7">
          <w:rPr>
            <w:webHidden/>
            <w:lang w:val="en-GB"/>
          </w:rPr>
          <w:fldChar w:fldCharType="end"/>
        </w:r>
      </w:hyperlink>
    </w:p>
    <w:p w14:paraId="752017D0" w14:textId="730ADEA8" w:rsidR="00EE284F" w:rsidRPr="00D739A7" w:rsidRDefault="00AC30F3">
      <w:pPr>
        <w:pStyle w:val="TOC2"/>
        <w:rPr>
          <w:rFonts w:asciiTheme="minorHAnsi" w:hAnsiTheme="minorHAnsi"/>
          <w:szCs w:val="24"/>
          <w:lang w:val="en-GB" w:eastAsia="en-GB"/>
        </w:rPr>
      </w:pPr>
      <w:hyperlink w:anchor="_Toc35943025" w:history="1">
        <w:r w:rsidR="00EE284F" w:rsidRPr="00D739A7">
          <w:rPr>
            <w:rStyle w:val="Hyperlink"/>
            <w:lang w:val="en-GB"/>
          </w:rPr>
          <w:t>1.3a. Identification rates</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_Toc35943025 \h </w:instrText>
        </w:r>
        <w:r w:rsidR="00EE284F" w:rsidRPr="00D739A7">
          <w:rPr>
            <w:webHidden/>
            <w:lang w:val="en-GB"/>
          </w:rPr>
        </w:r>
        <w:r w:rsidR="00EE284F" w:rsidRPr="00D739A7">
          <w:rPr>
            <w:webHidden/>
            <w:lang w:val="en-GB"/>
          </w:rPr>
          <w:fldChar w:fldCharType="separate"/>
        </w:r>
        <w:r w:rsidR="00EE284F" w:rsidRPr="00D739A7">
          <w:rPr>
            <w:webHidden/>
            <w:lang w:val="en-GB"/>
          </w:rPr>
          <w:t>22</w:t>
        </w:r>
        <w:r w:rsidR="00EE284F" w:rsidRPr="00D739A7">
          <w:rPr>
            <w:webHidden/>
            <w:lang w:val="en-GB"/>
          </w:rPr>
          <w:fldChar w:fldCharType="end"/>
        </w:r>
      </w:hyperlink>
    </w:p>
    <w:p w14:paraId="6B3E71EF" w14:textId="58BCD74D" w:rsidR="00EE284F" w:rsidRPr="00D739A7" w:rsidRDefault="00AC30F3">
      <w:pPr>
        <w:pStyle w:val="TOC3"/>
        <w:rPr>
          <w:rFonts w:asciiTheme="minorHAnsi" w:hAnsiTheme="minorHAnsi"/>
          <w:i w:val="0"/>
          <w:szCs w:val="24"/>
          <w:lang w:val="en-GB" w:eastAsia="en-GB"/>
        </w:rPr>
      </w:pPr>
      <w:hyperlink w:anchor="_Toc35943026" w:history="1">
        <w:r w:rsidR="00EE284F" w:rsidRPr="00D739A7">
          <w:rPr>
            <w:rStyle w:val="Hyperlink"/>
            <w:lang w:val="en-GB"/>
          </w:rPr>
          <w:t xml:space="preserve">Indicator 1.3a.1: the percentage of children with an official decision of SEN, based on </w:t>
        </w:r>
        <w:r w:rsidR="00EE284F" w:rsidRPr="00D739A7">
          <w:rPr>
            <w:rStyle w:val="Hyperlink"/>
            <w:lang w:val="en-GB"/>
          </w:rPr>
          <w:br/>
          <w:t>the enrolled pre-primary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_Toc35943026 \h </w:instrText>
        </w:r>
        <w:r w:rsidR="00EE284F" w:rsidRPr="00D739A7">
          <w:rPr>
            <w:webHidden/>
            <w:lang w:val="en-GB"/>
          </w:rPr>
        </w:r>
        <w:r w:rsidR="00EE284F" w:rsidRPr="00D739A7">
          <w:rPr>
            <w:webHidden/>
            <w:lang w:val="en-GB"/>
          </w:rPr>
          <w:fldChar w:fldCharType="separate"/>
        </w:r>
        <w:r w:rsidR="00EE284F" w:rsidRPr="00D739A7">
          <w:rPr>
            <w:webHidden/>
            <w:lang w:val="en-GB"/>
          </w:rPr>
          <w:t>22</w:t>
        </w:r>
        <w:r w:rsidR="00EE284F" w:rsidRPr="00D739A7">
          <w:rPr>
            <w:webHidden/>
            <w:lang w:val="en-GB"/>
          </w:rPr>
          <w:fldChar w:fldCharType="end"/>
        </w:r>
      </w:hyperlink>
    </w:p>
    <w:p w14:paraId="55A5C2E7" w14:textId="5F9C845B" w:rsidR="00EE284F" w:rsidRPr="00D739A7" w:rsidRDefault="00AC30F3">
      <w:pPr>
        <w:pStyle w:val="TOC2"/>
        <w:rPr>
          <w:rFonts w:asciiTheme="minorHAnsi" w:hAnsiTheme="minorHAnsi"/>
          <w:szCs w:val="24"/>
          <w:lang w:val="en-GB" w:eastAsia="en-GB"/>
        </w:rPr>
      </w:pPr>
      <w:hyperlink w:anchor="_Toc35943027" w:history="1">
        <w:r w:rsidR="00EE284F" w:rsidRPr="00D739A7">
          <w:rPr>
            <w:rStyle w:val="Hyperlink"/>
            <w:lang w:val="en-GB"/>
          </w:rPr>
          <w:t xml:space="preserve">1.3b. Distribution of placements of children with an official decision of SEN, based on </w:t>
        </w:r>
        <w:r w:rsidR="00EE284F" w:rsidRPr="00D739A7">
          <w:rPr>
            <w:rStyle w:val="Hyperlink"/>
            <w:lang w:val="en-GB"/>
          </w:rPr>
          <w:br/>
          <w:t>the enrolled pre-primary population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_Toc35943027 \h </w:instrText>
        </w:r>
        <w:r w:rsidR="00EE284F" w:rsidRPr="00D739A7">
          <w:rPr>
            <w:webHidden/>
            <w:lang w:val="en-GB"/>
          </w:rPr>
        </w:r>
        <w:r w:rsidR="00EE284F" w:rsidRPr="00D739A7">
          <w:rPr>
            <w:webHidden/>
            <w:lang w:val="en-GB"/>
          </w:rPr>
          <w:fldChar w:fldCharType="separate"/>
        </w:r>
        <w:r w:rsidR="00EE284F" w:rsidRPr="00D739A7">
          <w:rPr>
            <w:webHidden/>
            <w:lang w:val="en-GB"/>
          </w:rPr>
          <w:t>25</w:t>
        </w:r>
        <w:r w:rsidR="00EE284F" w:rsidRPr="00D739A7">
          <w:rPr>
            <w:webHidden/>
            <w:lang w:val="en-GB"/>
          </w:rPr>
          <w:fldChar w:fldCharType="end"/>
        </w:r>
      </w:hyperlink>
    </w:p>
    <w:p w14:paraId="5332F31B" w14:textId="02E4F0EE" w:rsidR="00EE284F" w:rsidRPr="00D739A7" w:rsidRDefault="00AC30F3">
      <w:pPr>
        <w:pStyle w:val="TOC3"/>
        <w:rPr>
          <w:rFonts w:asciiTheme="minorHAnsi" w:hAnsiTheme="minorHAnsi"/>
          <w:i w:val="0"/>
          <w:szCs w:val="24"/>
          <w:lang w:val="en-GB" w:eastAsia="en-GB"/>
        </w:rPr>
      </w:pPr>
      <w:hyperlink w:anchor="_Toc35943028" w:history="1">
        <w:r w:rsidR="00EE284F" w:rsidRPr="00D739A7">
          <w:rPr>
            <w:rStyle w:val="Hyperlink"/>
            <w:lang w:val="en-GB"/>
          </w:rPr>
          <w:t>Indicator 1.3b.1: the percentage of children with an official decision of SEN in inclusive settings, based on the enrolled pre-primary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_Toc35943028 \h </w:instrText>
        </w:r>
        <w:r w:rsidR="00EE284F" w:rsidRPr="00D739A7">
          <w:rPr>
            <w:webHidden/>
            <w:lang w:val="en-GB"/>
          </w:rPr>
        </w:r>
        <w:r w:rsidR="00EE284F" w:rsidRPr="00D739A7">
          <w:rPr>
            <w:webHidden/>
            <w:lang w:val="en-GB"/>
          </w:rPr>
          <w:fldChar w:fldCharType="separate"/>
        </w:r>
        <w:r w:rsidR="00EE284F" w:rsidRPr="00D739A7">
          <w:rPr>
            <w:webHidden/>
            <w:lang w:val="en-GB"/>
          </w:rPr>
          <w:t>26</w:t>
        </w:r>
        <w:r w:rsidR="00EE284F" w:rsidRPr="00D739A7">
          <w:rPr>
            <w:webHidden/>
            <w:lang w:val="en-GB"/>
          </w:rPr>
          <w:fldChar w:fldCharType="end"/>
        </w:r>
      </w:hyperlink>
    </w:p>
    <w:p w14:paraId="64A52ED2" w14:textId="08ED1A0B" w:rsidR="00EE284F" w:rsidRPr="00D739A7" w:rsidRDefault="00AC30F3">
      <w:pPr>
        <w:pStyle w:val="TOC3"/>
        <w:rPr>
          <w:rFonts w:asciiTheme="minorHAnsi" w:hAnsiTheme="minorHAnsi"/>
          <w:i w:val="0"/>
          <w:szCs w:val="24"/>
          <w:lang w:val="en-GB" w:eastAsia="en-GB"/>
        </w:rPr>
      </w:pPr>
      <w:hyperlink w:anchor="_Toc35943029" w:history="1">
        <w:r w:rsidR="00EE284F" w:rsidRPr="00D739A7">
          <w:rPr>
            <w:rStyle w:val="Hyperlink"/>
            <w:lang w:val="en-GB"/>
          </w:rPr>
          <w:t>Indicator 1.3b.2: the percentage of children with an official decision of SEN in special groups in mainstream schools, based on the enrolled pre-primary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_Toc35943029 \h </w:instrText>
        </w:r>
        <w:r w:rsidR="00EE284F" w:rsidRPr="00D739A7">
          <w:rPr>
            <w:webHidden/>
            <w:lang w:val="en-GB"/>
          </w:rPr>
        </w:r>
        <w:r w:rsidR="00EE284F" w:rsidRPr="00D739A7">
          <w:rPr>
            <w:webHidden/>
            <w:lang w:val="en-GB"/>
          </w:rPr>
          <w:fldChar w:fldCharType="separate"/>
        </w:r>
        <w:r w:rsidR="00EE284F" w:rsidRPr="00D739A7">
          <w:rPr>
            <w:webHidden/>
            <w:lang w:val="en-GB"/>
          </w:rPr>
          <w:t>29</w:t>
        </w:r>
        <w:r w:rsidR="00EE284F" w:rsidRPr="00D739A7">
          <w:rPr>
            <w:webHidden/>
            <w:lang w:val="en-GB"/>
          </w:rPr>
          <w:fldChar w:fldCharType="end"/>
        </w:r>
      </w:hyperlink>
    </w:p>
    <w:p w14:paraId="30020A3A" w14:textId="52F3580F" w:rsidR="00EE284F" w:rsidRPr="00D739A7" w:rsidRDefault="00AC30F3">
      <w:pPr>
        <w:pStyle w:val="TOC3"/>
        <w:rPr>
          <w:rFonts w:asciiTheme="minorHAnsi" w:hAnsiTheme="minorHAnsi"/>
          <w:i w:val="0"/>
          <w:szCs w:val="24"/>
          <w:lang w:val="en-GB" w:eastAsia="en-GB"/>
        </w:rPr>
      </w:pPr>
      <w:hyperlink w:anchor="_Toc35943030" w:history="1">
        <w:r w:rsidR="00EE284F" w:rsidRPr="00D739A7">
          <w:rPr>
            <w:rStyle w:val="Hyperlink"/>
            <w:lang w:val="en-GB"/>
          </w:rPr>
          <w:t>Indicator 1.3b.3: the percentage of children with an official decision of SEN in special pre</w:t>
        </w:r>
        <w:r w:rsidR="00EE284F" w:rsidRPr="00D739A7">
          <w:rPr>
            <w:rStyle w:val="Hyperlink"/>
            <w:lang w:val="en-GB"/>
          </w:rPr>
          <w:noBreakHyphen/>
          <w:t>schools, based on the enrolled pre-primary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_Toc35943030 \h </w:instrText>
        </w:r>
        <w:r w:rsidR="00EE284F" w:rsidRPr="00D739A7">
          <w:rPr>
            <w:webHidden/>
            <w:lang w:val="en-GB"/>
          </w:rPr>
        </w:r>
        <w:r w:rsidR="00EE284F" w:rsidRPr="00D739A7">
          <w:rPr>
            <w:webHidden/>
            <w:lang w:val="en-GB"/>
          </w:rPr>
          <w:fldChar w:fldCharType="separate"/>
        </w:r>
        <w:r w:rsidR="00EE284F" w:rsidRPr="00D739A7">
          <w:rPr>
            <w:webHidden/>
            <w:lang w:val="en-GB"/>
          </w:rPr>
          <w:t>32</w:t>
        </w:r>
        <w:r w:rsidR="00EE284F" w:rsidRPr="00D739A7">
          <w:rPr>
            <w:webHidden/>
            <w:lang w:val="en-GB"/>
          </w:rPr>
          <w:fldChar w:fldCharType="end"/>
        </w:r>
      </w:hyperlink>
    </w:p>
    <w:p w14:paraId="594F280A" w14:textId="03B3D91F" w:rsidR="00EE284F" w:rsidRPr="00D739A7" w:rsidRDefault="00AC30F3">
      <w:pPr>
        <w:pStyle w:val="TOC3"/>
        <w:rPr>
          <w:rFonts w:asciiTheme="minorHAnsi" w:hAnsiTheme="minorHAnsi"/>
          <w:i w:val="0"/>
          <w:szCs w:val="24"/>
          <w:lang w:val="en-GB" w:eastAsia="en-GB"/>
        </w:rPr>
      </w:pPr>
      <w:hyperlink w:anchor="_Toc35943031" w:history="1">
        <w:r w:rsidR="00EE284F" w:rsidRPr="00D739A7">
          <w:rPr>
            <w:rStyle w:val="Hyperlink"/>
            <w:lang w:val="en-GB"/>
          </w:rPr>
          <w:t>Indicator 1.3b.5: the percentage of children with an official decision of SEN in fully separate educational settings, based on the enrolled pre-primary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_Toc35943031 \h </w:instrText>
        </w:r>
        <w:r w:rsidR="00EE284F" w:rsidRPr="00D739A7">
          <w:rPr>
            <w:webHidden/>
            <w:lang w:val="en-GB"/>
          </w:rPr>
        </w:r>
        <w:r w:rsidR="00EE284F" w:rsidRPr="00D739A7">
          <w:rPr>
            <w:webHidden/>
            <w:lang w:val="en-GB"/>
          </w:rPr>
          <w:fldChar w:fldCharType="separate"/>
        </w:r>
        <w:r w:rsidR="00EE284F" w:rsidRPr="00D739A7">
          <w:rPr>
            <w:webHidden/>
            <w:lang w:val="en-GB"/>
          </w:rPr>
          <w:t>35</w:t>
        </w:r>
        <w:r w:rsidR="00EE284F" w:rsidRPr="00D739A7">
          <w:rPr>
            <w:webHidden/>
            <w:lang w:val="en-GB"/>
          </w:rPr>
          <w:fldChar w:fldCharType="end"/>
        </w:r>
      </w:hyperlink>
    </w:p>
    <w:p w14:paraId="4CBFE0B9" w14:textId="2037A984" w:rsidR="00EE284F" w:rsidRPr="00D739A7" w:rsidRDefault="00AC30F3">
      <w:pPr>
        <w:pStyle w:val="TOC2"/>
        <w:rPr>
          <w:rFonts w:asciiTheme="minorHAnsi" w:hAnsiTheme="minorHAnsi"/>
          <w:szCs w:val="24"/>
          <w:lang w:val="en-GB" w:eastAsia="en-GB"/>
        </w:rPr>
      </w:pPr>
      <w:hyperlink w:anchor="_Toc35943032" w:history="1">
        <w:r w:rsidR="00EE284F" w:rsidRPr="00D739A7">
          <w:rPr>
            <w:rStyle w:val="Hyperlink"/>
            <w:lang w:val="en-GB"/>
          </w:rPr>
          <w:t>1.3c. Distribution of placements, based on the population of children with an official decision of SEN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_Toc35943032 \h </w:instrText>
        </w:r>
        <w:r w:rsidR="00EE284F" w:rsidRPr="00D739A7">
          <w:rPr>
            <w:webHidden/>
            <w:lang w:val="en-GB"/>
          </w:rPr>
        </w:r>
        <w:r w:rsidR="00EE284F" w:rsidRPr="00D739A7">
          <w:rPr>
            <w:webHidden/>
            <w:lang w:val="en-GB"/>
          </w:rPr>
          <w:fldChar w:fldCharType="separate"/>
        </w:r>
        <w:r w:rsidR="00EE284F" w:rsidRPr="00D739A7">
          <w:rPr>
            <w:webHidden/>
            <w:lang w:val="en-GB"/>
          </w:rPr>
          <w:t>38</w:t>
        </w:r>
        <w:r w:rsidR="00EE284F" w:rsidRPr="00D739A7">
          <w:rPr>
            <w:webHidden/>
            <w:lang w:val="en-GB"/>
          </w:rPr>
          <w:fldChar w:fldCharType="end"/>
        </w:r>
      </w:hyperlink>
    </w:p>
    <w:p w14:paraId="781CF1EB" w14:textId="31B3DFEE" w:rsidR="00EE284F" w:rsidRPr="00D739A7" w:rsidRDefault="00AC30F3">
      <w:pPr>
        <w:pStyle w:val="TOC3"/>
        <w:rPr>
          <w:rFonts w:asciiTheme="minorHAnsi" w:hAnsiTheme="minorHAnsi"/>
          <w:i w:val="0"/>
          <w:szCs w:val="24"/>
          <w:lang w:val="en-GB" w:eastAsia="en-GB"/>
        </w:rPr>
      </w:pPr>
      <w:hyperlink w:anchor="_Toc35943033" w:history="1">
        <w:r w:rsidR="00EE284F" w:rsidRPr="00D739A7">
          <w:rPr>
            <w:rStyle w:val="Hyperlink"/>
            <w:lang w:val="en-GB"/>
          </w:rPr>
          <w:t>Indicator 1.3c.1: the percentage of children with an official decision of SEN in inclusive education, based on the pre-primary population of children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_Toc35943033 \h </w:instrText>
        </w:r>
        <w:r w:rsidR="00EE284F" w:rsidRPr="00D739A7">
          <w:rPr>
            <w:webHidden/>
            <w:lang w:val="en-GB"/>
          </w:rPr>
        </w:r>
        <w:r w:rsidR="00EE284F" w:rsidRPr="00D739A7">
          <w:rPr>
            <w:webHidden/>
            <w:lang w:val="en-GB"/>
          </w:rPr>
          <w:fldChar w:fldCharType="separate"/>
        </w:r>
        <w:r w:rsidR="00EE284F" w:rsidRPr="00D739A7">
          <w:rPr>
            <w:webHidden/>
            <w:lang w:val="en-GB"/>
          </w:rPr>
          <w:t>39</w:t>
        </w:r>
        <w:r w:rsidR="00EE284F" w:rsidRPr="00D739A7">
          <w:rPr>
            <w:webHidden/>
            <w:lang w:val="en-GB"/>
          </w:rPr>
          <w:fldChar w:fldCharType="end"/>
        </w:r>
      </w:hyperlink>
    </w:p>
    <w:p w14:paraId="0979C6FA" w14:textId="7EDE4A18" w:rsidR="00EE284F" w:rsidRPr="00D739A7" w:rsidRDefault="00AC30F3">
      <w:pPr>
        <w:pStyle w:val="TOC3"/>
        <w:rPr>
          <w:rFonts w:asciiTheme="minorHAnsi" w:hAnsiTheme="minorHAnsi"/>
          <w:i w:val="0"/>
          <w:szCs w:val="24"/>
          <w:lang w:val="en-GB" w:eastAsia="en-GB"/>
        </w:rPr>
      </w:pPr>
      <w:hyperlink w:anchor="_Toc35943034" w:history="1">
        <w:r w:rsidR="00EE284F" w:rsidRPr="00D739A7">
          <w:rPr>
            <w:rStyle w:val="Hyperlink"/>
            <w:lang w:val="en-GB"/>
          </w:rPr>
          <w:t>Indicator 1.3c.2: the percentage of children with an official decision of SEN in special groups, based on the pre-primary population of children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_Toc35943034 \h </w:instrText>
        </w:r>
        <w:r w:rsidR="00EE284F" w:rsidRPr="00D739A7">
          <w:rPr>
            <w:webHidden/>
            <w:lang w:val="en-GB"/>
          </w:rPr>
        </w:r>
        <w:r w:rsidR="00EE284F" w:rsidRPr="00D739A7">
          <w:rPr>
            <w:webHidden/>
            <w:lang w:val="en-GB"/>
          </w:rPr>
          <w:fldChar w:fldCharType="separate"/>
        </w:r>
        <w:r w:rsidR="00EE284F" w:rsidRPr="00D739A7">
          <w:rPr>
            <w:webHidden/>
            <w:lang w:val="en-GB"/>
          </w:rPr>
          <w:t>42</w:t>
        </w:r>
        <w:r w:rsidR="00EE284F" w:rsidRPr="00D739A7">
          <w:rPr>
            <w:webHidden/>
            <w:lang w:val="en-GB"/>
          </w:rPr>
          <w:fldChar w:fldCharType="end"/>
        </w:r>
      </w:hyperlink>
    </w:p>
    <w:p w14:paraId="1FD30903" w14:textId="30CD64AB" w:rsidR="00EE284F" w:rsidRPr="00D739A7" w:rsidRDefault="00AC30F3">
      <w:pPr>
        <w:pStyle w:val="TOC3"/>
        <w:rPr>
          <w:rFonts w:asciiTheme="minorHAnsi" w:hAnsiTheme="minorHAnsi"/>
          <w:i w:val="0"/>
          <w:szCs w:val="24"/>
          <w:lang w:val="en-GB" w:eastAsia="en-GB"/>
        </w:rPr>
      </w:pPr>
      <w:hyperlink w:anchor="_Toc35943035" w:history="1">
        <w:r w:rsidR="00EE284F" w:rsidRPr="00D739A7">
          <w:rPr>
            <w:rStyle w:val="Hyperlink"/>
            <w:lang w:val="en-GB"/>
          </w:rPr>
          <w:t>Indicator 1.3c.3: the percentage of children with an official decision of SEN in special pre</w:t>
        </w:r>
        <w:r w:rsidR="00EE284F" w:rsidRPr="00D739A7">
          <w:rPr>
            <w:rStyle w:val="Hyperlink"/>
            <w:lang w:val="en-GB"/>
          </w:rPr>
          <w:noBreakHyphen/>
          <w:t xml:space="preserve">schools, based on the pre-primary population of children with an official decision </w:t>
        </w:r>
        <w:r w:rsidR="00EE284F" w:rsidRPr="00D739A7">
          <w:rPr>
            <w:rStyle w:val="Hyperlink"/>
            <w:lang w:val="en-GB"/>
          </w:rPr>
          <w:br/>
          <w:t>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_Toc35943035 \h </w:instrText>
        </w:r>
        <w:r w:rsidR="00EE284F" w:rsidRPr="00D739A7">
          <w:rPr>
            <w:webHidden/>
            <w:lang w:val="en-GB"/>
          </w:rPr>
        </w:r>
        <w:r w:rsidR="00EE284F" w:rsidRPr="00D739A7">
          <w:rPr>
            <w:webHidden/>
            <w:lang w:val="en-GB"/>
          </w:rPr>
          <w:fldChar w:fldCharType="separate"/>
        </w:r>
        <w:r w:rsidR="00EE284F" w:rsidRPr="00D739A7">
          <w:rPr>
            <w:webHidden/>
            <w:lang w:val="en-GB"/>
          </w:rPr>
          <w:t>45</w:t>
        </w:r>
        <w:r w:rsidR="00EE284F" w:rsidRPr="00D739A7">
          <w:rPr>
            <w:webHidden/>
            <w:lang w:val="en-GB"/>
          </w:rPr>
          <w:fldChar w:fldCharType="end"/>
        </w:r>
      </w:hyperlink>
    </w:p>
    <w:p w14:paraId="7E0D87A9" w14:textId="7A320598" w:rsidR="00EE284F" w:rsidRPr="00D739A7" w:rsidRDefault="00AC30F3">
      <w:pPr>
        <w:pStyle w:val="TOC3"/>
        <w:rPr>
          <w:rFonts w:asciiTheme="minorHAnsi" w:hAnsiTheme="minorHAnsi"/>
          <w:i w:val="0"/>
          <w:szCs w:val="24"/>
          <w:lang w:val="en-GB" w:eastAsia="en-GB"/>
        </w:rPr>
      </w:pPr>
      <w:hyperlink w:anchor="_Toc35943036" w:history="1">
        <w:r w:rsidR="00EE284F" w:rsidRPr="00D739A7">
          <w:rPr>
            <w:rStyle w:val="Hyperlink"/>
            <w:lang w:val="en-GB"/>
          </w:rPr>
          <w:t>Indicator 1.3c.5: the percentage of children with an official decision of SEN in fully separate educational settings, based on the pre-school population of children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_Toc35943036 \h </w:instrText>
        </w:r>
        <w:r w:rsidR="00EE284F" w:rsidRPr="00D739A7">
          <w:rPr>
            <w:webHidden/>
            <w:lang w:val="en-GB"/>
          </w:rPr>
        </w:r>
        <w:r w:rsidR="00EE284F" w:rsidRPr="00D739A7">
          <w:rPr>
            <w:webHidden/>
            <w:lang w:val="en-GB"/>
          </w:rPr>
          <w:fldChar w:fldCharType="separate"/>
        </w:r>
        <w:r w:rsidR="00EE284F" w:rsidRPr="00D739A7">
          <w:rPr>
            <w:webHidden/>
            <w:lang w:val="en-GB"/>
          </w:rPr>
          <w:t>48</w:t>
        </w:r>
        <w:r w:rsidR="00EE284F" w:rsidRPr="00D739A7">
          <w:rPr>
            <w:webHidden/>
            <w:lang w:val="en-GB"/>
          </w:rPr>
          <w:fldChar w:fldCharType="end"/>
        </w:r>
      </w:hyperlink>
    </w:p>
    <w:p w14:paraId="681A5AD9" w14:textId="60895E4F"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37" w:history="1">
        <w:r w:rsidR="00EE284F" w:rsidRPr="00D739A7">
          <w:rPr>
            <w:rStyle w:val="Hyperlink"/>
            <w:lang w:val="en-GB"/>
          </w:rPr>
          <w:t>Chapter 2: Primary and lower-secondary education (ISCED Levels 1 and 2)</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_Toc35943037 \h </w:instrText>
        </w:r>
        <w:r w:rsidR="00EE284F" w:rsidRPr="00D739A7">
          <w:rPr>
            <w:webHidden/>
            <w:lang w:val="en-GB"/>
          </w:rPr>
        </w:r>
        <w:r w:rsidR="00EE284F" w:rsidRPr="00D739A7">
          <w:rPr>
            <w:webHidden/>
            <w:lang w:val="en-GB"/>
          </w:rPr>
          <w:fldChar w:fldCharType="separate"/>
        </w:r>
        <w:r w:rsidR="00EE284F" w:rsidRPr="00D739A7">
          <w:rPr>
            <w:webHidden/>
            <w:lang w:val="en-GB"/>
          </w:rPr>
          <w:t>51</w:t>
        </w:r>
        <w:r w:rsidR="00EE284F" w:rsidRPr="00D739A7">
          <w:rPr>
            <w:webHidden/>
            <w:lang w:val="en-GB"/>
          </w:rPr>
          <w:fldChar w:fldCharType="end"/>
        </w:r>
      </w:hyperlink>
    </w:p>
    <w:p w14:paraId="561C2BCB" w14:textId="3DA84B3D"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38" w:history="1">
        <w:r w:rsidR="00EE284F" w:rsidRPr="00D739A7">
          <w:rPr>
            <w:rStyle w:val="Hyperlink"/>
            <w:lang w:val="en-GB"/>
          </w:rPr>
          <w:t>2.1. Population and Enrolment</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_Toc35943038 \h </w:instrText>
        </w:r>
        <w:r w:rsidR="00EE284F" w:rsidRPr="00D739A7">
          <w:rPr>
            <w:webHidden/>
            <w:lang w:val="en-GB"/>
          </w:rPr>
        </w:r>
        <w:r w:rsidR="00EE284F" w:rsidRPr="00D739A7">
          <w:rPr>
            <w:webHidden/>
            <w:lang w:val="en-GB"/>
          </w:rPr>
          <w:fldChar w:fldCharType="separate"/>
        </w:r>
        <w:r w:rsidR="00EE284F" w:rsidRPr="00D739A7">
          <w:rPr>
            <w:webHidden/>
            <w:lang w:val="en-GB"/>
          </w:rPr>
          <w:t>52</w:t>
        </w:r>
        <w:r w:rsidR="00EE284F" w:rsidRPr="00D739A7">
          <w:rPr>
            <w:webHidden/>
            <w:lang w:val="en-GB"/>
          </w:rPr>
          <w:fldChar w:fldCharType="end"/>
        </w:r>
      </w:hyperlink>
    </w:p>
    <w:p w14:paraId="11C8F958" w14:textId="66B6D8DB" w:rsidR="00EE284F" w:rsidRPr="00D739A7" w:rsidRDefault="00AC30F3">
      <w:pPr>
        <w:pStyle w:val="TOC2"/>
        <w:rPr>
          <w:rFonts w:asciiTheme="minorHAnsi" w:hAnsiTheme="minorHAnsi"/>
          <w:szCs w:val="24"/>
          <w:lang w:val="en-GB" w:eastAsia="en-GB"/>
        </w:rPr>
      </w:pPr>
      <w:hyperlink w:anchor="_Toc35943039" w:history="1">
        <w:r w:rsidR="00EE284F" w:rsidRPr="00D739A7">
          <w:rPr>
            <w:rStyle w:val="Hyperlink"/>
            <w:lang w:val="en-GB"/>
          </w:rPr>
          <w:t xml:space="preserve">Indicator 2.1.1: the enrolment rate in mainstream education, based on the enrolled </w:t>
        </w:r>
        <w:r w:rsidR="00EE284F" w:rsidRPr="00D739A7">
          <w:rPr>
            <w:rStyle w:val="Hyperlink"/>
            <w:lang w:val="en-GB"/>
          </w:rPr>
          <w:br/>
          <w:t>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_Toc35943039 \h </w:instrText>
        </w:r>
        <w:r w:rsidR="00EE284F" w:rsidRPr="00D739A7">
          <w:rPr>
            <w:webHidden/>
            <w:lang w:val="en-GB"/>
          </w:rPr>
        </w:r>
        <w:r w:rsidR="00EE284F" w:rsidRPr="00D739A7">
          <w:rPr>
            <w:webHidden/>
            <w:lang w:val="en-GB"/>
          </w:rPr>
          <w:fldChar w:fldCharType="separate"/>
        </w:r>
        <w:r w:rsidR="00EE284F" w:rsidRPr="00D739A7">
          <w:rPr>
            <w:webHidden/>
            <w:lang w:val="en-GB"/>
          </w:rPr>
          <w:t>53</w:t>
        </w:r>
        <w:r w:rsidR="00EE284F" w:rsidRPr="00D739A7">
          <w:rPr>
            <w:webHidden/>
            <w:lang w:val="en-GB"/>
          </w:rPr>
          <w:fldChar w:fldCharType="end"/>
        </w:r>
      </w:hyperlink>
    </w:p>
    <w:p w14:paraId="66125C57" w14:textId="39F71FBE" w:rsidR="00EE284F" w:rsidRPr="00D739A7" w:rsidRDefault="00AC30F3">
      <w:pPr>
        <w:pStyle w:val="TOC2"/>
        <w:rPr>
          <w:rFonts w:asciiTheme="minorHAnsi" w:hAnsiTheme="minorHAnsi"/>
          <w:szCs w:val="24"/>
          <w:lang w:val="en-GB" w:eastAsia="en-GB"/>
        </w:rPr>
      </w:pPr>
      <w:hyperlink w:anchor="_Toc35943040" w:history="1">
        <w:r w:rsidR="00EE284F" w:rsidRPr="00D739A7">
          <w:rPr>
            <w:rStyle w:val="Hyperlink"/>
            <w:lang w:val="en-GB"/>
          </w:rPr>
          <w:t>Indicator 2.1.2: the enrolment rate in inclusive education,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_Toc35943040 \h </w:instrText>
        </w:r>
        <w:r w:rsidR="00EE284F" w:rsidRPr="00D739A7">
          <w:rPr>
            <w:webHidden/>
            <w:lang w:val="en-GB"/>
          </w:rPr>
        </w:r>
        <w:r w:rsidR="00EE284F" w:rsidRPr="00D739A7">
          <w:rPr>
            <w:webHidden/>
            <w:lang w:val="en-GB"/>
          </w:rPr>
          <w:fldChar w:fldCharType="separate"/>
        </w:r>
        <w:r w:rsidR="00EE284F" w:rsidRPr="00D739A7">
          <w:rPr>
            <w:webHidden/>
            <w:lang w:val="en-GB"/>
          </w:rPr>
          <w:t>54</w:t>
        </w:r>
        <w:r w:rsidR="00EE284F" w:rsidRPr="00D739A7">
          <w:rPr>
            <w:webHidden/>
            <w:lang w:val="en-GB"/>
          </w:rPr>
          <w:fldChar w:fldCharType="end"/>
        </w:r>
      </w:hyperlink>
    </w:p>
    <w:p w14:paraId="696D585C" w14:textId="0B6C40A2"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41" w:history="1">
        <w:r w:rsidR="00EE284F" w:rsidRPr="00D739A7">
          <w:rPr>
            <w:rStyle w:val="Hyperlink"/>
            <w:lang w:val="en-GB"/>
          </w:rPr>
          <w:t>2.2. Age Samples</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_Toc35943041 \h </w:instrText>
        </w:r>
        <w:r w:rsidR="00EE284F" w:rsidRPr="00D739A7">
          <w:rPr>
            <w:webHidden/>
            <w:lang w:val="en-GB"/>
          </w:rPr>
        </w:r>
        <w:r w:rsidR="00EE284F" w:rsidRPr="00D739A7">
          <w:rPr>
            <w:webHidden/>
            <w:lang w:val="en-GB"/>
          </w:rPr>
          <w:fldChar w:fldCharType="separate"/>
        </w:r>
        <w:r w:rsidR="00EE284F" w:rsidRPr="00D739A7">
          <w:rPr>
            <w:webHidden/>
            <w:lang w:val="en-GB"/>
          </w:rPr>
          <w:t>55</w:t>
        </w:r>
        <w:r w:rsidR="00EE284F" w:rsidRPr="00D739A7">
          <w:rPr>
            <w:webHidden/>
            <w:lang w:val="en-GB"/>
          </w:rPr>
          <w:fldChar w:fldCharType="end"/>
        </w:r>
      </w:hyperlink>
    </w:p>
    <w:p w14:paraId="22E3AAB3" w14:textId="4DC9B8C8" w:rsidR="00EE284F" w:rsidRPr="00D739A7" w:rsidRDefault="00AC30F3">
      <w:pPr>
        <w:pStyle w:val="TOC2"/>
        <w:rPr>
          <w:rFonts w:asciiTheme="minorHAnsi" w:hAnsiTheme="minorHAnsi"/>
          <w:szCs w:val="24"/>
          <w:lang w:val="en-GB" w:eastAsia="en-GB"/>
        </w:rPr>
      </w:pPr>
      <w:hyperlink w:anchor="_Toc35943042" w:history="1">
        <w:r w:rsidR="00EE284F" w:rsidRPr="00D739A7">
          <w:rPr>
            <w:rStyle w:val="Hyperlink"/>
            <w:lang w:val="en-GB"/>
          </w:rPr>
          <w:t>Indicator 2.2.1: the age sample enrolment rate in mainstream education for 9-year-olds, based on the enrolled school population of 9-year-olds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_Toc35943042 \h </w:instrText>
        </w:r>
        <w:r w:rsidR="00EE284F" w:rsidRPr="00D739A7">
          <w:rPr>
            <w:webHidden/>
            <w:lang w:val="en-GB"/>
          </w:rPr>
        </w:r>
        <w:r w:rsidR="00EE284F" w:rsidRPr="00D739A7">
          <w:rPr>
            <w:webHidden/>
            <w:lang w:val="en-GB"/>
          </w:rPr>
          <w:fldChar w:fldCharType="separate"/>
        </w:r>
        <w:r w:rsidR="00EE284F" w:rsidRPr="00D739A7">
          <w:rPr>
            <w:webHidden/>
            <w:lang w:val="en-GB"/>
          </w:rPr>
          <w:t>56</w:t>
        </w:r>
        <w:r w:rsidR="00EE284F" w:rsidRPr="00D739A7">
          <w:rPr>
            <w:webHidden/>
            <w:lang w:val="en-GB"/>
          </w:rPr>
          <w:fldChar w:fldCharType="end"/>
        </w:r>
      </w:hyperlink>
    </w:p>
    <w:p w14:paraId="13185060" w14:textId="0FAA3C80" w:rsidR="00EE284F" w:rsidRPr="00D739A7" w:rsidRDefault="00AC30F3">
      <w:pPr>
        <w:pStyle w:val="TOC2"/>
        <w:rPr>
          <w:rFonts w:asciiTheme="minorHAnsi" w:hAnsiTheme="minorHAnsi"/>
          <w:szCs w:val="24"/>
          <w:lang w:val="en-GB" w:eastAsia="en-GB"/>
        </w:rPr>
      </w:pPr>
      <w:hyperlink w:anchor="_Toc35943043" w:history="1">
        <w:r w:rsidR="00EE284F" w:rsidRPr="00D739A7">
          <w:rPr>
            <w:rStyle w:val="Hyperlink"/>
            <w:lang w:val="en-GB"/>
          </w:rPr>
          <w:t xml:space="preserve">Indicator 2.2.2: the age sample enrolment rate in mainstream education for </w:t>
        </w:r>
        <w:r w:rsidR="00EE284F" w:rsidRPr="00D739A7">
          <w:rPr>
            <w:rStyle w:val="Hyperlink"/>
            <w:lang w:val="en-GB"/>
          </w:rPr>
          <w:br/>
          <w:t>15-year-olds, based on the enrolled school population of 15-year-olds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_Toc35943043 \h </w:instrText>
        </w:r>
        <w:r w:rsidR="00EE284F" w:rsidRPr="00D739A7">
          <w:rPr>
            <w:webHidden/>
            <w:lang w:val="en-GB"/>
          </w:rPr>
        </w:r>
        <w:r w:rsidR="00EE284F" w:rsidRPr="00D739A7">
          <w:rPr>
            <w:webHidden/>
            <w:lang w:val="en-GB"/>
          </w:rPr>
          <w:fldChar w:fldCharType="separate"/>
        </w:r>
        <w:r w:rsidR="00EE284F" w:rsidRPr="00D739A7">
          <w:rPr>
            <w:webHidden/>
            <w:lang w:val="en-GB"/>
          </w:rPr>
          <w:t>57</w:t>
        </w:r>
        <w:r w:rsidR="00EE284F" w:rsidRPr="00D739A7">
          <w:rPr>
            <w:webHidden/>
            <w:lang w:val="en-GB"/>
          </w:rPr>
          <w:fldChar w:fldCharType="end"/>
        </w:r>
      </w:hyperlink>
    </w:p>
    <w:p w14:paraId="26D020F5" w14:textId="10DFC668" w:rsidR="00EE284F" w:rsidRPr="00D739A7" w:rsidRDefault="00AC30F3">
      <w:pPr>
        <w:pStyle w:val="TOC2"/>
        <w:rPr>
          <w:rFonts w:asciiTheme="minorHAnsi" w:hAnsiTheme="minorHAnsi"/>
          <w:szCs w:val="24"/>
          <w:lang w:val="en-GB" w:eastAsia="en-GB"/>
        </w:rPr>
      </w:pPr>
      <w:hyperlink w:anchor="_Toc35943044" w:history="1">
        <w:r w:rsidR="00EE284F" w:rsidRPr="00D739A7">
          <w:rPr>
            <w:rStyle w:val="Hyperlink"/>
            <w:lang w:val="en-GB"/>
          </w:rPr>
          <w:t xml:space="preserve">Indicator 2.2.3: the age sample enrolment rate in inclusive education for 9-year-olds, </w:t>
        </w:r>
        <w:r w:rsidR="00EE284F" w:rsidRPr="00D739A7">
          <w:rPr>
            <w:rStyle w:val="Hyperlink"/>
            <w:lang w:val="en-GB"/>
          </w:rPr>
          <w:br/>
          <w:t>based on the enrolled school population of 9-year-olds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_Toc35943044 \h </w:instrText>
        </w:r>
        <w:r w:rsidR="00EE284F" w:rsidRPr="00D739A7">
          <w:rPr>
            <w:webHidden/>
            <w:lang w:val="en-GB"/>
          </w:rPr>
        </w:r>
        <w:r w:rsidR="00EE284F" w:rsidRPr="00D739A7">
          <w:rPr>
            <w:webHidden/>
            <w:lang w:val="en-GB"/>
          </w:rPr>
          <w:fldChar w:fldCharType="separate"/>
        </w:r>
        <w:r w:rsidR="00EE284F" w:rsidRPr="00D739A7">
          <w:rPr>
            <w:webHidden/>
            <w:lang w:val="en-GB"/>
          </w:rPr>
          <w:t>58</w:t>
        </w:r>
        <w:r w:rsidR="00EE284F" w:rsidRPr="00D739A7">
          <w:rPr>
            <w:webHidden/>
            <w:lang w:val="en-GB"/>
          </w:rPr>
          <w:fldChar w:fldCharType="end"/>
        </w:r>
      </w:hyperlink>
    </w:p>
    <w:p w14:paraId="198D25AE" w14:textId="1F381AF5" w:rsidR="00EE284F" w:rsidRPr="00D739A7" w:rsidRDefault="00AC30F3">
      <w:pPr>
        <w:pStyle w:val="TOC2"/>
        <w:rPr>
          <w:rFonts w:asciiTheme="minorHAnsi" w:hAnsiTheme="minorHAnsi"/>
          <w:szCs w:val="24"/>
          <w:lang w:val="en-GB" w:eastAsia="en-GB"/>
        </w:rPr>
      </w:pPr>
      <w:hyperlink w:anchor="_Toc35943045" w:history="1">
        <w:r w:rsidR="00EE284F" w:rsidRPr="00D739A7">
          <w:rPr>
            <w:rStyle w:val="Hyperlink"/>
            <w:lang w:val="en-GB"/>
          </w:rPr>
          <w:t>Indicator 2.2.4: the age sample enrolment rate in inclusive education for 15-year-olds, based on the enrolled school population of 15-year-olds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_Toc35943045 \h </w:instrText>
        </w:r>
        <w:r w:rsidR="00EE284F" w:rsidRPr="00D739A7">
          <w:rPr>
            <w:webHidden/>
            <w:lang w:val="en-GB"/>
          </w:rPr>
        </w:r>
        <w:r w:rsidR="00EE284F" w:rsidRPr="00D739A7">
          <w:rPr>
            <w:webHidden/>
            <w:lang w:val="en-GB"/>
          </w:rPr>
          <w:fldChar w:fldCharType="separate"/>
        </w:r>
        <w:r w:rsidR="00EE284F" w:rsidRPr="00D739A7">
          <w:rPr>
            <w:webHidden/>
            <w:lang w:val="en-GB"/>
          </w:rPr>
          <w:t>59</w:t>
        </w:r>
        <w:r w:rsidR="00EE284F" w:rsidRPr="00D739A7">
          <w:rPr>
            <w:webHidden/>
            <w:lang w:val="en-GB"/>
          </w:rPr>
          <w:fldChar w:fldCharType="end"/>
        </w:r>
      </w:hyperlink>
    </w:p>
    <w:p w14:paraId="56EB5369" w14:textId="38A1A3BB"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46" w:history="1">
        <w:r w:rsidR="00EE284F" w:rsidRPr="00D739A7">
          <w:rPr>
            <w:rStyle w:val="Hyperlink"/>
            <w:lang w:val="en-GB"/>
          </w:rPr>
          <w:t>2.3. Learners with an official decision of SEN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_Toc35943046 \h </w:instrText>
        </w:r>
        <w:r w:rsidR="00EE284F" w:rsidRPr="00D739A7">
          <w:rPr>
            <w:webHidden/>
            <w:lang w:val="en-GB"/>
          </w:rPr>
        </w:r>
        <w:r w:rsidR="00EE284F" w:rsidRPr="00D739A7">
          <w:rPr>
            <w:webHidden/>
            <w:lang w:val="en-GB"/>
          </w:rPr>
          <w:fldChar w:fldCharType="separate"/>
        </w:r>
        <w:r w:rsidR="00EE284F" w:rsidRPr="00D739A7">
          <w:rPr>
            <w:webHidden/>
            <w:lang w:val="en-GB"/>
          </w:rPr>
          <w:t>60</w:t>
        </w:r>
        <w:r w:rsidR="00EE284F" w:rsidRPr="00D739A7">
          <w:rPr>
            <w:webHidden/>
            <w:lang w:val="en-GB"/>
          </w:rPr>
          <w:fldChar w:fldCharType="end"/>
        </w:r>
      </w:hyperlink>
    </w:p>
    <w:p w14:paraId="1CEBBCC3" w14:textId="14A5232A" w:rsidR="00EE284F" w:rsidRPr="00D739A7" w:rsidRDefault="00AC30F3">
      <w:pPr>
        <w:pStyle w:val="TOC2"/>
        <w:rPr>
          <w:rFonts w:asciiTheme="minorHAnsi" w:hAnsiTheme="minorHAnsi"/>
          <w:szCs w:val="24"/>
          <w:lang w:val="en-GB" w:eastAsia="en-GB"/>
        </w:rPr>
      </w:pPr>
      <w:hyperlink w:anchor="_Toc35943047" w:history="1">
        <w:r w:rsidR="00EE284F" w:rsidRPr="00D739A7">
          <w:rPr>
            <w:rStyle w:val="Hyperlink"/>
            <w:lang w:val="en-GB"/>
          </w:rPr>
          <w:t>2.3a. Identification rates</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_Toc35943047 \h </w:instrText>
        </w:r>
        <w:r w:rsidR="00EE284F" w:rsidRPr="00D739A7">
          <w:rPr>
            <w:webHidden/>
            <w:lang w:val="en-GB"/>
          </w:rPr>
        </w:r>
        <w:r w:rsidR="00EE284F" w:rsidRPr="00D739A7">
          <w:rPr>
            <w:webHidden/>
            <w:lang w:val="en-GB"/>
          </w:rPr>
          <w:fldChar w:fldCharType="separate"/>
        </w:r>
        <w:r w:rsidR="00EE284F" w:rsidRPr="00D739A7">
          <w:rPr>
            <w:webHidden/>
            <w:lang w:val="en-GB"/>
          </w:rPr>
          <w:t>61</w:t>
        </w:r>
        <w:r w:rsidR="00EE284F" w:rsidRPr="00D739A7">
          <w:rPr>
            <w:webHidden/>
            <w:lang w:val="en-GB"/>
          </w:rPr>
          <w:fldChar w:fldCharType="end"/>
        </w:r>
      </w:hyperlink>
    </w:p>
    <w:p w14:paraId="1AB5419C" w14:textId="73CB3754" w:rsidR="00EE284F" w:rsidRPr="00D739A7" w:rsidRDefault="00AC30F3">
      <w:pPr>
        <w:pStyle w:val="TOC3"/>
        <w:rPr>
          <w:rFonts w:asciiTheme="minorHAnsi" w:hAnsiTheme="minorHAnsi"/>
          <w:i w:val="0"/>
          <w:szCs w:val="24"/>
          <w:lang w:val="en-GB" w:eastAsia="en-GB"/>
        </w:rPr>
      </w:pPr>
      <w:hyperlink w:anchor="_Toc35943048" w:history="1">
        <w:r w:rsidR="00EE284F" w:rsidRPr="00D739A7">
          <w:rPr>
            <w:rStyle w:val="Hyperlink"/>
            <w:lang w:val="en-GB"/>
          </w:rPr>
          <w:t xml:space="preserve">Indicator 2.3a.1: the percentage of learners with an official decision of SEN, based on </w:t>
        </w:r>
        <w:r w:rsidR="00EE284F" w:rsidRPr="00D739A7">
          <w:rPr>
            <w:rStyle w:val="Hyperlink"/>
            <w:lang w:val="en-GB"/>
          </w:rPr>
          <w:br/>
          <w:t>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_Toc35943048 \h </w:instrText>
        </w:r>
        <w:r w:rsidR="00EE284F" w:rsidRPr="00D739A7">
          <w:rPr>
            <w:webHidden/>
            <w:lang w:val="en-GB"/>
          </w:rPr>
        </w:r>
        <w:r w:rsidR="00EE284F" w:rsidRPr="00D739A7">
          <w:rPr>
            <w:webHidden/>
            <w:lang w:val="en-GB"/>
          </w:rPr>
          <w:fldChar w:fldCharType="separate"/>
        </w:r>
        <w:r w:rsidR="00EE284F" w:rsidRPr="00D739A7">
          <w:rPr>
            <w:webHidden/>
            <w:lang w:val="en-GB"/>
          </w:rPr>
          <w:t>61</w:t>
        </w:r>
        <w:r w:rsidR="00EE284F" w:rsidRPr="00D739A7">
          <w:rPr>
            <w:webHidden/>
            <w:lang w:val="en-GB"/>
          </w:rPr>
          <w:fldChar w:fldCharType="end"/>
        </w:r>
      </w:hyperlink>
    </w:p>
    <w:p w14:paraId="36A2BD10" w14:textId="56169085" w:rsidR="00EE284F" w:rsidRPr="00D739A7" w:rsidRDefault="00AC30F3">
      <w:pPr>
        <w:pStyle w:val="TOC2"/>
        <w:rPr>
          <w:rFonts w:asciiTheme="minorHAnsi" w:hAnsiTheme="minorHAnsi"/>
          <w:szCs w:val="24"/>
          <w:lang w:val="en-GB" w:eastAsia="en-GB"/>
        </w:rPr>
      </w:pPr>
      <w:hyperlink w:anchor="_Toc35943049" w:history="1">
        <w:r w:rsidR="00EE284F" w:rsidRPr="00D739A7">
          <w:rPr>
            <w:rStyle w:val="Hyperlink"/>
            <w:lang w:val="en-GB"/>
          </w:rPr>
          <w:t xml:space="preserve">2.3b. Distribution of placements of learners with an official decision of SEN, based on </w:t>
        </w:r>
        <w:r w:rsidR="00EE284F" w:rsidRPr="00D739A7">
          <w:rPr>
            <w:rStyle w:val="Hyperlink"/>
            <w:lang w:val="en-GB"/>
          </w:rPr>
          <w:br/>
          <w:t>the enrolled school population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_Toc35943049 \h </w:instrText>
        </w:r>
        <w:r w:rsidR="00EE284F" w:rsidRPr="00D739A7">
          <w:rPr>
            <w:webHidden/>
            <w:lang w:val="en-GB"/>
          </w:rPr>
        </w:r>
        <w:r w:rsidR="00EE284F" w:rsidRPr="00D739A7">
          <w:rPr>
            <w:webHidden/>
            <w:lang w:val="en-GB"/>
          </w:rPr>
          <w:fldChar w:fldCharType="separate"/>
        </w:r>
        <w:r w:rsidR="00EE284F" w:rsidRPr="00D739A7">
          <w:rPr>
            <w:webHidden/>
            <w:lang w:val="en-GB"/>
          </w:rPr>
          <w:t>66</w:t>
        </w:r>
        <w:r w:rsidR="00EE284F" w:rsidRPr="00D739A7">
          <w:rPr>
            <w:webHidden/>
            <w:lang w:val="en-GB"/>
          </w:rPr>
          <w:fldChar w:fldCharType="end"/>
        </w:r>
      </w:hyperlink>
    </w:p>
    <w:p w14:paraId="1C3BDBEB" w14:textId="65BCD81E" w:rsidR="00EE284F" w:rsidRPr="00D739A7" w:rsidRDefault="00AC30F3">
      <w:pPr>
        <w:pStyle w:val="TOC3"/>
        <w:rPr>
          <w:rFonts w:asciiTheme="minorHAnsi" w:hAnsiTheme="minorHAnsi"/>
          <w:i w:val="0"/>
          <w:szCs w:val="24"/>
          <w:lang w:val="en-GB" w:eastAsia="en-GB"/>
        </w:rPr>
      </w:pPr>
      <w:hyperlink w:anchor="_Toc35943050" w:history="1">
        <w:r w:rsidR="00EE284F" w:rsidRPr="00D739A7">
          <w:rPr>
            <w:rStyle w:val="Hyperlink"/>
            <w:lang w:val="en-GB"/>
          </w:rPr>
          <w:t>Indicator 2.3b.1: the percentage of learners with an official decision of SEN in inclusive settings,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_Toc35943050 \h </w:instrText>
        </w:r>
        <w:r w:rsidR="00EE284F" w:rsidRPr="00D739A7">
          <w:rPr>
            <w:webHidden/>
            <w:lang w:val="en-GB"/>
          </w:rPr>
        </w:r>
        <w:r w:rsidR="00EE284F" w:rsidRPr="00D739A7">
          <w:rPr>
            <w:webHidden/>
            <w:lang w:val="en-GB"/>
          </w:rPr>
          <w:fldChar w:fldCharType="separate"/>
        </w:r>
        <w:r w:rsidR="00EE284F" w:rsidRPr="00D739A7">
          <w:rPr>
            <w:webHidden/>
            <w:lang w:val="en-GB"/>
          </w:rPr>
          <w:t>67</w:t>
        </w:r>
        <w:r w:rsidR="00EE284F" w:rsidRPr="00D739A7">
          <w:rPr>
            <w:webHidden/>
            <w:lang w:val="en-GB"/>
          </w:rPr>
          <w:fldChar w:fldCharType="end"/>
        </w:r>
      </w:hyperlink>
    </w:p>
    <w:p w14:paraId="3F707653" w14:textId="004883F6" w:rsidR="00EE284F" w:rsidRPr="00D739A7" w:rsidRDefault="00AC30F3">
      <w:pPr>
        <w:pStyle w:val="TOC3"/>
        <w:rPr>
          <w:rFonts w:asciiTheme="minorHAnsi" w:hAnsiTheme="minorHAnsi"/>
          <w:i w:val="0"/>
          <w:szCs w:val="24"/>
          <w:lang w:val="en-GB" w:eastAsia="en-GB"/>
        </w:rPr>
      </w:pPr>
      <w:hyperlink w:anchor="_Toc35943051" w:history="1">
        <w:r w:rsidR="00EE284F" w:rsidRPr="00D739A7">
          <w:rPr>
            <w:rStyle w:val="Hyperlink"/>
            <w:lang w:val="en-GB"/>
          </w:rPr>
          <w:t>Indicator 2.3b.2: the percentage of learners with an official decision of SEN in special classes in mainstream schools,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_Toc35943051 \h </w:instrText>
        </w:r>
        <w:r w:rsidR="00EE284F" w:rsidRPr="00D739A7">
          <w:rPr>
            <w:webHidden/>
            <w:lang w:val="en-GB"/>
          </w:rPr>
        </w:r>
        <w:r w:rsidR="00EE284F" w:rsidRPr="00D739A7">
          <w:rPr>
            <w:webHidden/>
            <w:lang w:val="en-GB"/>
          </w:rPr>
          <w:fldChar w:fldCharType="separate"/>
        </w:r>
        <w:r w:rsidR="00EE284F" w:rsidRPr="00D739A7">
          <w:rPr>
            <w:webHidden/>
            <w:lang w:val="en-GB"/>
          </w:rPr>
          <w:t>72</w:t>
        </w:r>
        <w:r w:rsidR="00EE284F" w:rsidRPr="00D739A7">
          <w:rPr>
            <w:webHidden/>
            <w:lang w:val="en-GB"/>
          </w:rPr>
          <w:fldChar w:fldCharType="end"/>
        </w:r>
      </w:hyperlink>
    </w:p>
    <w:p w14:paraId="58783195" w14:textId="5B080C62" w:rsidR="00EE284F" w:rsidRPr="00D739A7" w:rsidRDefault="00AC30F3">
      <w:pPr>
        <w:pStyle w:val="TOC3"/>
        <w:rPr>
          <w:rFonts w:asciiTheme="minorHAnsi" w:hAnsiTheme="minorHAnsi"/>
          <w:i w:val="0"/>
          <w:szCs w:val="24"/>
          <w:lang w:val="en-GB" w:eastAsia="en-GB"/>
        </w:rPr>
      </w:pPr>
      <w:hyperlink w:anchor="_Toc35943052" w:history="1">
        <w:r w:rsidR="00EE284F" w:rsidRPr="00D739A7">
          <w:rPr>
            <w:rStyle w:val="Hyperlink"/>
            <w:lang w:val="en-GB"/>
          </w:rPr>
          <w:t>Indicator 2.3b.3: the percentage of learners with an official decision of SEN in special schools,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_Toc35943052 \h </w:instrText>
        </w:r>
        <w:r w:rsidR="00EE284F" w:rsidRPr="00D739A7">
          <w:rPr>
            <w:webHidden/>
            <w:lang w:val="en-GB"/>
          </w:rPr>
        </w:r>
        <w:r w:rsidR="00EE284F" w:rsidRPr="00D739A7">
          <w:rPr>
            <w:webHidden/>
            <w:lang w:val="en-GB"/>
          </w:rPr>
          <w:fldChar w:fldCharType="separate"/>
        </w:r>
        <w:r w:rsidR="00EE284F" w:rsidRPr="00D739A7">
          <w:rPr>
            <w:webHidden/>
            <w:lang w:val="en-GB"/>
          </w:rPr>
          <w:t>77</w:t>
        </w:r>
        <w:r w:rsidR="00EE284F" w:rsidRPr="00D739A7">
          <w:rPr>
            <w:webHidden/>
            <w:lang w:val="en-GB"/>
          </w:rPr>
          <w:fldChar w:fldCharType="end"/>
        </w:r>
      </w:hyperlink>
    </w:p>
    <w:p w14:paraId="1612FC65" w14:textId="045DFFC3" w:rsidR="00EE284F" w:rsidRPr="00D739A7" w:rsidRDefault="00AC30F3">
      <w:pPr>
        <w:pStyle w:val="TOC3"/>
        <w:rPr>
          <w:rFonts w:asciiTheme="minorHAnsi" w:hAnsiTheme="minorHAnsi"/>
          <w:i w:val="0"/>
          <w:szCs w:val="24"/>
          <w:lang w:val="en-GB" w:eastAsia="en-GB"/>
        </w:rPr>
      </w:pPr>
      <w:hyperlink w:anchor="_Toc35943053" w:history="1">
        <w:r w:rsidR="00EE284F" w:rsidRPr="00D739A7">
          <w:rPr>
            <w:rStyle w:val="Hyperlink"/>
            <w:lang w:val="en-GB"/>
          </w:rPr>
          <w:t>Indicator 2.3b.5: the percentage of learners with an official decision of SEN in fully separate educational settings,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_Toc35943053 \h </w:instrText>
        </w:r>
        <w:r w:rsidR="00EE284F" w:rsidRPr="00D739A7">
          <w:rPr>
            <w:webHidden/>
            <w:lang w:val="en-GB"/>
          </w:rPr>
        </w:r>
        <w:r w:rsidR="00EE284F" w:rsidRPr="00D739A7">
          <w:rPr>
            <w:webHidden/>
            <w:lang w:val="en-GB"/>
          </w:rPr>
          <w:fldChar w:fldCharType="separate"/>
        </w:r>
        <w:r w:rsidR="00EE284F" w:rsidRPr="00D739A7">
          <w:rPr>
            <w:webHidden/>
            <w:lang w:val="en-GB"/>
          </w:rPr>
          <w:t>82</w:t>
        </w:r>
        <w:r w:rsidR="00EE284F" w:rsidRPr="00D739A7">
          <w:rPr>
            <w:webHidden/>
            <w:lang w:val="en-GB"/>
          </w:rPr>
          <w:fldChar w:fldCharType="end"/>
        </w:r>
      </w:hyperlink>
    </w:p>
    <w:p w14:paraId="71696B4E" w14:textId="01E027A5" w:rsidR="00EE284F" w:rsidRPr="00D739A7" w:rsidRDefault="00AC30F3">
      <w:pPr>
        <w:pStyle w:val="TOC2"/>
        <w:rPr>
          <w:rFonts w:asciiTheme="minorHAnsi" w:hAnsiTheme="minorHAnsi"/>
          <w:szCs w:val="24"/>
          <w:lang w:val="en-GB" w:eastAsia="en-GB"/>
        </w:rPr>
      </w:pPr>
      <w:hyperlink w:anchor="_Toc35943054" w:history="1">
        <w:r w:rsidR="00EE284F" w:rsidRPr="00D739A7">
          <w:rPr>
            <w:rStyle w:val="Hyperlink"/>
            <w:lang w:val="en-GB"/>
          </w:rPr>
          <w:t>2.3c. Distribution of placements, based on the population of learners with an official decision of SEN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_Toc35943054 \h </w:instrText>
        </w:r>
        <w:r w:rsidR="00EE284F" w:rsidRPr="00D739A7">
          <w:rPr>
            <w:webHidden/>
            <w:lang w:val="en-GB"/>
          </w:rPr>
        </w:r>
        <w:r w:rsidR="00EE284F" w:rsidRPr="00D739A7">
          <w:rPr>
            <w:webHidden/>
            <w:lang w:val="en-GB"/>
          </w:rPr>
          <w:fldChar w:fldCharType="separate"/>
        </w:r>
        <w:r w:rsidR="00EE284F" w:rsidRPr="00D739A7">
          <w:rPr>
            <w:webHidden/>
            <w:lang w:val="en-GB"/>
          </w:rPr>
          <w:t>87</w:t>
        </w:r>
        <w:r w:rsidR="00EE284F" w:rsidRPr="00D739A7">
          <w:rPr>
            <w:webHidden/>
            <w:lang w:val="en-GB"/>
          </w:rPr>
          <w:fldChar w:fldCharType="end"/>
        </w:r>
      </w:hyperlink>
    </w:p>
    <w:p w14:paraId="74468D83" w14:textId="2487DAF1" w:rsidR="00EE284F" w:rsidRPr="00D739A7" w:rsidRDefault="00AC30F3">
      <w:pPr>
        <w:pStyle w:val="TOC3"/>
        <w:rPr>
          <w:rFonts w:asciiTheme="minorHAnsi" w:hAnsiTheme="minorHAnsi"/>
          <w:i w:val="0"/>
          <w:szCs w:val="24"/>
          <w:lang w:val="en-GB" w:eastAsia="en-GB"/>
        </w:rPr>
      </w:pPr>
      <w:hyperlink w:anchor="_Toc35943055" w:history="1">
        <w:r w:rsidR="00EE284F" w:rsidRPr="00D739A7">
          <w:rPr>
            <w:rStyle w:val="Hyperlink"/>
            <w:lang w:val="en-GB"/>
          </w:rPr>
          <w:t>Indicator 2.3c.1: the percentage of learners with an official decision of SEN in inclusive education,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_Toc35943055 \h </w:instrText>
        </w:r>
        <w:r w:rsidR="00EE284F" w:rsidRPr="00D739A7">
          <w:rPr>
            <w:webHidden/>
            <w:lang w:val="en-GB"/>
          </w:rPr>
        </w:r>
        <w:r w:rsidR="00EE284F" w:rsidRPr="00D739A7">
          <w:rPr>
            <w:webHidden/>
            <w:lang w:val="en-GB"/>
          </w:rPr>
          <w:fldChar w:fldCharType="separate"/>
        </w:r>
        <w:r w:rsidR="00EE284F" w:rsidRPr="00D739A7">
          <w:rPr>
            <w:webHidden/>
            <w:lang w:val="en-GB"/>
          </w:rPr>
          <w:t>88</w:t>
        </w:r>
        <w:r w:rsidR="00EE284F" w:rsidRPr="00D739A7">
          <w:rPr>
            <w:webHidden/>
            <w:lang w:val="en-GB"/>
          </w:rPr>
          <w:fldChar w:fldCharType="end"/>
        </w:r>
      </w:hyperlink>
    </w:p>
    <w:p w14:paraId="51AFD64C" w14:textId="00372341" w:rsidR="00EE284F" w:rsidRPr="00D739A7" w:rsidRDefault="00AC30F3">
      <w:pPr>
        <w:pStyle w:val="TOC3"/>
        <w:rPr>
          <w:rFonts w:asciiTheme="minorHAnsi" w:hAnsiTheme="minorHAnsi"/>
          <w:i w:val="0"/>
          <w:szCs w:val="24"/>
          <w:lang w:val="en-GB" w:eastAsia="en-GB"/>
        </w:rPr>
      </w:pPr>
      <w:hyperlink w:anchor="_Toc35943056" w:history="1">
        <w:r w:rsidR="00EE284F" w:rsidRPr="00D739A7">
          <w:rPr>
            <w:rStyle w:val="Hyperlink"/>
            <w:lang w:val="en-GB"/>
          </w:rPr>
          <w:t>Indicator 2.3c.2: the percentage of learners with an official decision of SEN in special classes,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_Toc35943056 \h </w:instrText>
        </w:r>
        <w:r w:rsidR="00EE284F" w:rsidRPr="00D739A7">
          <w:rPr>
            <w:webHidden/>
            <w:lang w:val="en-GB"/>
          </w:rPr>
        </w:r>
        <w:r w:rsidR="00EE284F" w:rsidRPr="00D739A7">
          <w:rPr>
            <w:webHidden/>
            <w:lang w:val="en-GB"/>
          </w:rPr>
          <w:fldChar w:fldCharType="separate"/>
        </w:r>
        <w:r w:rsidR="00EE284F" w:rsidRPr="00D739A7">
          <w:rPr>
            <w:webHidden/>
            <w:lang w:val="en-GB"/>
          </w:rPr>
          <w:t>93</w:t>
        </w:r>
        <w:r w:rsidR="00EE284F" w:rsidRPr="00D739A7">
          <w:rPr>
            <w:webHidden/>
            <w:lang w:val="en-GB"/>
          </w:rPr>
          <w:fldChar w:fldCharType="end"/>
        </w:r>
      </w:hyperlink>
    </w:p>
    <w:p w14:paraId="61BCF740" w14:textId="109C905A" w:rsidR="00EE284F" w:rsidRPr="00D739A7" w:rsidRDefault="00AC30F3">
      <w:pPr>
        <w:pStyle w:val="TOC3"/>
        <w:rPr>
          <w:rFonts w:asciiTheme="minorHAnsi" w:hAnsiTheme="minorHAnsi"/>
          <w:i w:val="0"/>
          <w:szCs w:val="24"/>
          <w:lang w:val="en-GB" w:eastAsia="en-GB"/>
        </w:rPr>
      </w:pPr>
      <w:hyperlink w:anchor="_Toc35943057" w:history="1">
        <w:r w:rsidR="00EE284F" w:rsidRPr="00D739A7">
          <w:rPr>
            <w:rStyle w:val="Hyperlink"/>
            <w:lang w:val="en-GB"/>
          </w:rPr>
          <w:t>Indicator 2.3c.3: the percentage of learners with an official decision of SEN in special schools,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_Toc35943057 \h </w:instrText>
        </w:r>
        <w:r w:rsidR="00EE284F" w:rsidRPr="00D739A7">
          <w:rPr>
            <w:webHidden/>
            <w:lang w:val="en-GB"/>
          </w:rPr>
        </w:r>
        <w:r w:rsidR="00EE284F" w:rsidRPr="00D739A7">
          <w:rPr>
            <w:webHidden/>
            <w:lang w:val="en-GB"/>
          </w:rPr>
          <w:fldChar w:fldCharType="separate"/>
        </w:r>
        <w:r w:rsidR="00EE284F" w:rsidRPr="00D739A7">
          <w:rPr>
            <w:webHidden/>
            <w:lang w:val="en-GB"/>
          </w:rPr>
          <w:t>98</w:t>
        </w:r>
        <w:r w:rsidR="00EE284F" w:rsidRPr="00D739A7">
          <w:rPr>
            <w:webHidden/>
            <w:lang w:val="en-GB"/>
          </w:rPr>
          <w:fldChar w:fldCharType="end"/>
        </w:r>
      </w:hyperlink>
    </w:p>
    <w:p w14:paraId="296643B1" w14:textId="5C6B3CAE" w:rsidR="00EE284F" w:rsidRPr="00D739A7" w:rsidRDefault="00AC30F3">
      <w:pPr>
        <w:pStyle w:val="TOC3"/>
        <w:rPr>
          <w:rFonts w:asciiTheme="minorHAnsi" w:hAnsiTheme="minorHAnsi"/>
          <w:i w:val="0"/>
          <w:szCs w:val="24"/>
          <w:lang w:val="en-GB" w:eastAsia="en-GB"/>
        </w:rPr>
      </w:pPr>
      <w:hyperlink w:anchor="_Toc35943058" w:history="1">
        <w:r w:rsidR="00EE284F" w:rsidRPr="00D739A7">
          <w:rPr>
            <w:rStyle w:val="Hyperlink"/>
            <w:lang w:val="en-GB"/>
          </w:rPr>
          <w:t>Indicator 2.3c.5: the percentage of learners with an official decision of SEN in fully separate educational settings,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_Toc35943058 \h </w:instrText>
        </w:r>
        <w:r w:rsidR="00EE284F" w:rsidRPr="00D739A7">
          <w:rPr>
            <w:webHidden/>
            <w:lang w:val="en-GB"/>
          </w:rPr>
        </w:r>
        <w:r w:rsidR="00EE284F" w:rsidRPr="00D739A7">
          <w:rPr>
            <w:webHidden/>
            <w:lang w:val="en-GB"/>
          </w:rPr>
          <w:fldChar w:fldCharType="separate"/>
        </w:r>
        <w:r w:rsidR="00EE284F" w:rsidRPr="00D739A7">
          <w:rPr>
            <w:webHidden/>
            <w:lang w:val="en-GB"/>
          </w:rPr>
          <w:t>103</w:t>
        </w:r>
        <w:r w:rsidR="00EE284F" w:rsidRPr="00D739A7">
          <w:rPr>
            <w:webHidden/>
            <w:lang w:val="en-GB"/>
          </w:rPr>
          <w:fldChar w:fldCharType="end"/>
        </w:r>
      </w:hyperlink>
    </w:p>
    <w:p w14:paraId="533FB74A" w14:textId="289FBB9B"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59" w:history="1">
        <w:r w:rsidR="00EE284F" w:rsidRPr="00D739A7">
          <w:rPr>
            <w:rStyle w:val="Hyperlink"/>
            <w:lang w:val="en-GB"/>
          </w:rPr>
          <w:t>Chapter 3: Upper-secondary education (ISCED Level 3)</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_Toc35943059 \h </w:instrText>
        </w:r>
        <w:r w:rsidR="00EE284F" w:rsidRPr="00D739A7">
          <w:rPr>
            <w:webHidden/>
            <w:lang w:val="en-GB"/>
          </w:rPr>
        </w:r>
        <w:r w:rsidR="00EE284F" w:rsidRPr="00D739A7">
          <w:rPr>
            <w:webHidden/>
            <w:lang w:val="en-GB"/>
          </w:rPr>
          <w:fldChar w:fldCharType="separate"/>
        </w:r>
        <w:r w:rsidR="00EE284F" w:rsidRPr="00D739A7">
          <w:rPr>
            <w:webHidden/>
            <w:lang w:val="en-GB"/>
          </w:rPr>
          <w:t>108</w:t>
        </w:r>
        <w:r w:rsidR="00EE284F" w:rsidRPr="00D739A7">
          <w:rPr>
            <w:webHidden/>
            <w:lang w:val="en-GB"/>
          </w:rPr>
          <w:fldChar w:fldCharType="end"/>
        </w:r>
      </w:hyperlink>
    </w:p>
    <w:p w14:paraId="4E67717E" w14:textId="1F2C6B89"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60" w:history="1">
        <w:r w:rsidR="00EE284F" w:rsidRPr="00D739A7">
          <w:rPr>
            <w:rStyle w:val="Hyperlink"/>
            <w:lang w:val="en-GB"/>
          </w:rPr>
          <w:t>3.1. Population and Enrolment</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_Toc35943060 \h </w:instrText>
        </w:r>
        <w:r w:rsidR="00EE284F" w:rsidRPr="00D739A7">
          <w:rPr>
            <w:webHidden/>
            <w:lang w:val="en-GB"/>
          </w:rPr>
        </w:r>
        <w:r w:rsidR="00EE284F" w:rsidRPr="00D739A7">
          <w:rPr>
            <w:webHidden/>
            <w:lang w:val="en-GB"/>
          </w:rPr>
          <w:fldChar w:fldCharType="separate"/>
        </w:r>
        <w:r w:rsidR="00EE284F" w:rsidRPr="00D739A7">
          <w:rPr>
            <w:webHidden/>
            <w:lang w:val="en-GB"/>
          </w:rPr>
          <w:t>109</w:t>
        </w:r>
        <w:r w:rsidR="00EE284F" w:rsidRPr="00D739A7">
          <w:rPr>
            <w:webHidden/>
            <w:lang w:val="en-GB"/>
          </w:rPr>
          <w:fldChar w:fldCharType="end"/>
        </w:r>
      </w:hyperlink>
    </w:p>
    <w:p w14:paraId="7179BFEB" w14:textId="3AB313A9" w:rsidR="00EE284F" w:rsidRPr="00D739A7" w:rsidRDefault="00AC30F3">
      <w:pPr>
        <w:pStyle w:val="TOC2"/>
        <w:rPr>
          <w:rFonts w:asciiTheme="minorHAnsi" w:hAnsiTheme="minorHAnsi"/>
          <w:szCs w:val="24"/>
          <w:lang w:val="en-GB" w:eastAsia="en-GB"/>
        </w:rPr>
      </w:pPr>
      <w:hyperlink w:anchor="_Toc35943061" w:history="1">
        <w:r w:rsidR="00EE284F" w:rsidRPr="00D739A7">
          <w:rPr>
            <w:rStyle w:val="Hyperlink"/>
            <w:lang w:val="en-GB"/>
          </w:rPr>
          <w:t xml:space="preserve">Indicator 3.1.1: the enrolment rate in mainstream education, based on the enrolled </w:t>
        </w:r>
        <w:r w:rsidR="00EE284F" w:rsidRPr="00D739A7">
          <w:rPr>
            <w:rStyle w:val="Hyperlink"/>
            <w:lang w:val="en-GB"/>
          </w:rPr>
          <w:br/>
          <w:t>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_Toc35943061 \h </w:instrText>
        </w:r>
        <w:r w:rsidR="00EE284F" w:rsidRPr="00D739A7">
          <w:rPr>
            <w:webHidden/>
            <w:lang w:val="en-GB"/>
          </w:rPr>
        </w:r>
        <w:r w:rsidR="00EE284F" w:rsidRPr="00D739A7">
          <w:rPr>
            <w:webHidden/>
            <w:lang w:val="en-GB"/>
          </w:rPr>
          <w:fldChar w:fldCharType="separate"/>
        </w:r>
        <w:r w:rsidR="00EE284F" w:rsidRPr="00D739A7">
          <w:rPr>
            <w:webHidden/>
            <w:lang w:val="en-GB"/>
          </w:rPr>
          <w:t>110</w:t>
        </w:r>
        <w:r w:rsidR="00EE284F" w:rsidRPr="00D739A7">
          <w:rPr>
            <w:webHidden/>
            <w:lang w:val="en-GB"/>
          </w:rPr>
          <w:fldChar w:fldCharType="end"/>
        </w:r>
      </w:hyperlink>
    </w:p>
    <w:p w14:paraId="66C48FB5" w14:textId="3ABF380F" w:rsidR="00EE284F" w:rsidRPr="00D739A7" w:rsidRDefault="00AC30F3">
      <w:pPr>
        <w:pStyle w:val="TOC2"/>
        <w:rPr>
          <w:rFonts w:asciiTheme="minorHAnsi" w:hAnsiTheme="minorHAnsi"/>
          <w:szCs w:val="24"/>
          <w:lang w:val="en-GB" w:eastAsia="en-GB"/>
        </w:rPr>
      </w:pPr>
      <w:hyperlink w:anchor="_Toc35943062" w:history="1">
        <w:r w:rsidR="00EE284F" w:rsidRPr="00D739A7">
          <w:rPr>
            <w:rStyle w:val="Hyperlink"/>
            <w:lang w:val="en-GB"/>
          </w:rPr>
          <w:t>Indicator 3.1.2: the enrolment rate in inclusive education,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_Toc35943062 \h </w:instrText>
        </w:r>
        <w:r w:rsidR="00EE284F" w:rsidRPr="00D739A7">
          <w:rPr>
            <w:webHidden/>
            <w:lang w:val="en-GB"/>
          </w:rPr>
        </w:r>
        <w:r w:rsidR="00EE284F" w:rsidRPr="00D739A7">
          <w:rPr>
            <w:webHidden/>
            <w:lang w:val="en-GB"/>
          </w:rPr>
          <w:fldChar w:fldCharType="separate"/>
        </w:r>
        <w:r w:rsidR="00EE284F" w:rsidRPr="00D739A7">
          <w:rPr>
            <w:webHidden/>
            <w:lang w:val="en-GB"/>
          </w:rPr>
          <w:t>111</w:t>
        </w:r>
        <w:r w:rsidR="00EE284F" w:rsidRPr="00D739A7">
          <w:rPr>
            <w:webHidden/>
            <w:lang w:val="en-GB"/>
          </w:rPr>
          <w:fldChar w:fldCharType="end"/>
        </w:r>
      </w:hyperlink>
    </w:p>
    <w:p w14:paraId="1DC9FDFB" w14:textId="30859A96"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63" w:history="1">
        <w:r w:rsidR="00EE284F" w:rsidRPr="00D739A7">
          <w:rPr>
            <w:rStyle w:val="Hyperlink"/>
            <w:lang w:val="en-GB"/>
          </w:rPr>
          <w:t>3.2. Age Samples</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_Toc35943063 \h </w:instrText>
        </w:r>
        <w:r w:rsidR="00EE284F" w:rsidRPr="00D739A7">
          <w:rPr>
            <w:webHidden/>
            <w:lang w:val="en-GB"/>
          </w:rPr>
        </w:r>
        <w:r w:rsidR="00EE284F" w:rsidRPr="00D739A7">
          <w:rPr>
            <w:webHidden/>
            <w:lang w:val="en-GB"/>
          </w:rPr>
          <w:fldChar w:fldCharType="separate"/>
        </w:r>
        <w:r w:rsidR="00EE284F" w:rsidRPr="00D739A7">
          <w:rPr>
            <w:webHidden/>
            <w:lang w:val="en-GB"/>
          </w:rPr>
          <w:t>112</w:t>
        </w:r>
        <w:r w:rsidR="00EE284F" w:rsidRPr="00D739A7">
          <w:rPr>
            <w:webHidden/>
            <w:lang w:val="en-GB"/>
          </w:rPr>
          <w:fldChar w:fldCharType="end"/>
        </w:r>
      </w:hyperlink>
    </w:p>
    <w:p w14:paraId="692136E3" w14:textId="03060FF7" w:rsidR="00EE284F" w:rsidRPr="00D739A7" w:rsidRDefault="00AC30F3">
      <w:pPr>
        <w:pStyle w:val="TOC2"/>
        <w:rPr>
          <w:rFonts w:asciiTheme="minorHAnsi" w:hAnsiTheme="minorHAnsi"/>
          <w:szCs w:val="24"/>
          <w:lang w:val="en-GB" w:eastAsia="en-GB"/>
        </w:rPr>
      </w:pPr>
      <w:hyperlink w:anchor="_Toc35943064" w:history="1">
        <w:r w:rsidR="00EE284F" w:rsidRPr="00D739A7">
          <w:rPr>
            <w:rStyle w:val="Hyperlink"/>
            <w:lang w:val="en-GB"/>
          </w:rPr>
          <w:t xml:space="preserve">Indicator 3.2.1: the age sample enrolment rate in mainstream education for </w:t>
        </w:r>
        <w:r w:rsidR="00EE284F" w:rsidRPr="00D739A7">
          <w:rPr>
            <w:rStyle w:val="Hyperlink"/>
            <w:lang w:val="en-GB"/>
          </w:rPr>
          <w:br/>
          <w:t>17-year-olds, based on the enrolled school population of 17-year-olds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_Toc35943064 \h </w:instrText>
        </w:r>
        <w:r w:rsidR="00EE284F" w:rsidRPr="00D739A7">
          <w:rPr>
            <w:webHidden/>
            <w:lang w:val="en-GB"/>
          </w:rPr>
        </w:r>
        <w:r w:rsidR="00EE284F" w:rsidRPr="00D739A7">
          <w:rPr>
            <w:webHidden/>
            <w:lang w:val="en-GB"/>
          </w:rPr>
          <w:fldChar w:fldCharType="separate"/>
        </w:r>
        <w:r w:rsidR="00EE284F" w:rsidRPr="00D739A7">
          <w:rPr>
            <w:webHidden/>
            <w:lang w:val="en-GB"/>
          </w:rPr>
          <w:t>113</w:t>
        </w:r>
        <w:r w:rsidR="00EE284F" w:rsidRPr="00D739A7">
          <w:rPr>
            <w:webHidden/>
            <w:lang w:val="en-GB"/>
          </w:rPr>
          <w:fldChar w:fldCharType="end"/>
        </w:r>
      </w:hyperlink>
    </w:p>
    <w:p w14:paraId="3A437EDA" w14:textId="44602976" w:rsidR="00EE284F" w:rsidRPr="00D739A7" w:rsidRDefault="00AC30F3">
      <w:pPr>
        <w:pStyle w:val="TOC2"/>
        <w:rPr>
          <w:rFonts w:asciiTheme="minorHAnsi" w:hAnsiTheme="minorHAnsi"/>
          <w:szCs w:val="24"/>
          <w:lang w:val="en-GB" w:eastAsia="en-GB"/>
        </w:rPr>
      </w:pPr>
      <w:hyperlink w:anchor="_Toc35943065" w:history="1">
        <w:r w:rsidR="00EE284F" w:rsidRPr="00D739A7">
          <w:rPr>
            <w:rStyle w:val="Hyperlink"/>
            <w:lang w:val="en-GB"/>
          </w:rPr>
          <w:t>Indicator 3.2.2: the age sample enrolment rate in inclusive education for 17-year-olds, based on the enrolled school population of 17-year-olds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_Toc35943065 \h </w:instrText>
        </w:r>
        <w:r w:rsidR="00EE284F" w:rsidRPr="00D739A7">
          <w:rPr>
            <w:webHidden/>
            <w:lang w:val="en-GB"/>
          </w:rPr>
        </w:r>
        <w:r w:rsidR="00EE284F" w:rsidRPr="00D739A7">
          <w:rPr>
            <w:webHidden/>
            <w:lang w:val="en-GB"/>
          </w:rPr>
          <w:fldChar w:fldCharType="separate"/>
        </w:r>
        <w:r w:rsidR="00EE284F" w:rsidRPr="00D739A7">
          <w:rPr>
            <w:webHidden/>
            <w:lang w:val="en-GB"/>
          </w:rPr>
          <w:t>114</w:t>
        </w:r>
        <w:r w:rsidR="00EE284F" w:rsidRPr="00D739A7">
          <w:rPr>
            <w:webHidden/>
            <w:lang w:val="en-GB"/>
          </w:rPr>
          <w:fldChar w:fldCharType="end"/>
        </w:r>
      </w:hyperlink>
    </w:p>
    <w:p w14:paraId="4A66499C" w14:textId="4567E80D"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66" w:history="1">
        <w:r w:rsidR="00EE284F" w:rsidRPr="00D739A7">
          <w:rPr>
            <w:rStyle w:val="Hyperlink"/>
            <w:lang w:val="en-GB"/>
          </w:rPr>
          <w:t>3.3. Learners with an official decision of SEN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_Toc35943066 \h </w:instrText>
        </w:r>
        <w:r w:rsidR="00EE284F" w:rsidRPr="00D739A7">
          <w:rPr>
            <w:webHidden/>
            <w:lang w:val="en-GB"/>
          </w:rPr>
        </w:r>
        <w:r w:rsidR="00EE284F" w:rsidRPr="00D739A7">
          <w:rPr>
            <w:webHidden/>
            <w:lang w:val="en-GB"/>
          </w:rPr>
          <w:fldChar w:fldCharType="separate"/>
        </w:r>
        <w:r w:rsidR="00EE284F" w:rsidRPr="00D739A7">
          <w:rPr>
            <w:webHidden/>
            <w:lang w:val="en-GB"/>
          </w:rPr>
          <w:t>115</w:t>
        </w:r>
        <w:r w:rsidR="00EE284F" w:rsidRPr="00D739A7">
          <w:rPr>
            <w:webHidden/>
            <w:lang w:val="en-GB"/>
          </w:rPr>
          <w:fldChar w:fldCharType="end"/>
        </w:r>
      </w:hyperlink>
    </w:p>
    <w:p w14:paraId="5122CC66" w14:textId="18AC1207" w:rsidR="00EE284F" w:rsidRPr="00D739A7" w:rsidRDefault="00AC30F3">
      <w:pPr>
        <w:pStyle w:val="TOC2"/>
        <w:rPr>
          <w:rFonts w:asciiTheme="minorHAnsi" w:hAnsiTheme="minorHAnsi"/>
          <w:szCs w:val="24"/>
          <w:lang w:val="en-GB" w:eastAsia="en-GB"/>
        </w:rPr>
      </w:pPr>
      <w:hyperlink w:anchor="_Toc35943067" w:history="1">
        <w:r w:rsidR="00EE284F" w:rsidRPr="00D739A7">
          <w:rPr>
            <w:rStyle w:val="Hyperlink"/>
            <w:lang w:val="en-GB"/>
          </w:rPr>
          <w:t>3.3a. Identification rates</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_Toc35943067 \h </w:instrText>
        </w:r>
        <w:r w:rsidR="00EE284F" w:rsidRPr="00D739A7">
          <w:rPr>
            <w:webHidden/>
            <w:lang w:val="en-GB"/>
          </w:rPr>
        </w:r>
        <w:r w:rsidR="00EE284F" w:rsidRPr="00D739A7">
          <w:rPr>
            <w:webHidden/>
            <w:lang w:val="en-GB"/>
          </w:rPr>
          <w:fldChar w:fldCharType="separate"/>
        </w:r>
        <w:r w:rsidR="00EE284F" w:rsidRPr="00D739A7">
          <w:rPr>
            <w:webHidden/>
            <w:lang w:val="en-GB"/>
          </w:rPr>
          <w:t>116</w:t>
        </w:r>
        <w:r w:rsidR="00EE284F" w:rsidRPr="00D739A7">
          <w:rPr>
            <w:webHidden/>
            <w:lang w:val="en-GB"/>
          </w:rPr>
          <w:fldChar w:fldCharType="end"/>
        </w:r>
      </w:hyperlink>
    </w:p>
    <w:p w14:paraId="3F084005" w14:textId="1A9F3AD8" w:rsidR="00EE284F" w:rsidRPr="00D739A7" w:rsidRDefault="00AC30F3">
      <w:pPr>
        <w:pStyle w:val="TOC3"/>
        <w:rPr>
          <w:rFonts w:asciiTheme="minorHAnsi" w:hAnsiTheme="minorHAnsi"/>
          <w:i w:val="0"/>
          <w:szCs w:val="24"/>
          <w:lang w:val="en-GB" w:eastAsia="en-GB"/>
        </w:rPr>
      </w:pPr>
      <w:hyperlink w:anchor="_Toc35943068" w:history="1">
        <w:r w:rsidR="00EE284F" w:rsidRPr="00D739A7">
          <w:rPr>
            <w:rStyle w:val="Hyperlink"/>
            <w:lang w:val="en-GB"/>
          </w:rPr>
          <w:t xml:space="preserve">Indicator 3.3a.1: the percentage of learners with an official decision of SEN, based on </w:t>
        </w:r>
        <w:r w:rsidR="00EE284F" w:rsidRPr="00D739A7">
          <w:rPr>
            <w:rStyle w:val="Hyperlink"/>
            <w:lang w:val="en-GB"/>
          </w:rPr>
          <w:br/>
          <w:t>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_Toc35943068 \h </w:instrText>
        </w:r>
        <w:r w:rsidR="00EE284F" w:rsidRPr="00D739A7">
          <w:rPr>
            <w:webHidden/>
            <w:lang w:val="en-GB"/>
          </w:rPr>
        </w:r>
        <w:r w:rsidR="00EE284F" w:rsidRPr="00D739A7">
          <w:rPr>
            <w:webHidden/>
            <w:lang w:val="en-GB"/>
          </w:rPr>
          <w:fldChar w:fldCharType="separate"/>
        </w:r>
        <w:r w:rsidR="00EE284F" w:rsidRPr="00D739A7">
          <w:rPr>
            <w:webHidden/>
            <w:lang w:val="en-GB"/>
          </w:rPr>
          <w:t>116</w:t>
        </w:r>
        <w:r w:rsidR="00EE284F" w:rsidRPr="00D739A7">
          <w:rPr>
            <w:webHidden/>
            <w:lang w:val="en-GB"/>
          </w:rPr>
          <w:fldChar w:fldCharType="end"/>
        </w:r>
      </w:hyperlink>
    </w:p>
    <w:p w14:paraId="3A8CC6ED" w14:textId="69A12837" w:rsidR="00EE284F" w:rsidRPr="00D739A7" w:rsidRDefault="00AC30F3">
      <w:pPr>
        <w:pStyle w:val="TOC2"/>
        <w:rPr>
          <w:rFonts w:asciiTheme="minorHAnsi" w:hAnsiTheme="minorHAnsi"/>
          <w:szCs w:val="24"/>
          <w:lang w:val="en-GB" w:eastAsia="en-GB"/>
        </w:rPr>
      </w:pPr>
      <w:hyperlink w:anchor="_Toc35943069" w:history="1">
        <w:r w:rsidR="00EE284F" w:rsidRPr="00D739A7">
          <w:rPr>
            <w:rStyle w:val="Hyperlink"/>
            <w:lang w:val="en-GB"/>
          </w:rPr>
          <w:t xml:space="preserve">3.3b. Distribution of placements of learners with an official decision of SEN, based on </w:t>
        </w:r>
        <w:r w:rsidR="00EE284F" w:rsidRPr="00D739A7">
          <w:rPr>
            <w:rStyle w:val="Hyperlink"/>
            <w:lang w:val="en-GB"/>
          </w:rPr>
          <w:br/>
          <w:t>the enrolled school population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_Toc35943069 \h </w:instrText>
        </w:r>
        <w:r w:rsidR="00EE284F" w:rsidRPr="00D739A7">
          <w:rPr>
            <w:webHidden/>
            <w:lang w:val="en-GB"/>
          </w:rPr>
        </w:r>
        <w:r w:rsidR="00EE284F" w:rsidRPr="00D739A7">
          <w:rPr>
            <w:webHidden/>
            <w:lang w:val="en-GB"/>
          </w:rPr>
          <w:fldChar w:fldCharType="separate"/>
        </w:r>
        <w:r w:rsidR="00EE284F" w:rsidRPr="00D739A7">
          <w:rPr>
            <w:webHidden/>
            <w:lang w:val="en-GB"/>
          </w:rPr>
          <w:t>119</w:t>
        </w:r>
        <w:r w:rsidR="00EE284F" w:rsidRPr="00D739A7">
          <w:rPr>
            <w:webHidden/>
            <w:lang w:val="en-GB"/>
          </w:rPr>
          <w:fldChar w:fldCharType="end"/>
        </w:r>
      </w:hyperlink>
    </w:p>
    <w:p w14:paraId="45B83409" w14:textId="6690BC37" w:rsidR="00EE284F" w:rsidRPr="00D739A7" w:rsidRDefault="00AC30F3">
      <w:pPr>
        <w:pStyle w:val="TOC3"/>
        <w:rPr>
          <w:rFonts w:asciiTheme="minorHAnsi" w:hAnsiTheme="minorHAnsi"/>
          <w:i w:val="0"/>
          <w:szCs w:val="24"/>
          <w:lang w:val="en-GB" w:eastAsia="en-GB"/>
        </w:rPr>
      </w:pPr>
      <w:hyperlink w:anchor="_Toc35943070" w:history="1">
        <w:r w:rsidR="00EE284F" w:rsidRPr="00D739A7">
          <w:rPr>
            <w:rStyle w:val="Hyperlink"/>
            <w:lang w:val="en-GB"/>
          </w:rPr>
          <w:t xml:space="preserve">Indicator 3.3b.1: the percentage of learners with an official decision of SEN in </w:t>
        </w:r>
        <w:r w:rsidR="00EE284F" w:rsidRPr="00D739A7">
          <w:rPr>
            <w:rStyle w:val="Hyperlink"/>
            <w:lang w:val="en-GB"/>
          </w:rPr>
          <w:br/>
          <w:t>inclusive settings,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_Toc35943070 \h </w:instrText>
        </w:r>
        <w:r w:rsidR="00EE284F" w:rsidRPr="00D739A7">
          <w:rPr>
            <w:webHidden/>
            <w:lang w:val="en-GB"/>
          </w:rPr>
        </w:r>
        <w:r w:rsidR="00EE284F" w:rsidRPr="00D739A7">
          <w:rPr>
            <w:webHidden/>
            <w:lang w:val="en-GB"/>
          </w:rPr>
          <w:fldChar w:fldCharType="separate"/>
        </w:r>
        <w:r w:rsidR="00EE284F" w:rsidRPr="00D739A7">
          <w:rPr>
            <w:webHidden/>
            <w:lang w:val="en-GB"/>
          </w:rPr>
          <w:t>120</w:t>
        </w:r>
        <w:r w:rsidR="00EE284F" w:rsidRPr="00D739A7">
          <w:rPr>
            <w:webHidden/>
            <w:lang w:val="en-GB"/>
          </w:rPr>
          <w:fldChar w:fldCharType="end"/>
        </w:r>
      </w:hyperlink>
    </w:p>
    <w:p w14:paraId="46B1111D" w14:textId="4842F2DF" w:rsidR="00EE284F" w:rsidRPr="00D739A7" w:rsidRDefault="00AC30F3">
      <w:pPr>
        <w:pStyle w:val="TOC3"/>
        <w:rPr>
          <w:rFonts w:asciiTheme="minorHAnsi" w:hAnsiTheme="minorHAnsi"/>
          <w:i w:val="0"/>
          <w:szCs w:val="24"/>
          <w:lang w:val="en-GB" w:eastAsia="en-GB"/>
        </w:rPr>
      </w:pPr>
      <w:hyperlink w:anchor="_Toc35943071" w:history="1">
        <w:r w:rsidR="00EE284F" w:rsidRPr="00D739A7">
          <w:rPr>
            <w:rStyle w:val="Hyperlink"/>
            <w:lang w:val="en-GB"/>
          </w:rPr>
          <w:t>Indicator 3.3b.2: the percentage of learners with an official decision of SEN in special classes in mainstream schools,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_Toc35943071 \h </w:instrText>
        </w:r>
        <w:r w:rsidR="00EE284F" w:rsidRPr="00D739A7">
          <w:rPr>
            <w:webHidden/>
            <w:lang w:val="en-GB"/>
          </w:rPr>
        </w:r>
        <w:r w:rsidR="00EE284F" w:rsidRPr="00D739A7">
          <w:rPr>
            <w:webHidden/>
            <w:lang w:val="en-GB"/>
          </w:rPr>
          <w:fldChar w:fldCharType="separate"/>
        </w:r>
        <w:r w:rsidR="00EE284F" w:rsidRPr="00D739A7">
          <w:rPr>
            <w:webHidden/>
            <w:lang w:val="en-GB"/>
          </w:rPr>
          <w:t>123</w:t>
        </w:r>
        <w:r w:rsidR="00EE284F" w:rsidRPr="00D739A7">
          <w:rPr>
            <w:webHidden/>
            <w:lang w:val="en-GB"/>
          </w:rPr>
          <w:fldChar w:fldCharType="end"/>
        </w:r>
      </w:hyperlink>
    </w:p>
    <w:p w14:paraId="11EA6931" w14:textId="0CD2D6C1" w:rsidR="00EE284F" w:rsidRPr="00D739A7" w:rsidRDefault="00AC30F3">
      <w:pPr>
        <w:pStyle w:val="TOC3"/>
        <w:rPr>
          <w:rFonts w:asciiTheme="minorHAnsi" w:hAnsiTheme="minorHAnsi"/>
          <w:i w:val="0"/>
          <w:szCs w:val="24"/>
          <w:lang w:val="en-GB" w:eastAsia="en-GB"/>
        </w:rPr>
      </w:pPr>
      <w:hyperlink w:anchor="_Toc35943072" w:history="1">
        <w:r w:rsidR="00EE284F" w:rsidRPr="00D739A7">
          <w:rPr>
            <w:rStyle w:val="Hyperlink"/>
            <w:lang w:val="en-GB"/>
          </w:rPr>
          <w:t>Indicator 3.3b.3: the percentage of learners with an official decision of SEN in special schools,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_Toc35943072 \h </w:instrText>
        </w:r>
        <w:r w:rsidR="00EE284F" w:rsidRPr="00D739A7">
          <w:rPr>
            <w:webHidden/>
            <w:lang w:val="en-GB"/>
          </w:rPr>
        </w:r>
        <w:r w:rsidR="00EE284F" w:rsidRPr="00D739A7">
          <w:rPr>
            <w:webHidden/>
            <w:lang w:val="en-GB"/>
          </w:rPr>
          <w:fldChar w:fldCharType="separate"/>
        </w:r>
        <w:r w:rsidR="00EE284F" w:rsidRPr="00D739A7">
          <w:rPr>
            <w:webHidden/>
            <w:lang w:val="en-GB"/>
          </w:rPr>
          <w:t>126</w:t>
        </w:r>
        <w:r w:rsidR="00EE284F" w:rsidRPr="00D739A7">
          <w:rPr>
            <w:webHidden/>
            <w:lang w:val="en-GB"/>
          </w:rPr>
          <w:fldChar w:fldCharType="end"/>
        </w:r>
      </w:hyperlink>
    </w:p>
    <w:p w14:paraId="68D2469A" w14:textId="64E45AD1" w:rsidR="00EE284F" w:rsidRPr="00D739A7" w:rsidRDefault="00AC30F3">
      <w:pPr>
        <w:pStyle w:val="TOC3"/>
        <w:rPr>
          <w:rFonts w:asciiTheme="minorHAnsi" w:hAnsiTheme="minorHAnsi"/>
          <w:i w:val="0"/>
          <w:szCs w:val="24"/>
          <w:lang w:val="en-GB" w:eastAsia="en-GB"/>
        </w:rPr>
      </w:pPr>
      <w:hyperlink w:anchor="_Toc35943073" w:history="1">
        <w:r w:rsidR="00EE284F" w:rsidRPr="00D739A7">
          <w:rPr>
            <w:rStyle w:val="Hyperlink"/>
            <w:lang w:val="en-GB"/>
          </w:rPr>
          <w:t>Indicator 3.3b.5: the percentage of learners with an official decision of SEN in fully separate educational settings,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_Toc35943073 \h </w:instrText>
        </w:r>
        <w:r w:rsidR="00EE284F" w:rsidRPr="00D739A7">
          <w:rPr>
            <w:webHidden/>
            <w:lang w:val="en-GB"/>
          </w:rPr>
        </w:r>
        <w:r w:rsidR="00EE284F" w:rsidRPr="00D739A7">
          <w:rPr>
            <w:webHidden/>
            <w:lang w:val="en-GB"/>
          </w:rPr>
          <w:fldChar w:fldCharType="separate"/>
        </w:r>
        <w:r w:rsidR="00EE284F" w:rsidRPr="00D739A7">
          <w:rPr>
            <w:webHidden/>
            <w:lang w:val="en-GB"/>
          </w:rPr>
          <w:t>129</w:t>
        </w:r>
        <w:r w:rsidR="00EE284F" w:rsidRPr="00D739A7">
          <w:rPr>
            <w:webHidden/>
            <w:lang w:val="en-GB"/>
          </w:rPr>
          <w:fldChar w:fldCharType="end"/>
        </w:r>
      </w:hyperlink>
    </w:p>
    <w:p w14:paraId="65EB7EEC" w14:textId="494E109F" w:rsidR="00EE284F" w:rsidRPr="00D739A7" w:rsidRDefault="00AC30F3">
      <w:pPr>
        <w:pStyle w:val="TOC2"/>
        <w:rPr>
          <w:rFonts w:asciiTheme="minorHAnsi" w:hAnsiTheme="minorHAnsi"/>
          <w:szCs w:val="24"/>
          <w:lang w:val="en-GB" w:eastAsia="en-GB"/>
        </w:rPr>
      </w:pPr>
      <w:hyperlink w:anchor="_Toc35943074" w:history="1">
        <w:r w:rsidR="00EE284F" w:rsidRPr="00D739A7">
          <w:rPr>
            <w:rStyle w:val="Hyperlink"/>
            <w:lang w:val="en-GB"/>
          </w:rPr>
          <w:t>3.3c. Distribution of placements, based on the population of learners with an official decision of SEN</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_Toc35943074 \h </w:instrText>
        </w:r>
        <w:r w:rsidR="00EE284F" w:rsidRPr="00D739A7">
          <w:rPr>
            <w:webHidden/>
            <w:lang w:val="en-GB"/>
          </w:rPr>
        </w:r>
        <w:r w:rsidR="00EE284F" w:rsidRPr="00D739A7">
          <w:rPr>
            <w:webHidden/>
            <w:lang w:val="en-GB"/>
          </w:rPr>
          <w:fldChar w:fldCharType="separate"/>
        </w:r>
        <w:r w:rsidR="00EE284F" w:rsidRPr="00D739A7">
          <w:rPr>
            <w:webHidden/>
            <w:lang w:val="en-GB"/>
          </w:rPr>
          <w:t>132</w:t>
        </w:r>
        <w:r w:rsidR="00EE284F" w:rsidRPr="00D739A7">
          <w:rPr>
            <w:webHidden/>
            <w:lang w:val="en-GB"/>
          </w:rPr>
          <w:fldChar w:fldCharType="end"/>
        </w:r>
      </w:hyperlink>
    </w:p>
    <w:p w14:paraId="1671230A" w14:textId="35EC093F" w:rsidR="00EE284F" w:rsidRPr="00D739A7" w:rsidRDefault="00AC30F3">
      <w:pPr>
        <w:pStyle w:val="TOC3"/>
        <w:rPr>
          <w:rFonts w:asciiTheme="minorHAnsi" w:hAnsiTheme="minorHAnsi"/>
          <w:i w:val="0"/>
          <w:szCs w:val="24"/>
          <w:lang w:val="en-GB" w:eastAsia="en-GB"/>
        </w:rPr>
      </w:pPr>
      <w:hyperlink w:anchor="_Toc35943075" w:history="1">
        <w:r w:rsidR="00EE284F" w:rsidRPr="00D739A7">
          <w:rPr>
            <w:rStyle w:val="Hyperlink"/>
            <w:lang w:val="en-GB"/>
          </w:rPr>
          <w:t>Indicator 3.3c.1: the percentage of learners with an official decision of SEN in inclusive education,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_Toc35943075 \h </w:instrText>
        </w:r>
        <w:r w:rsidR="00EE284F" w:rsidRPr="00D739A7">
          <w:rPr>
            <w:webHidden/>
            <w:lang w:val="en-GB"/>
          </w:rPr>
        </w:r>
        <w:r w:rsidR="00EE284F" w:rsidRPr="00D739A7">
          <w:rPr>
            <w:webHidden/>
            <w:lang w:val="en-GB"/>
          </w:rPr>
          <w:fldChar w:fldCharType="separate"/>
        </w:r>
        <w:r w:rsidR="00EE284F" w:rsidRPr="00D739A7">
          <w:rPr>
            <w:webHidden/>
            <w:lang w:val="en-GB"/>
          </w:rPr>
          <w:t>133</w:t>
        </w:r>
        <w:r w:rsidR="00EE284F" w:rsidRPr="00D739A7">
          <w:rPr>
            <w:webHidden/>
            <w:lang w:val="en-GB"/>
          </w:rPr>
          <w:fldChar w:fldCharType="end"/>
        </w:r>
      </w:hyperlink>
    </w:p>
    <w:p w14:paraId="0D5A016A" w14:textId="29C53205" w:rsidR="00EE284F" w:rsidRPr="00D739A7" w:rsidRDefault="00AC30F3">
      <w:pPr>
        <w:pStyle w:val="TOC3"/>
        <w:rPr>
          <w:rFonts w:asciiTheme="minorHAnsi" w:hAnsiTheme="minorHAnsi"/>
          <w:i w:val="0"/>
          <w:szCs w:val="24"/>
          <w:lang w:val="en-GB" w:eastAsia="en-GB"/>
        </w:rPr>
      </w:pPr>
      <w:hyperlink w:anchor="_Toc35943076" w:history="1">
        <w:r w:rsidR="00EE284F" w:rsidRPr="00D739A7">
          <w:rPr>
            <w:rStyle w:val="Hyperlink"/>
            <w:lang w:val="en-GB"/>
          </w:rPr>
          <w:t>Indicator 3.3c.2: the percentage of learners with an official decision of SEN in special classes,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_Toc35943076 \h </w:instrText>
        </w:r>
        <w:r w:rsidR="00EE284F" w:rsidRPr="00D739A7">
          <w:rPr>
            <w:webHidden/>
            <w:lang w:val="en-GB"/>
          </w:rPr>
        </w:r>
        <w:r w:rsidR="00EE284F" w:rsidRPr="00D739A7">
          <w:rPr>
            <w:webHidden/>
            <w:lang w:val="en-GB"/>
          </w:rPr>
          <w:fldChar w:fldCharType="separate"/>
        </w:r>
        <w:r w:rsidR="00EE284F" w:rsidRPr="00D739A7">
          <w:rPr>
            <w:webHidden/>
            <w:lang w:val="en-GB"/>
          </w:rPr>
          <w:t>136</w:t>
        </w:r>
        <w:r w:rsidR="00EE284F" w:rsidRPr="00D739A7">
          <w:rPr>
            <w:webHidden/>
            <w:lang w:val="en-GB"/>
          </w:rPr>
          <w:fldChar w:fldCharType="end"/>
        </w:r>
      </w:hyperlink>
    </w:p>
    <w:p w14:paraId="50F4FD9F" w14:textId="7437DF6D" w:rsidR="00EE284F" w:rsidRPr="00D739A7" w:rsidRDefault="00AC30F3">
      <w:pPr>
        <w:pStyle w:val="TOC3"/>
        <w:rPr>
          <w:rFonts w:asciiTheme="minorHAnsi" w:hAnsiTheme="minorHAnsi"/>
          <w:i w:val="0"/>
          <w:szCs w:val="24"/>
          <w:lang w:val="en-GB" w:eastAsia="en-GB"/>
        </w:rPr>
      </w:pPr>
      <w:hyperlink w:anchor="_Toc35943077" w:history="1">
        <w:r w:rsidR="00EE284F" w:rsidRPr="00D739A7">
          <w:rPr>
            <w:rStyle w:val="Hyperlink"/>
            <w:lang w:val="en-GB"/>
          </w:rPr>
          <w:t>Indicator 3.3c.3: the percentage of learners with an official decision of SEN in special schools,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_Toc35943077 \h </w:instrText>
        </w:r>
        <w:r w:rsidR="00EE284F" w:rsidRPr="00D739A7">
          <w:rPr>
            <w:webHidden/>
            <w:lang w:val="en-GB"/>
          </w:rPr>
        </w:r>
        <w:r w:rsidR="00EE284F" w:rsidRPr="00D739A7">
          <w:rPr>
            <w:webHidden/>
            <w:lang w:val="en-GB"/>
          </w:rPr>
          <w:fldChar w:fldCharType="separate"/>
        </w:r>
        <w:r w:rsidR="00EE284F" w:rsidRPr="00D739A7">
          <w:rPr>
            <w:webHidden/>
            <w:lang w:val="en-GB"/>
          </w:rPr>
          <w:t>139</w:t>
        </w:r>
        <w:r w:rsidR="00EE284F" w:rsidRPr="00D739A7">
          <w:rPr>
            <w:webHidden/>
            <w:lang w:val="en-GB"/>
          </w:rPr>
          <w:fldChar w:fldCharType="end"/>
        </w:r>
      </w:hyperlink>
    </w:p>
    <w:p w14:paraId="61B2ACDA" w14:textId="4F0E17A4" w:rsidR="00EE284F" w:rsidRPr="00D739A7" w:rsidRDefault="00AC30F3">
      <w:pPr>
        <w:pStyle w:val="TOC3"/>
        <w:rPr>
          <w:rFonts w:asciiTheme="minorHAnsi" w:hAnsiTheme="minorHAnsi"/>
          <w:i w:val="0"/>
          <w:szCs w:val="24"/>
          <w:lang w:val="en-GB" w:eastAsia="en-GB"/>
        </w:rPr>
      </w:pPr>
      <w:hyperlink w:anchor="_Toc35943078" w:history="1">
        <w:r w:rsidR="00EE284F" w:rsidRPr="00D739A7">
          <w:rPr>
            <w:rStyle w:val="Hyperlink"/>
            <w:lang w:val="en-GB"/>
          </w:rPr>
          <w:t>Indicator 3.3c.5: the percentage of learners with an official decision of SEN in fully separate educational settings,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_Toc35943078 \h </w:instrText>
        </w:r>
        <w:r w:rsidR="00EE284F" w:rsidRPr="00D739A7">
          <w:rPr>
            <w:webHidden/>
            <w:lang w:val="en-GB"/>
          </w:rPr>
        </w:r>
        <w:r w:rsidR="00EE284F" w:rsidRPr="00D739A7">
          <w:rPr>
            <w:webHidden/>
            <w:lang w:val="en-GB"/>
          </w:rPr>
          <w:fldChar w:fldCharType="separate"/>
        </w:r>
        <w:r w:rsidR="00EE284F" w:rsidRPr="00D739A7">
          <w:rPr>
            <w:webHidden/>
            <w:lang w:val="en-GB"/>
          </w:rPr>
          <w:t>142</w:t>
        </w:r>
        <w:r w:rsidR="00EE284F" w:rsidRPr="00D739A7">
          <w:rPr>
            <w:webHidden/>
            <w:lang w:val="en-GB"/>
          </w:rPr>
          <w:fldChar w:fldCharType="end"/>
        </w:r>
      </w:hyperlink>
    </w:p>
    <w:p w14:paraId="1E9E1D36" w14:textId="3D4CD752" w:rsidR="00EE284F" w:rsidRPr="00D739A7" w:rsidRDefault="00AC30F3">
      <w:pPr>
        <w:pStyle w:val="TOC1"/>
        <w:tabs>
          <w:tab w:val="right" w:leader="dot" w:pos="8920"/>
        </w:tabs>
        <w:rPr>
          <w:rFonts w:asciiTheme="minorHAnsi" w:hAnsiTheme="minorHAnsi" w:cstheme="minorBidi"/>
          <w:b w:val="0"/>
          <w:caps w:val="0"/>
          <w:szCs w:val="24"/>
          <w:lang w:val="en-GB" w:eastAsia="en-GB"/>
        </w:rPr>
      </w:pPr>
      <w:hyperlink w:anchor="_Toc35943079" w:history="1">
        <w:r w:rsidR="00EE284F" w:rsidRPr="00D739A7">
          <w:rPr>
            <w:rStyle w:val="Hyperlink"/>
            <w:lang w:val="en-GB"/>
          </w:rPr>
          <w:t>Appendix 1 – C</w:t>
        </w:r>
        <w:r w:rsidR="00EE284F" w:rsidRPr="00D739A7">
          <w:rPr>
            <w:rStyle w:val="Hyperlink"/>
            <w:lang w:val="en-GB" w:eastAsia="en-GB"/>
          </w:rPr>
          <w:t>hildren/learners with an official decision of SEN in non</w:t>
        </w:r>
        <w:r w:rsidR="00EE284F" w:rsidRPr="00D739A7">
          <w:rPr>
            <w:rStyle w:val="Hyperlink"/>
            <w:lang w:val="en-GB" w:eastAsia="en-GB"/>
          </w:rPr>
          <w:noBreakHyphen/>
          <w:t>formal educational settings</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_Toc35943079 \h </w:instrText>
        </w:r>
        <w:r w:rsidR="00EE284F" w:rsidRPr="00D739A7">
          <w:rPr>
            <w:webHidden/>
            <w:lang w:val="en-GB"/>
          </w:rPr>
        </w:r>
        <w:r w:rsidR="00EE284F" w:rsidRPr="00D739A7">
          <w:rPr>
            <w:webHidden/>
            <w:lang w:val="en-GB"/>
          </w:rPr>
          <w:fldChar w:fldCharType="separate"/>
        </w:r>
        <w:r w:rsidR="00EE284F" w:rsidRPr="00D739A7">
          <w:rPr>
            <w:webHidden/>
            <w:lang w:val="en-GB"/>
          </w:rPr>
          <w:t>145</w:t>
        </w:r>
        <w:r w:rsidR="00EE284F" w:rsidRPr="00D739A7">
          <w:rPr>
            <w:webHidden/>
            <w:lang w:val="en-GB"/>
          </w:rPr>
          <w:fldChar w:fldCharType="end"/>
        </w:r>
      </w:hyperlink>
    </w:p>
    <w:p w14:paraId="32D35751" w14:textId="4A71ECDB" w:rsidR="00EE284F" w:rsidRPr="00D739A7" w:rsidRDefault="00AC30F3">
      <w:pPr>
        <w:pStyle w:val="TOC2"/>
        <w:rPr>
          <w:rFonts w:asciiTheme="minorHAnsi" w:hAnsiTheme="minorHAnsi"/>
          <w:szCs w:val="24"/>
          <w:lang w:val="en-GB" w:eastAsia="en-GB"/>
        </w:rPr>
      </w:pPr>
      <w:hyperlink w:anchor="_Toc35943080" w:history="1">
        <w:r w:rsidR="00EE284F" w:rsidRPr="00D739A7">
          <w:rPr>
            <w:rStyle w:val="Hyperlink"/>
            <w:lang w:val="en-GB"/>
          </w:rPr>
          <w:t>1. Pre-primary education (ISCED level 02)</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_Toc35943080 \h </w:instrText>
        </w:r>
        <w:r w:rsidR="00EE284F" w:rsidRPr="00D739A7">
          <w:rPr>
            <w:webHidden/>
            <w:lang w:val="en-GB"/>
          </w:rPr>
        </w:r>
        <w:r w:rsidR="00EE284F" w:rsidRPr="00D739A7">
          <w:rPr>
            <w:webHidden/>
            <w:lang w:val="en-GB"/>
          </w:rPr>
          <w:fldChar w:fldCharType="separate"/>
        </w:r>
        <w:r w:rsidR="00EE284F" w:rsidRPr="00D739A7">
          <w:rPr>
            <w:webHidden/>
            <w:lang w:val="en-GB"/>
          </w:rPr>
          <w:t>145</w:t>
        </w:r>
        <w:r w:rsidR="00EE284F" w:rsidRPr="00D739A7">
          <w:rPr>
            <w:webHidden/>
            <w:lang w:val="en-GB"/>
          </w:rPr>
          <w:fldChar w:fldCharType="end"/>
        </w:r>
      </w:hyperlink>
    </w:p>
    <w:p w14:paraId="70C988D4" w14:textId="47ED278D" w:rsidR="00EE284F" w:rsidRPr="00D739A7" w:rsidRDefault="00AC30F3">
      <w:pPr>
        <w:pStyle w:val="TOC3"/>
        <w:rPr>
          <w:rFonts w:asciiTheme="minorHAnsi" w:hAnsiTheme="minorHAnsi"/>
          <w:i w:val="0"/>
          <w:szCs w:val="24"/>
          <w:lang w:val="en-GB" w:eastAsia="en-GB"/>
        </w:rPr>
      </w:pPr>
      <w:hyperlink w:anchor="_Toc35943081" w:history="1">
        <w:r w:rsidR="00EE284F" w:rsidRPr="00D739A7">
          <w:rPr>
            <w:rStyle w:val="Hyperlink"/>
            <w:lang w:val="en-GB"/>
          </w:rPr>
          <w:t xml:space="preserve">Indicator 1.3b.4: the percentage of children with an official decision of SEN in </w:t>
        </w:r>
        <w:r w:rsidR="00EE284F" w:rsidRPr="00D739A7">
          <w:rPr>
            <w:rStyle w:val="Hyperlink"/>
            <w:lang w:val="en-GB"/>
          </w:rPr>
          <w:br/>
          <w:t>non-formal educational settings, based on the enrolled pre-primary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_Toc35943081 \h </w:instrText>
        </w:r>
        <w:r w:rsidR="00EE284F" w:rsidRPr="00D739A7">
          <w:rPr>
            <w:webHidden/>
            <w:lang w:val="en-GB"/>
          </w:rPr>
        </w:r>
        <w:r w:rsidR="00EE284F" w:rsidRPr="00D739A7">
          <w:rPr>
            <w:webHidden/>
            <w:lang w:val="en-GB"/>
          </w:rPr>
          <w:fldChar w:fldCharType="separate"/>
        </w:r>
        <w:r w:rsidR="00EE284F" w:rsidRPr="00D739A7">
          <w:rPr>
            <w:webHidden/>
            <w:lang w:val="en-GB"/>
          </w:rPr>
          <w:t>145</w:t>
        </w:r>
        <w:r w:rsidR="00EE284F" w:rsidRPr="00D739A7">
          <w:rPr>
            <w:webHidden/>
            <w:lang w:val="en-GB"/>
          </w:rPr>
          <w:fldChar w:fldCharType="end"/>
        </w:r>
      </w:hyperlink>
    </w:p>
    <w:p w14:paraId="7E931503" w14:textId="70131FFD" w:rsidR="00EE284F" w:rsidRPr="00D739A7" w:rsidRDefault="00AC30F3">
      <w:pPr>
        <w:pStyle w:val="TOC3"/>
        <w:rPr>
          <w:rFonts w:asciiTheme="minorHAnsi" w:hAnsiTheme="minorHAnsi"/>
          <w:i w:val="0"/>
          <w:szCs w:val="24"/>
          <w:lang w:val="en-GB" w:eastAsia="en-GB"/>
        </w:rPr>
      </w:pPr>
      <w:hyperlink w:anchor="_Toc35943082" w:history="1">
        <w:r w:rsidR="00EE284F" w:rsidRPr="00D739A7">
          <w:rPr>
            <w:rStyle w:val="Hyperlink"/>
            <w:lang w:val="en-GB"/>
          </w:rPr>
          <w:t xml:space="preserve">Indicator 1.3c.4: the percentage of children with an official decision of SEN in </w:t>
        </w:r>
        <w:r w:rsidR="00EE284F" w:rsidRPr="00D739A7">
          <w:rPr>
            <w:rStyle w:val="Hyperlink"/>
            <w:lang w:val="en-GB"/>
          </w:rPr>
          <w:br/>
          <w:t>non-formal educational settings, based on the population of children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_Toc35943082 \h </w:instrText>
        </w:r>
        <w:r w:rsidR="00EE284F" w:rsidRPr="00D739A7">
          <w:rPr>
            <w:webHidden/>
            <w:lang w:val="en-GB"/>
          </w:rPr>
        </w:r>
        <w:r w:rsidR="00EE284F" w:rsidRPr="00D739A7">
          <w:rPr>
            <w:webHidden/>
            <w:lang w:val="en-GB"/>
          </w:rPr>
          <w:fldChar w:fldCharType="separate"/>
        </w:r>
        <w:r w:rsidR="00EE284F" w:rsidRPr="00D739A7">
          <w:rPr>
            <w:webHidden/>
            <w:lang w:val="en-GB"/>
          </w:rPr>
          <w:t>146</w:t>
        </w:r>
        <w:r w:rsidR="00EE284F" w:rsidRPr="00D739A7">
          <w:rPr>
            <w:webHidden/>
            <w:lang w:val="en-GB"/>
          </w:rPr>
          <w:fldChar w:fldCharType="end"/>
        </w:r>
      </w:hyperlink>
    </w:p>
    <w:p w14:paraId="6B9A18C9" w14:textId="52FA4E7E" w:rsidR="00EE284F" w:rsidRPr="00D739A7" w:rsidRDefault="00AC30F3">
      <w:pPr>
        <w:pStyle w:val="TOC2"/>
        <w:rPr>
          <w:rFonts w:asciiTheme="minorHAnsi" w:hAnsiTheme="minorHAnsi"/>
          <w:szCs w:val="24"/>
          <w:lang w:val="en-GB" w:eastAsia="en-GB"/>
        </w:rPr>
      </w:pPr>
      <w:hyperlink w:anchor="_Toc35943083" w:history="1">
        <w:r w:rsidR="00EE284F" w:rsidRPr="00D739A7">
          <w:rPr>
            <w:rStyle w:val="Hyperlink"/>
            <w:lang w:val="en-GB"/>
          </w:rPr>
          <w:t>2. Primary and lower-secondary education (ISCED levels 1 and 2)</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_Toc35943083 \h </w:instrText>
        </w:r>
        <w:r w:rsidR="00EE284F" w:rsidRPr="00D739A7">
          <w:rPr>
            <w:webHidden/>
            <w:lang w:val="en-GB"/>
          </w:rPr>
        </w:r>
        <w:r w:rsidR="00EE284F" w:rsidRPr="00D739A7">
          <w:rPr>
            <w:webHidden/>
            <w:lang w:val="en-GB"/>
          </w:rPr>
          <w:fldChar w:fldCharType="separate"/>
        </w:r>
        <w:r w:rsidR="00EE284F" w:rsidRPr="00D739A7">
          <w:rPr>
            <w:webHidden/>
            <w:lang w:val="en-GB"/>
          </w:rPr>
          <w:t>148</w:t>
        </w:r>
        <w:r w:rsidR="00EE284F" w:rsidRPr="00D739A7">
          <w:rPr>
            <w:webHidden/>
            <w:lang w:val="en-GB"/>
          </w:rPr>
          <w:fldChar w:fldCharType="end"/>
        </w:r>
      </w:hyperlink>
    </w:p>
    <w:p w14:paraId="11B5CB3D" w14:textId="28BF2FF6" w:rsidR="00EE284F" w:rsidRPr="00D739A7" w:rsidRDefault="00AC30F3">
      <w:pPr>
        <w:pStyle w:val="TOC3"/>
        <w:rPr>
          <w:rFonts w:asciiTheme="minorHAnsi" w:hAnsiTheme="minorHAnsi"/>
          <w:i w:val="0"/>
          <w:szCs w:val="24"/>
          <w:lang w:val="en-GB" w:eastAsia="en-GB"/>
        </w:rPr>
      </w:pPr>
      <w:hyperlink w:anchor="_Toc35943084" w:history="1">
        <w:r w:rsidR="00EE284F" w:rsidRPr="00D739A7">
          <w:rPr>
            <w:rStyle w:val="Hyperlink"/>
            <w:lang w:val="en-GB"/>
          </w:rPr>
          <w:t xml:space="preserve">Indicator 2.3b.4: the percentage of learners with an official decision of SEN in </w:t>
        </w:r>
        <w:r w:rsidR="00EE284F" w:rsidRPr="00D739A7">
          <w:rPr>
            <w:rStyle w:val="Hyperlink"/>
            <w:lang w:val="en-GB"/>
          </w:rPr>
          <w:br/>
          <w:t>non-formal educational settings,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_Toc35943084 \h </w:instrText>
        </w:r>
        <w:r w:rsidR="00EE284F" w:rsidRPr="00D739A7">
          <w:rPr>
            <w:webHidden/>
            <w:lang w:val="en-GB"/>
          </w:rPr>
        </w:r>
        <w:r w:rsidR="00EE284F" w:rsidRPr="00D739A7">
          <w:rPr>
            <w:webHidden/>
            <w:lang w:val="en-GB"/>
          </w:rPr>
          <w:fldChar w:fldCharType="separate"/>
        </w:r>
        <w:r w:rsidR="00EE284F" w:rsidRPr="00D739A7">
          <w:rPr>
            <w:webHidden/>
            <w:lang w:val="en-GB"/>
          </w:rPr>
          <w:t>148</w:t>
        </w:r>
        <w:r w:rsidR="00EE284F" w:rsidRPr="00D739A7">
          <w:rPr>
            <w:webHidden/>
            <w:lang w:val="en-GB"/>
          </w:rPr>
          <w:fldChar w:fldCharType="end"/>
        </w:r>
      </w:hyperlink>
    </w:p>
    <w:p w14:paraId="06428C26" w14:textId="499FBE5E" w:rsidR="00EE284F" w:rsidRPr="00D739A7" w:rsidRDefault="00AC30F3">
      <w:pPr>
        <w:pStyle w:val="TOC3"/>
        <w:rPr>
          <w:rFonts w:asciiTheme="minorHAnsi" w:hAnsiTheme="minorHAnsi"/>
          <w:i w:val="0"/>
          <w:szCs w:val="24"/>
          <w:lang w:val="en-GB" w:eastAsia="en-GB"/>
        </w:rPr>
      </w:pPr>
      <w:hyperlink w:anchor="_Toc35943085" w:history="1">
        <w:r w:rsidR="00EE284F" w:rsidRPr="00D739A7">
          <w:rPr>
            <w:rStyle w:val="Hyperlink"/>
            <w:lang w:val="en-GB"/>
          </w:rPr>
          <w:t xml:space="preserve">Indicator 2.3c.4: the percentage of learners with an official decision of SEN in </w:t>
        </w:r>
        <w:r w:rsidR="00EE284F" w:rsidRPr="00D739A7">
          <w:rPr>
            <w:rStyle w:val="Hyperlink"/>
            <w:lang w:val="en-GB"/>
          </w:rPr>
          <w:br/>
          <w:t>non-formal educational settings,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_Toc35943085 \h </w:instrText>
        </w:r>
        <w:r w:rsidR="00EE284F" w:rsidRPr="00D739A7">
          <w:rPr>
            <w:webHidden/>
            <w:lang w:val="en-GB"/>
          </w:rPr>
        </w:r>
        <w:r w:rsidR="00EE284F" w:rsidRPr="00D739A7">
          <w:rPr>
            <w:webHidden/>
            <w:lang w:val="en-GB"/>
          </w:rPr>
          <w:fldChar w:fldCharType="separate"/>
        </w:r>
        <w:r w:rsidR="00EE284F" w:rsidRPr="00D739A7">
          <w:rPr>
            <w:webHidden/>
            <w:lang w:val="en-GB"/>
          </w:rPr>
          <w:t>150</w:t>
        </w:r>
        <w:r w:rsidR="00EE284F" w:rsidRPr="00D739A7">
          <w:rPr>
            <w:webHidden/>
            <w:lang w:val="en-GB"/>
          </w:rPr>
          <w:fldChar w:fldCharType="end"/>
        </w:r>
      </w:hyperlink>
    </w:p>
    <w:p w14:paraId="42074EFE" w14:textId="5F7CFCDE" w:rsidR="00EE284F" w:rsidRPr="00D739A7" w:rsidRDefault="00AC30F3">
      <w:pPr>
        <w:pStyle w:val="TOC2"/>
        <w:rPr>
          <w:rFonts w:asciiTheme="minorHAnsi" w:hAnsiTheme="minorHAnsi"/>
          <w:szCs w:val="24"/>
          <w:lang w:val="en-GB" w:eastAsia="en-GB"/>
        </w:rPr>
      </w:pPr>
      <w:hyperlink w:anchor="_Toc35943086" w:history="1">
        <w:r w:rsidR="00EE284F" w:rsidRPr="00D739A7">
          <w:rPr>
            <w:rStyle w:val="Hyperlink"/>
            <w:rFonts w:cs="Calibri"/>
            <w:bCs/>
            <w:lang w:val="en-GB"/>
          </w:rPr>
          <w:t>3. Upper-secondary education (ISCED level 3)</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_Toc35943086 \h </w:instrText>
        </w:r>
        <w:r w:rsidR="00EE284F" w:rsidRPr="00D739A7">
          <w:rPr>
            <w:webHidden/>
            <w:lang w:val="en-GB"/>
          </w:rPr>
        </w:r>
        <w:r w:rsidR="00EE284F" w:rsidRPr="00D739A7">
          <w:rPr>
            <w:webHidden/>
            <w:lang w:val="en-GB"/>
          </w:rPr>
          <w:fldChar w:fldCharType="separate"/>
        </w:r>
        <w:r w:rsidR="00EE284F" w:rsidRPr="00D739A7">
          <w:rPr>
            <w:webHidden/>
            <w:lang w:val="en-GB"/>
          </w:rPr>
          <w:t>152</w:t>
        </w:r>
        <w:r w:rsidR="00EE284F" w:rsidRPr="00D739A7">
          <w:rPr>
            <w:webHidden/>
            <w:lang w:val="en-GB"/>
          </w:rPr>
          <w:fldChar w:fldCharType="end"/>
        </w:r>
      </w:hyperlink>
    </w:p>
    <w:p w14:paraId="2D6E412A" w14:textId="1056F95D" w:rsidR="00EE284F" w:rsidRPr="00D739A7" w:rsidRDefault="00AC30F3">
      <w:pPr>
        <w:pStyle w:val="TOC3"/>
        <w:rPr>
          <w:rFonts w:asciiTheme="minorHAnsi" w:hAnsiTheme="minorHAnsi"/>
          <w:i w:val="0"/>
          <w:szCs w:val="24"/>
          <w:lang w:val="en-GB" w:eastAsia="en-GB"/>
        </w:rPr>
      </w:pPr>
      <w:hyperlink w:anchor="_Toc35943087" w:history="1">
        <w:r w:rsidR="00EE284F" w:rsidRPr="00D739A7">
          <w:rPr>
            <w:rStyle w:val="Hyperlink"/>
            <w:lang w:val="en-GB"/>
          </w:rPr>
          <w:t xml:space="preserve">Indicator 3.3b.4: the percentage of learners with an official decision of SEN in </w:t>
        </w:r>
        <w:r w:rsidR="00EE284F" w:rsidRPr="00D739A7">
          <w:rPr>
            <w:rStyle w:val="Hyperlink"/>
            <w:lang w:val="en-GB"/>
          </w:rPr>
          <w:br/>
          <w:t>non-formal educational settings, based on the enrolled school population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_Toc35943087 \h </w:instrText>
        </w:r>
        <w:r w:rsidR="00EE284F" w:rsidRPr="00D739A7">
          <w:rPr>
            <w:webHidden/>
            <w:lang w:val="en-GB"/>
          </w:rPr>
        </w:r>
        <w:r w:rsidR="00EE284F" w:rsidRPr="00D739A7">
          <w:rPr>
            <w:webHidden/>
            <w:lang w:val="en-GB"/>
          </w:rPr>
          <w:fldChar w:fldCharType="separate"/>
        </w:r>
        <w:r w:rsidR="00EE284F" w:rsidRPr="00D739A7">
          <w:rPr>
            <w:webHidden/>
            <w:lang w:val="en-GB"/>
          </w:rPr>
          <w:t>152</w:t>
        </w:r>
        <w:r w:rsidR="00EE284F" w:rsidRPr="00D739A7">
          <w:rPr>
            <w:webHidden/>
            <w:lang w:val="en-GB"/>
          </w:rPr>
          <w:fldChar w:fldCharType="end"/>
        </w:r>
      </w:hyperlink>
    </w:p>
    <w:p w14:paraId="79C6A865" w14:textId="73A916C2" w:rsidR="00EE284F" w:rsidRPr="00D739A7" w:rsidRDefault="00AC30F3">
      <w:pPr>
        <w:pStyle w:val="TOC3"/>
        <w:rPr>
          <w:rFonts w:asciiTheme="minorHAnsi" w:hAnsiTheme="minorHAnsi"/>
          <w:i w:val="0"/>
          <w:szCs w:val="24"/>
          <w:lang w:val="en-GB" w:eastAsia="en-GB"/>
        </w:rPr>
      </w:pPr>
      <w:hyperlink w:anchor="_Toc35943088" w:history="1">
        <w:r w:rsidR="00EE284F" w:rsidRPr="00D739A7">
          <w:rPr>
            <w:rStyle w:val="Hyperlink"/>
            <w:lang w:val="en-GB"/>
          </w:rPr>
          <w:t xml:space="preserve">Indicator 3.3c.4: the percentage of learners with an official decision of SEN in </w:t>
        </w:r>
        <w:r w:rsidR="00EE284F" w:rsidRPr="00D739A7">
          <w:rPr>
            <w:rStyle w:val="Hyperlink"/>
            <w:lang w:val="en-GB"/>
          </w:rPr>
          <w:br/>
          <w:t>non-formal educational settings, based on the population of learners with an official decision of SEN (%)</w:t>
        </w:r>
        <w:r w:rsidR="00EE284F" w:rsidRPr="00D739A7">
          <w:rPr>
            <w:webHidden/>
            <w:lang w:val="en-GB"/>
          </w:rPr>
          <w:tab/>
        </w:r>
        <w:r w:rsidR="00EE284F" w:rsidRPr="00D739A7">
          <w:rPr>
            <w:webHidden/>
            <w:lang w:val="en-GB"/>
          </w:rPr>
          <w:fldChar w:fldCharType="begin"/>
        </w:r>
        <w:r w:rsidR="00EE284F" w:rsidRPr="00D739A7">
          <w:rPr>
            <w:webHidden/>
            <w:lang w:val="en-GB"/>
          </w:rPr>
          <w:instrText xml:space="preserve"> PAGEREF _Toc35943088 \h </w:instrText>
        </w:r>
        <w:r w:rsidR="00EE284F" w:rsidRPr="00D739A7">
          <w:rPr>
            <w:webHidden/>
            <w:lang w:val="en-GB"/>
          </w:rPr>
        </w:r>
        <w:r w:rsidR="00EE284F" w:rsidRPr="00D739A7">
          <w:rPr>
            <w:webHidden/>
            <w:lang w:val="en-GB"/>
          </w:rPr>
          <w:fldChar w:fldCharType="separate"/>
        </w:r>
        <w:r w:rsidR="00EE284F" w:rsidRPr="00D739A7">
          <w:rPr>
            <w:webHidden/>
            <w:lang w:val="en-GB"/>
          </w:rPr>
          <w:t>153</w:t>
        </w:r>
        <w:r w:rsidR="00EE284F" w:rsidRPr="00D739A7">
          <w:rPr>
            <w:webHidden/>
            <w:lang w:val="en-GB"/>
          </w:rPr>
          <w:fldChar w:fldCharType="end"/>
        </w:r>
      </w:hyperlink>
    </w:p>
    <w:p w14:paraId="3596E1D6" w14:textId="5537171D" w:rsidR="00D2437E" w:rsidRPr="00D739A7" w:rsidRDefault="007F0AF0" w:rsidP="00D2437E">
      <w:pPr>
        <w:spacing w:before="120" w:after="120" w:line="240" w:lineRule="auto"/>
        <w:rPr>
          <w:rFonts w:ascii="Calibri" w:eastAsia="Times New Roman" w:hAnsi="Calibri" w:cs="Calibri"/>
          <w:b/>
          <w:caps/>
          <w:color w:val="000000"/>
          <w:sz w:val="40"/>
          <w:szCs w:val="40"/>
          <w:lang w:val="en-GB"/>
        </w:rPr>
        <w:sectPr w:rsidR="00D2437E" w:rsidRPr="00D739A7" w:rsidSect="008A7E10">
          <w:pgSz w:w="11899" w:h="16838"/>
          <w:pgMar w:top="1134" w:right="1551" w:bottom="1276" w:left="1418" w:header="709" w:footer="709" w:gutter="0"/>
          <w:cols w:space="708"/>
          <w:docGrid w:linePitch="360"/>
        </w:sectPr>
      </w:pPr>
      <w:r w:rsidRPr="00D739A7">
        <w:rPr>
          <w:rFonts w:eastAsia="Times New Roman"/>
          <w:b/>
          <w:caps/>
          <w:lang w:val="en-GB"/>
        </w:rPr>
        <w:fldChar w:fldCharType="end"/>
      </w:r>
    </w:p>
    <w:p w14:paraId="786294B9" w14:textId="68DECC8B" w:rsidR="00D2437E" w:rsidRPr="00D739A7" w:rsidRDefault="00D2437E" w:rsidP="004A29D9">
      <w:pPr>
        <w:pStyle w:val="Agency-heading-1-report"/>
      </w:pPr>
      <w:bookmarkStart w:id="3" w:name="_Toc35943013"/>
      <w:bookmarkStart w:id="4" w:name="_Toc105226304"/>
      <w:bookmarkEnd w:id="0"/>
      <w:bookmarkEnd w:id="1"/>
      <w:bookmarkEnd w:id="2"/>
      <w:r w:rsidRPr="00D739A7">
        <w:lastRenderedPageBreak/>
        <w:t>Introduction</w:t>
      </w:r>
      <w:bookmarkEnd w:id="3"/>
    </w:p>
    <w:bookmarkEnd w:id="4"/>
    <w:p w14:paraId="120DDCA4" w14:textId="789EFA63" w:rsidR="00F21F95" w:rsidRPr="00D739A7" w:rsidRDefault="00D2437E" w:rsidP="00311A93">
      <w:pPr>
        <w:pStyle w:val="Agency-body-text"/>
        <w:rPr>
          <w:rFonts w:cs="Calibri"/>
        </w:rPr>
      </w:pPr>
      <w:r w:rsidRPr="00D739A7">
        <w:rPr>
          <w:rFonts w:cs="Calibri"/>
        </w:rPr>
        <w:t xml:space="preserve">The European Agency Statistics on Inclusive Education (EASIE) data collection work builds upon a series of activities </w:t>
      </w:r>
      <w:r w:rsidR="008E5A01" w:rsidRPr="00D739A7">
        <w:rPr>
          <w:rFonts w:cs="Calibri"/>
        </w:rPr>
        <w:t>conducted by</w:t>
      </w:r>
      <w:r w:rsidRPr="00D739A7">
        <w:rPr>
          <w:rFonts w:cs="Calibri"/>
        </w:rPr>
        <w:t xml:space="preserve"> the European Agency for Special Needs and Inclusive Education (the Agency). </w:t>
      </w:r>
      <w:r w:rsidR="00F21F95" w:rsidRPr="00D739A7">
        <w:rPr>
          <w:rFonts w:cs="Calibri"/>
        </w:rPr>
        <w:t>The first comparative quantitative data was collected in 1999</w:t>
      </w:r>
      <w:r w:rsidR="009B3CF9" w:rsidRPr="00D739A7">
        <w:rPr>
          <w:rFonts w:cs="Calibri"/>
        </w:rPr>
        <w:t>.</w:t>
      </w:r>
      <w:r w:rsidR="008E5A01" w:rsidRPr="00D739A7">
        <w:rPr>
          <w:rFonts w:cs="Calibri"/>
        </w:rPr>
        <w:t xml:space="preserve"> </w:t>
      </w:r>
      <w:r w:rsidR="009B3CF9" w:rsidRPr="00D739A7">
        <w:rPr>
          <w:rFonts w:cs="Calibri"/>
        </w:rPr>
        <w:t>S</w:t>
      </w:r>
      <w:r w:rsidR="008E5A01" w:rsidRPr="00D739A7">
        <w:rPr>
          <w:rFonts w:cs="Calibri"/>
        </w:rPr>
        <w:t>ince then, data has been collected roughly every two years.</w:t>
      </w:r>
    </w:p>
    <w:p w14:paraId="0B013BC6" w14:textId="75240CB9" w:rsidR="00F21F95" w:rsidRPr="00D739A7" w:rsidRDefault="00F21F95" w:rsidP="00311A93">
      <w:pPr>
        <w:pStyle w:val="Agency-body-text"/>
        <w:rPr>
          <w:rFonts w:cs="Calibri"/>
        </w:rPr>
      </w:pPr>
      <w:r w:rsidRPr="00D739A7">
        <w:rPr>
          <w:rFonts w:cs="Calibri"/>
        </w:rPr>
        <w:t>The EASIE data collection is a long-term, incremental Agency activity. The intention is that the work will focus on longer-term data collection in line with learners’ rights and educational system quality and effectiveness issues, as outlined within the 1989 United Nations Convention on the Rights of the Child and the 2006 Convention on the Rights of Persons with Disabilities, as well as the European Union (EU) strategic objectives for Education and Training (</w:t>
      </w:r>
      <w:r w:rsidR="0058191A" w:rsidRPr="00D739A7">
        <w:rPr>
          <w:rFonts w:cs="Calibri"/>
        </w:rPr>
        <w:t>ET </w:t>
      </w:r>
      <w:r w:rsidRPr="00D739A7">
        <w:rPr>
          <w:rFonts w:cs="Calibri"/>
        </w:rPr>
        <w:t>2020).</w:t>
      </w:r>
    </w:p>
    <w:p w14:paraId="3B47C56B" w14:textId="77777777" w:rsidR="00550DA8" w:rsidRPr="00D739A7" w:rsidRDefault="00F21F95" w:rsidP="00F21F95">
      <w:pPr>
        <w:pStyle w:val="Agency-body-text"/>
        <w:rPr>
          <w:rFonts w:cs="Calibri"/>
        </w:rPr>
      </w:pPr>
      <w:r w:rsidRPr="00D739A7">
        <w:rPr>
          <w:rFonts w:cs="Calibri"/>
        </w:rPr>
        <w:t>The EASIE data collection work has focused on developing procedures, indicators and outputs that provide individual country, comparative and aggregated data to inform country-level work relating to all learners’ access to inclusive education.</w:t>
      </w:r>
    </w:p>
    <w:p w14:paraId="7055025B" w14:textId="77777777" w:rsidR="00550DA8" w:rsidRPr="00D739A7" w:rsidRDefault="00F21F95" w:rsidP="00F21F95">
      <w:pPr>
        <w:pStyle w:val="Agency-body-text"/>
        <w:rPr>
          <w:rFonts w:cs="Calibri"/>
        </w:rPr>
      </w:pPr>
      <w:r w:rsidRPr="00D739A7">
        <w:rPr>
          <w:rFonts w:cs="Calibri"/>
        </w:rPr>
        <w:t xml:space="preserve">The EASIE work </w:t>
      </w:r>
      <w:r w:rsidR="00206672" w:rsidRPr="00D739A7">
        <w:rPr>
          <w:rFonts w:cs="Calibri"/>
        </w:rPr>
        <w:t>conducted</w:t>
      </w:r>
      <w:r w:rsidR="00EC2354" w:rsidRPr="00D739A7">
        <w:rPr>
          <w:rFonts w:cs="Calibri"/>
        </w:rPr>
        <w:t xml:space="preserve"> between 20</w:t>
      </w:r>
      <w:r w:rsidR="00206672" w:rsidRPr="00D739A7">
        <w:rPr>
          <w:rFonts w:cs="Calibri"/>
        </w:rPr>
        <w:t xml:space="preserve">12 and 2016 </w:t>
      </w:r>
      <w:r w:rsidRPr="00D739A7">
        <w:rPr>
          <w:rFonts w:cs="Calibri"/>
        </w:rPr>
        <w:t>focus</w:t>
      </w:r>
      <w:r w:rsidR="009B3CF9" w:rsidRPr="00D739A7">
        <w:rPr>
          <w:rFonts w:cs="Calibri"/>
        </w:rPr>
        <w:t>ed</w:t>
      </w:r>
      <w:r w:rsidRPr="00D739A7">
        <w:rPr>
          <w:rFonts w:cs="Calibri"/>
        </w:rPr>
        <w:t xml:space="preserve"> on all </w:t>
      </w:r>
      <w:r w:rsidR="00EC2354" w:rsidRPr="00D739A7">
        <w:rPr>
          <w:rFonts w:cs="Calibri"/>
        </w:rPr>
        <w:t>learners</w:t>
      </w:r>
      <w:r w:rsidRPr="00D739A7">
        <w:rPr>
          <w:rFonts w:cs="Calibri"/>
        </w:rPr>
        <w:t xml:space="preserve"> in compulsory education </w:t>
      </w:r>
      <w:r w:rsidR="00206672" w:rsidRPr="00D739A7">
        <w:rPr>
          <w:rFonts w:cs="Calibri"/>
        </w:rPr>
        <w:t>(</w:t>
      </w:r>
      <w:r w:rsidR="00A123CA" w:rsidRPr="00D739A7">
        <w:rPr>
          <w:rFonts w:cs="Calibri"/>
        </w:rPr>
        <w:t xml:space="preserve">International Standard Classification of Education – </w:t>
      </w:r>
      <w:r w:rsidR="00206672" w:rsidRPr="00D739A7">
        <w:rPr>
          <w:rFonts w:cs="Calibri"/>
        </w:rPr>
        <w:t>ISCED</w:t>
      </w:r>
      <w:r w:rsidR="00A123CA" w:rsidRPr="00D739A7">
        <w:rPr>
          <w:rFonts w:cs="Calibri"/>
        </w:rPr>
        <w:t xml:space="preserve"> –</w:t>
      </w:r>
      <w:r w:rsidR="00206672" w:rsidRPr="00D739A7">
        <w:rPr>
          <w:rFonts w:cs="Calibri"/>
        </w:rPr>
        <w:t xml:space="preserve"> </w:t>
      </w:r>
      <w:r w:rsidR="00A123CA" w:rsidRPr="00D739A7">
        <w:rPr>
          <w:rFonts w:cs="Calibri"/>
        </w:rPr>
        <w:t>levels </w:t>
      </w:r>
      <w:r w:rsidR="00206672" w:rsidRPr="00D739A7">
        <w:rPr>
          <w:rFonts w:cs="Calibri"/>
        </w:rPr>
        <w:t xml:space="preserve">1 and 2) </w:t>
      </w:r>
      <w:r w:rsidRPr="00D739A7">
        <w:rPr>
          <w:rFonts w:cs="Calibri"/>
        </w:rPr>
        <w:t xml:space="preserve">and enrolment in inclusive settings. </w:t>
      </w:r>
      <w:r w:rsidR="00206672" w:rsidRPr="00D739A7">
        <w:rPr>
          <w:rFonts w:cs="Calibri"/>
        </w:rPr>
        <w:t>I</w:t>
      </w:r>
      <w:r w:rsidR="00BE71F7" w:rsidRPr="00D739A7">
        <w:rPr>
          <w:rFonts w:cs="Calibri"/>
        </w:rPr>
        <w:t>n</w:t>
      </w:r>
      <w:r w:rsidR="00206672" w:rsidRPr="00D739A7">
        <w:rPr>
          <w:rFonts w:cs="Calibri"/>
        </w:rPr>
        <w:t xml:space="preserve"> agreement with the Agency’s country representatives, the 2018</w:t>
      </w:r>
      <w:r w:rsidRPr="00D739A7">
        <w:rPr>
          <w:rFonts w:cs="Calibri"/>
        </w:rPr>
        <w:t xml:space="preserve"> data collection also </w:t>
      </w:r>
      <w:r w:rsidR="00BE71F7" w:rsidRPr="00D739A7">
        <w:rPr>
          <w:rFonts w:cs="Calibri"/>
        </w:rPr>
        <w:t>covers</w:t>
      </w:r>
      <w:r w:rsidRPr="00D739A7">
        <w:rPr>
          <w:rFonts w:cs="Calibri"/>
        </w:rPr>
        <w:t xml:space="preserve"> pre-primary education (ISCED </w:t>
      </w:r>
      <w:r w:rsidR="00A123CA" w:rsidRPr="00D739A7">
        <w:rPr>
          <w:rFonts w:cs="Calibri"/>
        </w:rPr>
        <w:t>level </w:t>
      </w:r>
      <w:r w:rsidRPr="00D739A7">
        <w:rPr>
          <w:rFonts w:cs="Calibri"/>
        </w:rPr>
        <w:t>02) and upper</w:t>
      </w:r>
      <w:r w:rsidR="009B3CF9" w:rsidRPr="00D739A7">
        <w:rPr>
          <w:rFonts w:cs="Calibri"/>
        </w:rPr>
        <w:noBreakHyphen/>
      </w:r>
      <w:r w:rsidRPr="00D739A7">
        <w:rPr>
          <w:rFonts w:cs="Calibri"/>
        </w:rPr>
        <w:t xml:space="preserve">secondary education (ISCED </w:t>
      </w:r>
      <w:r w:rsidR="00A123CA" w:rsidRPr="00D739A7">
        <w:rPr>
          <w:rFonts w:cs="Calibri"/>
        </w:rPr>
        <w:t>level </w:t>
      </w:r>
      <w:r w:rsidRPr="00D739A7">
        <w:rPr>
          <w:rFonts w:cs="Calibri"/>
        </w:rPr>
        <w:t>3).</w:t>
      </w:r>
    </w:p>
    <w:p w14:paraId="31851EBD" w14:textId="34926C64" w:rsidR="00F21F95" w:rsidRPr="00D739A7" w:rsidRDefault="00F21F95" w:rsidP="00F21F95">
      <w:pPr>
        <w:pStyle w:val="Agency-body-text"/>
        <w:rPr>
          <w:rFonts w:cs="Calibri"/>
        </w:rPr>
      </w:pPr>
      <w:r w:rsidRPr="00D739A7">
        <w:rPr>
          <w:rFonts w:cs="Calibri"/>
        </w:rPr>
        <w:t>Th</w:t>
      </w:r>
      <w:r w:rsidR="005E2028" w:rsidRPr="00D739A7">
        <w:rPr>
          <w:rFonts w:cs="Calibri"/>
        </w:rPr>
        <w:t>is</w:t>
      </w:r>
      <w:r w:rsidRPr="00D739A7">
        <w:rPr>
          <w:rFonts w:cs="Calibri"/>
        </w:rPr>
        <w:t xml:space="preserve"> </w:t>
      </w:r>
      <w:r w:rsidR="005E2028" w:rsidRPr="00D739A7">
        <w:rPr>
          <w:rFonts w:cs="Calibri"/>
        </w:rPr>
        <w:t>2018</w:t>
      </w:r>
      <w:r w:rsidRPr="00D739A7">
        <w:rPr>
          <w:rFonts w:cs="Calibri"/>
        </w:rPr>
        <w:t xml:space="preserve"> </w:t>
      </w:r>
      <w:r w:rsidR="00A123CA" w:rsidRPr="00D739A7">
        <w:rPr>
          <w:rFonts w:cs="Calibri"/>
        </w:rPr>
        <w:t>Cross-</w:t>
      </w:r>
      <w:r w:rsidR="005E2028" w:rsidRPr="00D739A7">
        <w:rPr>
          <w:rFonts w:cs="Calibri"/>
        </w:rPr>
        <w:t>Country Report</w:t>
      </w:r>
      <w:r w:rsidRPr="00D739A7">
        <w:rPr>
          <w:rFonts w:cs="Calibri"/>
        </w:rPr>
        <w:t xml:space="preserve"> provides a wide range of indicators relating to access to inclusive education, including breakdowns by gender and ISCED </w:t>
      </w:r>
      <w:r w:rsidR="00A123CA" w:rsidRPr="00D739A7">
        <w:rPr>
          <w:rFonts w:cs="Calibri"/>
        </w:rPr>
        <w:t>levels </w:t>
      </w:r>
      <w:r w:rsidRPr="00D739A7">
        <w:rPr>
          <w:rFonts w:cs="Calibri"/>
        </w:rPr>
        <w:t>02, 1, 2 and 3.</w:t>
      </w:r>
    </w:p>
    <w:p w14:paraId="2E7CEAD6" w14:textId="77777777" w:rsidR="00D2437E" w:rsidRPr="00D739A7" w:rsidRDefault="00D2437E" w:rsidP="007E58DA">
      <w:pPr>
        <w:pStyle w:val="Agency-body-text"/>
      </w:pPr>
      <w:r w:rsidRPr="00D739A7">
        <w:t xml:space="preserve">For more details on the steps taken to develop the EASIE working procedures, please refer to the </w:t>
      </w:r>
      <w:hyperlink r:id="rId27" w:history="1">
        <w:r w:rsidRPr="00D739A7">
          <w:rPr>
            <w:color w:val="0000FF"/>
            <w:u w:val="single"/>
          </w:rPr>
          <w:t>EASIE Methodology Report</w:t>
        </w:r>
      </w:hyperlink>
      <w:r w:rsidRPr="00D739A7">
        <w:t>.</w:t>
      </w:r>
    </w:p>
    <w:p w14:paraId="6AAC57D5" w14:textId="77777777" w:rsidR="00550DA8" w:rsidRPr="00D739A7" w:rsidRDefault="00D2437E" w:rsidP="007E58DA">
      <w:pPr>
        <w:pStyle w:val="Agency-body-text"/>
      </w:pPr>
      <w:r w:rsidRPr="00D739A7">
        <w:t xml:space="preserve">This is the </w:t>
      </w:r>
      <w:r w:rsidR="0044248C" w:rsidRPr="00D739A7">
        <w:t>third</w:t>
      </w:r>
      <w:r w:rsidRPr="00D739A7">
        <w:t xml:space="preserve"> dataset collected via the EASIE activities</w:t>
      </w:r>
      <w:r w:rsidR="009B3CF9" w:rsidRPr="00D739A7">
        <w:t>.</w:t>
      </w:r>
      <w:r w:rsidRPr="00D739A7">
        <w:t xml:space="preserve"> </w:t>
      </w:r>
      <w:r w:rsidR="009B3CF9" w:rsidRPr="00D739A7">
        <w:t xml:space="preserve">It </w:t>
      </w:r>
      <w:r w:rsidRPr="00D739A7">
        <w:t xml:space="preserve">uses the raw data available on the </w:t>
      </w:r>
      <w:hyperlink r:id="rId28" w:history="1">
        <w:r w:rsidRPr="00D739A7">
          <w:rPr>
            <w:color w:val="0000FF"/>
            <w:u w:val="single"/>
          </w:rPr>
          <w:t>EASIE Data web area</w:t>
        </w:r>
      </w:hyperlink>
      <w:r w:rsidRPr="00D739A7">
        <w:t>. The</w:t>
      </w:r>
      <w:r w:rsidR="00A123CA" w:rsidRPr="00D739A7">
        <w:t xml:space="preserve"> previous Cross-Country Reports,</w:t>
      </w:r>
      <w:r w:rsidRPr="00D739A7">
        <w:t xml:space="preserve"> </w:t>
      </w:r>
      <w:hyperlink r:id="rId29" w:history="1">
        <w:r w:rsidRPr="00D739A7">
          <w:rPr>
            <w:color w:val="0000FF"/>
            <w:u w:val="single"/>
          </w:rPr>
          <w:t>2014 Dataset Cross-Country Report</w:t>
        </w:r>
      </w:hyperlink>
      <w:r w:rsidR="00A123CA" w:rsidRPr="00D739A7">
        <w:t xml:space="preserve"> and</w:t>
      </w:r>
      <w:r w:rsidR="0044248C" w:rsidRPr="00D739A7">
        <w:t xml:space="preserve"> </w:t>
      </w:r>
      <w:hyperlink r:id="rId30" w:history="1">
        <w:r w:rsidR="0044248C" w:rsidRPr="00D739A7">
          <w:rPr>
            <w:rStyle w:val="Hyperlink"/>
            <w:rFonts w:cs="Calibri"/>
            <w:szCs w:val="24"/>
          </w:rPr>
          <w:t>2016 Dataset Cross-Country Report</w:t>
        </w:r>
      </w:hyperlink>
      <w:r w:rsidR="00A123CA" w:rsidRPr="00D739A7">
        <w:t>, are also available online.</w:t>
      </w:r>
    </w:p>
    <w:p w14:paraId="4758B227" w14:textId="77777777" w:rsidR="00550DA8" w:rsidRPr="00D739A7" w:rsidRDefault="003103F6" w:rsidP="007E58DA">
      <w:pPr>
        <w:pStyle w:val="Agency-body-text"/>
      </w:pPr>
      <w:r w:rsidRPr="00D739A7">
        <w:lastRenderedPageBreak/>
        <w:t xml:space="preserve">Data collection to date </w:t>
      </w:r>
      <w:r w:rsidR="00A123CA" w:rsidRPr="00D739A7">
        <w:t xml:space="preserve">has </w:t>
      </w:r>
      <w:r w:rsidRPr="00D739A7">
        <w:t xml:space="preserve">been carried out </w:t>
      </w:r>
      <w:r w:rsidR="005C6D95" w:rsidRPr="00D739A7">
        <w:t>every two years</w:t>
      </w:r>
      <w:r w:rsidRPr="00D739A7">
        <w:t>. However,</w:t>
      </w:r>
      <w:r w:rsidR="005C6D95" w:rsidRPr="00D739A7">
        <w:t xml:space="preserve"> from 2020 the data collection will </w:t>
      </w:r>
      <w:r w:rsidRPr="00D739A7">
        <w:t>be annual</w:t>
      </w:r>
      <w:r w:rsidR="005C6D95" w:rsidRPr="00D739A7">
        <w:t>. Consequently, from 2020 onwards, there will be annual Cross</w:t>
      </w:r>
      <w:r w:rsidR="009B3CF9" w:rsidRPr="00D739A7">
        <w:noBreakHyphen/>
      </w:r>
      <w:r w:rsidR="005C6D95" w:rsidRPr="00D739A7">
        <w:t>Country Reports.</w:t>
      </w:r>
    </w:p>
    <w:p w14:paraId="66570762" w14:textId="77777777" w:rsidR="00550DA8" w:rsidRPr="00D739A7" w:rsidRDefault="00D2437E" w:rsidP="007E58DA">
      <w:pPr>
        <w:pStyle w:val="Agency-body-text"/>
      </w:pPr>
      <w:r w:rsidRPr="00D739A7">
        <w:t>The Cross-Country Report</w:t>
      </w:r>
      <w:r w:rsidR="00A123CA" w:rsidRPr="00D739A7">
        <w:t>s</w:t>
      </w:r>
      <w:r w:rsidRPr="00D739A7">
        <w:t xml:space="preserve"> aim to present the agreed data from participating countries in a cross-country format</w:t>
      </w:r>
      <w:r w:rsidR="00A123CA" w:rsidRPr="00D739A7">
        <w:t xml:space="preserve">. </w:t>
      </w:r>
      <w:r w:rsidR="00356C9F" w:rsidRPr="00D739A7">
        <w:t>The</w:t>
      </w:r>
      <w:r w:rsidR="004A29D9" w:rsidRPr="00D739A7">
        <w:t>y</w:t>
      </w:r>
      <w:r w:rsidR="00356C9F" w:rsidRPr="00D739A7">
        <w:t xml:space="preserve"> </w:t>
      </w:r>
      <w:r w:rsidRPr="00D739A7">
        <w:t>ha</w:t>
      </w:r>
      <w:r w:rsidR="00356C9F" w:rsidRPr="00D739A7">
        <w:t>ve</w:t>
      </w:r>
      <w:r w:rsidRPr="00D739A7">
        <w:t xml:space="preserve"> the potential to directly inform the work of national- and European-level policy- and decision-makers working in the field of inclusive education.</w:t>
      </w:r>
    </w:p>
    <w:p w14:paraId="6D50C21E" w14:textId="77777777" w:rsidR="00550DA8" w:rsidRPr="00D739A7" w:rsidRDefault="00D2437E" w:rsidP="007E58DA">
      <w:pPr>
        <w:pStyle w:val="Agency-body-text"/>
      </w:pPr>
      <w:r w:rsidRPr="00D739A7">
        <w:t xml:space="preserve">The respective ministries of education in the participating countries nominate national </w:t>
      </w:r>
      <w:r w:rsidR="00AB5DAD" w:rsidRPr="00D739A7">
        <w:t xml:space="preserve">data </w:t>
      </w:r>
      <w:r w:rsidRPr="00D739A7">
        <w:t xml:space="preserve">experts who provide all the country data. The </w:t>
      </w:r>
      <w:hyperlink r:id="rId31" w:history="1">
        <w:r w:rsidRPr="00D739A7">
          <w:rPr>
            <w:color w:val="0000FF"/>
            <w:u w:val="single"/>
          </w:rPr>
          <w:t>experts’ details</w:t>
        </w:r>
      </w:hyperlink>
      <w:r w:rsidRPr="00D739A7">
        <w:t xml:space="preserve"> are available online</w:t>
      </w:r>
      <w:r w:rsidR="00A4608B" w:rsidRPr="00D739A7">
        <w:t>.</w:t>
      </w:r>
    </w:p>
    <w:p w14:paraId="0F3B5F9C" w14:textId="1EACFC1E" w:rsidR="0044248C" w:rsidRPr="00D739A7" w:rsidRDefault="00A123CA" w:rsidP="000B11DB">
      <w:pPr>
        <w:pStyle w:val="Agency-body-text"/>
        <w:rPr>
          <w:color w:val="000000"/>
          <w:szCs w:val="24"/>
        </w:rPr>
      </w:pPr>
      <w:r w:rsidRPr="00D739A7">
        <w:t>T</w:t>
      </w:r>
      <w:r w:rsidR="00D2437E" w:rsidRPr="00D739A7">
        <w:t xml:space="preserve">he report </w:t>
      </w:r>
      <w:r w:rsidR="00E47CBB" w:rsidRPr="00D739A7">
        <w:t xml:space="preserve">for 2018 </w:t>
      </w:r>
      <w:r w:rsidR="00D2437E" w:rsidRPr="00D739A7">
        <w:t>covers data from 3</w:t>
      </w:r>
      <w:r w:rsidR="0044248C" w:rsidRPr="00D739A7">
        <w:t>2</w:t>
      </w:r>
      <w:r w:rsidR="00D2437E" w:rsidRPr="00D739A7">
        <w:t xml:space="preserve"> participating countries: </w:t>
      </w:r>
      <w:r w:rsidR="0044248C" w:rsidRPr="00D739A7">
        <w:t xml:space="preserve">Austria, </w:t>
      </w:r>
      <w:r w:rsidRPr="00D739A7">
        <w:t>Belgium </w:t>
      </w:r>
      <w:r w:rsidR="0044248C" w:rsidRPr="00D739A7">
        <w:t>(Flemish community</w:t>
      </w:r>
      <w:r w:rsidR="004A29D9" w:rsidRPr="00D739A7">
        <w:t xml:space="preserve"> – Fl</w:t>
      </w:r>
      <w:r w:rsidR="0044248C" w:rsidRPr="00D739A7">
        <w:t xml:space="preserve">), Bulgaria, Cyprus, Czech Republic, Estonia, Finland, France, Germany, Greece, Hungary, Iceland, Ireland, Italy, Latvia, Lithuania, Luxembourg, Malta, Netherlands, Norway, Poland, Portugal, Serbia, Slovakia, Slovenia, Spain, Sweden, Switzerland, United </w:t>
      </w:r>
      <w:r w:rsidR="002F0E4D" w:rsidRPr="00D739A7">
        <w:t>Kingdom (UK) </w:t>
      </w:r>
      <w:r w:rsidR="0044248C" w:rsidRPr="00D739A7">
        <w:t xml:space="preserve">(England), </w:t>
      </w:r>
      <w:r w:rsidR="00E61A02" w:rsidRPr="00D739A7">
        <w:t>UK (</w:t>
      </w:r>
      <w:r w:rsidR="0044248C" w:rsidRPr="00D739A7">
        <w:t xml:space="preserve">Northern Ireland), </w:t>
      </w:r>
      <w:r w:rsidR="00E61A02" w:rsidRPr="00D739A7">
        <w:t>UK (</w:t>
      </w:r>
      <w:r w:rsidR="0044248C" w:rsidRPr="00D739A7">
        <w:t xml:space="preserve">Scotland) and </w:t>
      </w:r>
      <w:r w:rsidR="00E61A02" w:rsidRPr="00D739A7">
        <w:t>UK (</w:t>
      </w:r>
      <w:r w:rsidR="0044248C" w:rsidRPr="00D739A7">
        <w:t>Wales).</w:t>
      </w:r>
    </w:p>
    <w:p w14:paraId="0820D61B" w14:textId="29F8966F" w:rsidR="00D2437E" w:rsidRPr="00D739A7" w:rsidRDefault="00D2437E" w:rsidP="007E58DA">
      <w:pPr>
        <w:pStyle w:val="Agency-heading-2-report"/>
      </w:pPr>
      <w:bookmarkStart w:id="5" w:name="_Toc491072342"/>
      <w:bookmarkStart w:id="6" w:name="_Toc491170516"/>
      <w:bookmarkStart w:id="7" w:name="_Toc523733144"/>
      <w:bookmarkStart w:id="8" w:name="_Toc35943014"/>
      <w:r w:rsidRPr="00D739A7">
        <w:t>The 201</w:t>
      </w:r>
      <w:r w:rsidR="008A7E10" w:rsidRPr="00D739A7">
        <w:t>8</w:t>
      </w:r>
      <w:r w:rsidRPr="00D739A7">
        <w:t xml:space="preserve"> EASIE dataset</w:t>
      </w:r>
      <w:bookmarkEnd w:id="5"/>
      <w:bookmarkEnd w:id="6"/>
      <w:bookmarkEnd w:id="7"/>
      <w:bookmarkEnd w:id="8"/>
    </w:p>
    <w:p w14:paraId="23426B86" w14:textId="77777777" w:rsidR="00550DA8" w:rsidRPr="00D739A7" w:rsidRDefault="00D2437E" w:rsidP="007E58DA">
      <w:pPr>
        <w:pStyle w:val="Agency-body-text"/>
      </w:pPr>
      <w:r w:rsidRPr="00D739A7">
        <w:t xml:space="preserve">The national-level educational data experts in the participating countries provided the country data in line with an agreed framework of quantitative and qualitative information collection questions. </w:t>
      </w:r>
      <w:r w:rsidR="00991E7E" w:rsidRPr="00D739A7">
        <w:t xml:space="preserve">The </w:t>
      </w:r>
      <w:r w:rsidRPr="00D739A7">
        <w:t xml:space="preserve">Agency Representative Board members </w:t>
      </w:r>
      <w:r w:rsidR="00991E7E" w:rsidRPr="00D739A7">
        <w:t xml:space="preserve">approved this data, which was then </w:t>
      </w:r>
      <w:r w:rsidRPr="00D739A7">
        <w:t xml:space="preserve">published on the </w:t>
      </w:r>
      <w:hyperlink r:id="rId32" w:history="1">
        <w:r w:rsidRPr="00D739A7">
          <w:rPr>
            <w:rStyle w:val="Hyperlink"/>
            <w:rFonts w:cs="Calibri"/>
            <w:szCs w:val="24"/>
          </w:rPr>
          <w:t>EASIE Data web area</w:t>
        </w:r>
      </w:hyperlink>
      <w:r w:rsidRPr="00D739A7">
        <w:t>.</w:t>
      </w:r>
      <w:r w:rsidR="0044248C" w:rsidRPr="00D739A7">
        <w:t xml:space="preserve"> Country data was compulsory for ISCED</w:t>
      </w:r>
      <w:r w:rsidR="008D18AE" w:rsidRPr="00D739A7">
        <w:t xml:space="preserve"> </w:t>
      </w:r>
      <w:r w:rsidR="002F0E4D" w:rsidRPr="00D739A7">
        <w:t>levels </w:t>
      </w:r>
      <w:r w:rsidR="0044248C" w:rsidRPr="00D739A7">
        <w:t>1 and 2, while it was voluntary to provide data for ISCED</w:t>
      </w:r>
      <w:r w:rsidR="008D18AE" w:rsidRPr="00D739A7">
        <w:t xml:space="preserve"> </w:t>
      </w:r>
      <w:r w:rsidR="002F0E4D" w:rsidRPr="00D739A7">
        <w:t>levels </w:t>
      </w:r>
      <w:r w:rsidR="0044248C" w:rsidRPr="00D739A7">
        <w:t xml:space="preserve">02 and 3. This is the first time </w:t>
      </w:r>
      <w:r w:rsidR="00904CC8" w:rsidRPr="00D739A7">
        <w:t xml:space="preserve">within EASIE that </w:t>
      </w:r>
      <w:r w:rsidR="0044248C" w:rsidRPr="00D739A7">
        <w:t xml:space="preserve">data </w:t>
      </w:r>
      <w:r w:rsidR="002F0E4D" w:rsidRPr="00D739A7">
        <w:t xml:space="preserve">has been </w:t>
      </w:r>
      <w:r w:rsidR="0044248C" w:rsidRPr="00D739A7">
        <w:t>collected at ISCED</w:t>
      </w:r>
      <w:r w:rsidR="008D18AE" w:rsidRPr="00D739A7">
        <w:t xml:space="preserve"> </w:t>
      </w:r>
      <w:r w:rsidR="0044248C" w:rsidRPr="00D739A7">
        <w:t>level</w:t>
      </w:r>
      <w:r w:rsidR="002F0E4D" w:rsidRPr="00D739A7">
        <w:t>s </w:t>
      </w:r>
      <w:r w:rsidR="0044248C" w:rsidRPr="00D739A7">
        <w:t>02 and 3.</w:t>
      </w:r>
    </w:p>
    <w:p w14:paraId="38AE8FC6" w14:textId="1B839D9E" w:rsidR="00D2437E" w:rsidRPr="00D739A7" w:rsidRDefault="00D2437E" w:rsidP="004A29D9">
      <w:pPr>
        <w:pStyle w:val="Agency-body-text"/>
        <w:keepNext/>
      </w:pPr>
      <w:r w:rsidRPr="00D739A7">
        <w:t xml:space="preserve">Country data was collected and is presented in </w:t>
      </w:r>
      <w:r w:rsidRPr="00D739A7">
        <w:rPr>
          <w:szCs w:val="28"/>
        </w:rPr>
        <w:t>data tables for each country</w:t>
      </w:r>
      <w:r w:rsidR="00E63940" w:rsidRPr="00D739A7">
        <w:rPr>
          <w:szCs w:val="28"/>
        </w:rPr>
        <w:t xml:space="preserve"> on</w:t>
      </w:r>
      <w:r w:rsidRPr="00D739A7">
        <w:rPr>
          <w:szCs w:val="28"/>
        </w:rPr>
        <w:t>:</w:t>
      </w:r>
    </w:p>
    <w:p w14:paraId="1BCE812A" w14:textId="1DA71FFC" w:rsidR="00D2437E" w:rsidRPr="00D739A7" w:rsidRDefault="00D2437E" w:rsidP="0001786D">
      <w:pPr>
        <w:pStyle w:val="Agency-body-text"/>
        <w:numPr>
          <w:ilvl w:val="0"/>
          <w:numId w:val="34"/>
        </w:numPr>
      </w:pPr>
      <w:bookmarkStart w:id="9" w:name="_Toc274226378"/>
      <w:r w:rsidRPr="00D739A7">
        <w:t>Population and enrolment</w:t>
      </w:r>
      <w:bookmarkEnd w:id="9"/>
    </w:p>
    <w:p w14:paraId="5FF860B0" w14:textId="77777777" w:rsidR="00550DA8" w:rsidRPr="00D739A7" w:rsidRDefault="00D2437E" w:rsidP="0001786D">
      <w:pPr>
        <w:pStyle w:val="Agency-body-text"/>
        <w:numPr>
          <w:ilvl w:val="0"/>
          <w:numId w:val="34"/>
        </w:numPr>
      </w:pPr>
      <w:r w:rsidRPr="00D739A7">
        <w:t xml:space="preserve">Age samples of </w:t>
      </w:r>
      <w:r w:rsidR="0044248C" w:rsidRPr="00D739A7">
        <w:t xml:space="preserve">4, </w:t>
      </w:r>
      <w:r w:rsidRPr="00D739A7">
        <w:t>9</w:t>
      </w:r>
      <w:r w:rsidR="0044248C" w:rsidRPr="00D739A7">
        <w:t>, 15</w:t>
      </w:r>
      <w:r w:rsidRPr="00D739A7">
        <w:t xml:space="preserve"> and </w:t>
      </w:r>
      <w:r w:rsidR="00E63940" w:rsidRPr="00D739A7">
        <w:t>17-</w:t>
      </w:r>
      <w:r w:rsidRPr="00D739A7">
        <w:t>year</w:t>
      </w:r>
      <w:r w:rsidR="00E63940" w:rsidRPr="00D739A7">
        <w:t>-old</w:t>
      </w:r>
      <w:r w:rsidRPr="00D739A7">
        <w:t>s</w:t>
      </w:r>
    </w:p>
    <w:p w14:paraId="2E4C6A0E" w14:textId="77777777" w:rsidR="00550DA8" w:rsidRPr="00D739A7" w:rsidRDefault="00BB75D8" w:rsidP="0001786D">
      <w:pPr>
        <w:pStyle w:val="Agency-body-text"/>
        <w:numPr>
          <w:ilvl w:val="0"/>
          <w:numId w:val="34"/>
        </w:numPr>
      </w:pPr>
      <w:r w:rsidRPr="00D739A7">
        <w:t>Children/learners</w:t>
      </w:r>
      <w:r w:rsidR="00D2437E" w:rsidRPr="00D739A7">
        <w:t xml:space="preserve"> with an official decision of </w:t>
      </w:r>
      <w:r w:rsidR="002F71D6" w:rsidRPr="00D739A7">
        <w:t>special educational needs (</w:t>
      </w:r>
      <w:r w:rsidR="00D2437E" w:rsidRPr="00D739A7">
        <w:t>SEN</w:t>
      </w:r>
      <w:r w:rsidR="002F71D6" w:rsidRPr="00D739A7">
        <w:t>)</w:t>
      </w:r>
    </w:p>
    <w:p w14:paraId="002061B1" w14:textId="77777777" w:rsidR="00550DA8" w:rsidRPr="00D739A7" w:rsidRDefault="00D2437E" w:rsidP="0001786D">
      <w:pPr>
        <w:pStyle w:val="Agency-body-text"/>
        <w:numPr>
          <w:ilvl w:val="0"/>
          <w:numId w:val="34"/>
        </w:numPr>
      </w:pPr>
      <w:r w:rsidRPr="00D739A7">
        <w:t xml:space="preserve">Gender breakdown of </w:t>
      </w:r>
      <w:r w:rsidR="00BB75D8" w:rsidRPr="00D739A7">
        <w:t>children/learners</w:t>
      </w:r>
      <w:r w:rsidRPr="00D739A7">
        <w:t xml:space="preserve"> with an official decision of SEN</w:t>
      </w:r>
    </w:p>
    <w:p w14:paraId="24E4B4CB" w14:textId="0FBDD1A5" w:rsidR="008D18AE" w:rsidRPr="00D739A7" w:rsidRDefault="008D18AE" w:rsidP="0001786D">
      <w:pPr>
        <w:pStyle w:val="Agency-body-text"/>
        <w:numPr>
          <w:ilvl w:val="0"/>
          <w:numId w:val="34"/>
        </w:numPr>
      </w:pPr>
      <w:r w:rsidRPr="00D739A7">
        <w:t>Placement of children/learners with an official decision of SEN</w:t>
      </w:r>
      <w:r w:rsidR="00AB5DAD" w:rsidRPr="00D739A7">
        <w:t>.</w:t>
      </w:r>
    </w:p>
    <w:p w14:paraId="3889F4C9" w14:textId="77777777" w:rsidR="00D2437E" w:rsidRPr="00D739A7" w:rsidRDefault="00D2437E" w:rsidP="004A29D9">
      <w:pPr>
        <w:pStyle w:val="Agency-body-text"/>
        <w:keepNext/>
      </w:pPr>
      <w:r w:rsidRPr="00D739A7">
        <w:t>The agreed focus for the EASIE data collection covers:</w:t>
      </w:r>
    </w:p>
    <w:p w14:paraId="1F8087F5" w14:textId="1C6318FF" w:rsidR="00D2437E" w:rsidRPr="00D739A7" w:rsidRDefault="00D2437E" w:rsidP="007E58DA">
      <w:pPr>
        <w:pStyle w:val="Agency-body-text"/>
        <w:numPr>
          <w:ilvl w:val="0"/>
          <w:numId w:val="35"/>
        </w:numPr>
      </w:pPr>
      <w:r w:rsidRPr="00D739A7">
        <w:t xml:space="preserve">the compulsory school age range population in ISCED levels 1 and 2 (the number of </w:t>
      </w:r>
      <w:r w:rsidR="008D18AE" w:rsidRPr="00D739A7">
        <w:t xml:space="preserve">learners </w:t>
      </w:r>
      <w:r w:rsidRPr="00D739A7">
        <w:t>in a given age range enrolled in schools);</w:t>
      </w:r>
    </w:p>
    <w:p w14:paraId="20C2A064" w14:textId="2EF19495" w:rsidR="008D18AE" w:rsidRPr="00D739A7" w:rsidRDefault="008D18AE" w:rsidP="007E58DA">
      <w:pPr>
        <w:pStyle w:val="Agency-body-text"/>
        <w:numPr>
          <w:ilvl w:val="0"/>
          <w:numId w:val="35"/>
        </w:numPr>
      </w:pPr>
      <w:r w:rsidRPr="00D739A7">
        <w:t xml:space="preserve">pre-primary education in </w:t>
      </w:r>
      <w:r w:rsidR="00436B97" w:rsidRPr="00D739A7">
        <w:t>ISCED level 0</w:t>
      </w:r>
      <w:r w:rsidRPr="00D739A7">
        <w:t xml:space="preserve">2, which </w:t>
      </w:r>
      <w:r w:rsidR="002F71D6" w:rsidRPr="00D739A7">
        <w:t>was</w:t>
      </w:r>
      <w:r w:rsidRPr="00D739A7">
        <w:t xml:space="preserve"> voluntary in the 2018 data collection</w:t>
      </w:r>
      <w:r w:rsidR="002F71D6" w:rsidRPr="00D739A7">
        <w:t>;</w:t>
      </w:r>
    </w:p>
    <w:p w14:paraId="483BED2F" w14:textId="50061ADF" w:rsidR="008D18AE" w:rsidRPr="00D739A7" w:rsidRDefault="002F71D6" w:rsidP="007E58DA">
      <w:pPr>
        <w:pStyle w:val="Agency-body-text"/>
        <w:numPr>
          <w:ilvl w:val="0"/>
          <w:numId w:val="35"/>
        </w:numPr>
      </w:pPr>
      <w:r w:rsidRPr="00D739A7">
        <w:t>upper-</w:t>
      </w:r>
      <w:r w:rsidR="008D18AE" w:rsidRPr="00D739A7">
        <w:t xml:space="preserve">secondary education in </w:t>
      </w:r>
      <w:r w:rsidR="00436B97" w:rsidRPr="00D739A7">
        <w:t>ISCED 3</w:t>
      </w:r>
      <w:r w:rsidR="008D18AE" w:rsidRPr="00D739A7">
        <w:t xml:space="preserve">, which </w:t>
      </w:r>
      <w:r w:rsidRPr="00D739A7">
        <w:t>was</w:t>
      </w:r>
      <w:r w:rsidR="008D18AE" w:rsidRPr="00D739A7">
        <w:t xml:space="preserve"> voluntary in the 2018 data collection</w:t>
      </w:r>
      <w:r w:rsidRPr="00D739A7">
        <w:t>;</w:t>
      </w:r>
    </w:p>
    <w:p w14:paraId="20EC79AE" w14:textId="7AE9A6B2" w:rsidR="00D2437E" w:rsidRPr="00D739A7" w:rsidRDefault="00D2437E" w:rsidP="007E58DA">
      <w:pPr>
        <w:pStyle w:val="Agency-body-text"/>
        <w:numPr>
          <w:ilvl w:val="0"/>
          <w:numId w:val="35"/>
        </w:numPr>
      </w:pPr>
      <w:r w:rsidRPr="00D739A7">
        <w:rPr>
          <w:rFonts w:eastAsia="MS PGothic"/>
        </w:rPr>
        <w:t xml:space="preserve">all education </w:t>
      </w:r>
      <w:r w:rsidR="00991E7E" w:rsidRPr="00D739A7">
        <w:rPr>
          <w:rFonts w:eastAsia="MS PGothic"/>
        </w:rPr>
        <w:t xml:space="preserve">sectors </w:t>
      </w:r>
      <w:r w:rsidRPr="00D739A7">
        <w:rPr>
          <w:rFonts w:eastAsia="MS PGothic"/>
        </w:rPr>
        <w:t>(state, independent and private);</w:t>
      </w:r>
    </w:p>
    <w:p w14:paraId="2B04BA1D" w14:textId="586EF09E" w:rsidR="00D2437E" w:rsidRPr="00D739A7" w:rsidRDefault="00D2437E" w:rsidP="007E58DA">
      <w:pPr>
        <w:pStyle w:val="Agency-body-text"/>
        <w:numPr>
          <w:ilvl w:val="0"/>
          <w:numId w:val="35"/>
        </w:numPr>
      </w:pPr>
      <w:r w:rsidRPr="00D739A7">
        <w:t xml:space="preserve">all possible educational placements (mainstream, special </w:t>
      </w:r>
      <w:r w:rsidR="008D18AE" w:rsidRPr="00D739A7">
        <w:t>groups/</w:t>
      </w:r>
      <w:r w:rsidRPr="00D739A7">
        <w:t>classes and units and special schools);</w:t>
      </w:r>
    </w:p>
    <w:p w14:paraId="6F64C353" w14:textId="77777777" w:rsidR="00D2437E" w:rsidRPr="00D739A7" w:rsidRDefault="00D2437E" w:rsidP="007E58DA">
      <w:pPr>
        <w:pStyle w:val="Agency-body-text"/>
        <w:numPr>
          <w:ilvl w:val="0"/>
          <w:numId w:val="35"/>
        </w:numPr>
      </w:pPr>
      <w:r w:rsidRPr="00D739A7">
        <w:lastRenderedPageBreak/>
        <w:t>non-formal education (provision maintained by non-education sectors, i.e. health or social services);</w:t>
      </w:r>
    </w:p>
    <w:p w14:paraId="07A62A5C" w14:textId="40418022" w:rsidR="00D2437E" w:rsidRPr="00D739A7" w:rsidRDefault="00D2437E" w:rsidP="007E58DA">
      <w:pPr>
        <w:pStyle w:val="Agency-body-text"/>
        <w:numPr>
          <w:ilvl w:val="0"/>
          <w:numId w:val="35"/>
        </w:numPr>
      </w:pPr>
      <w:r w:rsidRPr="00D739A7">
        <w:t xml:space="preserve">out-of-school </w:t>
      </w:r>
      <w:r w:rsidR="00BB75D8" w:rsidRPr="00D739A7">
        <w:t>learners</w:t>
      </w:r>
      <w:r w:rsidRPr="00D739A7">
        <w:t xml:space="preserve"> (those not in any kind of educational provision).</w:t>
      </w:r>
    </w:p>
    <w:p w14:paraId="0CB3D1C8" w14:textId="77777777" w:rsidR="00D2437E" w:rsidRPr="00D739A7" w:rsidRDefault="00D2437E" w:rsidP="004A29D9">
      <w:pPr>
        <w:pStyle w:val="Agency-body-text"/>
        <w:keepNext/>
      </w:pPr>
      <w:r w:rsidRPr="00D739A7">
        <w:t>All participating countries have very different policy and practice situations for inclusive education. In order for country data covering the areas outlined above to be comparable, two important operational definitions for data collection – identified and agreed upon with the national data collection experts – have been applied:</w:t>
      </w:r>
    </w:p>
    <w:p w14:paraId="6983AEA2" w14:textId="618AE285" w:rsidR="00D2437E" w:rsidRPr="00D739A7" w:rsidRDefault="00D2437E" w:rsidP="004A29D9">
      <w:pPr>
        <w:keepNext/>
        <w:numPr>
          <w:ilvl w:val="0"/>
          <w:numId w:val="18"/>
        </w:numPr>
        <w:spacing w:before="120" w:after="120" w:line="240" w:lineRule="auto"/>
        <w:ind w:left="426"/>
        <w:rPr>
          <w:rFonts w:ascii="Calibri" w:eastAsia="Times New Roman" w:hAnsi="Calibri" w:cs="Calibri"/>
          <w:color w:val="000000"/>
          <w:sz w:val="24"/>
          <w:szCs w:val="24"/>
          <w:lang w:val="en-GB"/>
        </w:rPr>
      </w:pPr>
      <w:r w:rsidRPr="00D739A7">
        <w:rPr>
          <w:rFonts w:ascii="Calibri" w:eastAsia="Times New Roman" w:hAnsi="Calibri" w:cs="Calibri"/>
          <w:b/>
          <w:color w:val="000000"/>
          <w:sz w:val="24"/>
          <w:szCs w:val="24"/>
          <w:lang w:val="en-GB"/>
        </w:rPr>
        <w:t>An operational definition of an official decision of SEN</w:t>
      </w:r>
      <w:r w:rsidRPr="00D739A7">
        <w:rPr>
          <w:rFonts w:ascii="Calibri" w:eastAsia="Times New Roman" w:hAnsi="Calibri" w:cs="Calibri"/>
          <w:i/>
          <w:color w:val="000000"/>
          <w:sz w:val="24"/>
          <w:szCs w:val="24"/>
          <w:lang w:val="en-GB"/>
        </w:rPr>
        <w:t xml:space="preserve"> – </w:t>
      </w:r>
      <w:r w:rsidRPr="00D739A7">
        <w:rPr>
          <w:rFonts w:ascii="Calibri" w:eastAsia="Times New Roman" w:hAnsi="Calibri" w:cs="Calibri"/>
          <w:color w:val="000000"/>
          <w:sz w:val="24"/>
          <w:szCs w:val="24"/>
          <w:lang w:val="en-GB"/>
        </w:rPr>
        <w:t xml:space="preserve">an official decision leads to a </w:t>
      </w:r>
      <w:r w:rsidR="008D18AE" w:rsidRPr="00D739A7">
        <w:rPr>
          <w:rFonts w:ascii="Calibri" w:eastAsia="Times New Roman" w:hAnsi="Calibri" w:cs="Calibri"/>
          <w:color w:val="000000"/>
          <w:sz w:val="24"/>
          <w:szCs w:val="24"/>
          <w:lang w:val="en-GB"/>
        </w:rPr>
        <w:t>child/learner</w:t>
      </w:r>
      <w:r w:rsidRPr="00D739A7">
        <w:rPr>
          <w:rFonts w:ascii="Calibri" w:eastAsia="Times New Roman" w:hAnsi="Calibri" w:cs="Calibri"/>
          <w:color w:val="000000"/>
          <w:sz w:val="24"/>
          <w:szCs w:val="24"/>
          <w:lang w:val="en-GB"/>
        </w:rPr>
        <w:t xml:space="preserve"> being recognised as eligible for additional educational support to meet their learning needs. An official decision meets the following criteria:</w:t>
      </w:r>
    </w:p>
    <w:p w14:paraId="7BCF79E7" w14:textId="1541B7E7" w:rsidR="00D2437E" w:rsidRPr="00D739A7" w:rsidRDefault="00D2437E" w:rsidP="007E58DA">
      <w:pPr>
        <w:pStyle w:val="Agency-body-text"/>
        <w:numPr>
          <w:ilvl w:val="0"/>
          <w:numId w:val="36"/>
        </w:numPr>
      </w:pPr>
      <w:r w:rsidRPr="00D739A7">
        <w:t>There has been an educational assessment procedure involving a multi</w:t>
      </w:r>
      <w:r w:rsidR="002F71D6" w:rsidRPr="00D739A7">
        <w:noBreakHyphen/>
      </w:r>
      <w:r w:rsidRPr="00D739A7">
        <w:t>disciplinary team.</w:t>
      </w:r>
    </w:p>
    <w:p w14:paraId="61849930" w14:textId="7E2B8496" w:rsidR="00D2437E" w:rsidRPr="00D739A7" w:rsidRDefault="00D2437E" w:rsidP="007E58DA">
      <w:pPr>
        <w:pStyle w:val="Agency-body-text"/>
        <w:numPr>
          <w:ilvl w:val="0"/>
          <w:numId w:val="36"/>
        </w:numPr>
      </w:pPr>
      <w:r w:rsidRPr="00D739A7">
        <w:t xml:space="preserve">The multi-disciplinary team includes members from within and external to the </w:t>
      </w:r>
      <w:r w:rsidR="00AB5DAD" w:rsidRPr="00D739A7">
        <w:rPr>
          <w:rFonts w:cs="Calibri"/>
          <w:color w:val="000000"/>
          <w:szCs w:val="24"/>
        </w:rPr>
        <w:t>child</w:t>
      </w:r>
      <w:r w:rsidR="00D43D6F" w:rsidRPr="00D739A7">
        <w:rPr>
          <w:rFonts w:cs="Calibri"/>
          <w:color w:val="000000"/>
          <w:szCs w:val="24"/>
        </w:rPr>
        <w:t>’s</w:t>
      </w:r>
      <w:r w:rsidR="00AB5DAD" w:rsidRPr="00D739A7">
        <w:rPr>
          <w:rFonts w:cs="Calibri"/>
          <w:color w:val="000000"/>
          <w:szCs w:val="24"/>
        </w:rPr>
        <w:t>/learner</w:t>
      </w:r>
      <w:r w:rsidRPr="00D739A7">
        <w:t>’s school.</w:t>
      </w:r>
    </w:p>
    <w:p w14:paraId="36F5B376" w14:textId="70AD00EF" w:rsidR="00D2437E" w:rsidRPr="00D739A7" w:rsidRDefault="00D2437E" w:rsidP="007E58DA">
      <w:pPr>
        <w:pStyle w:val="Agency-body-text"/>
        <w:numPr>
          <w:ilvl w:val="0"/>
          <w:numId w:val="36"/>
        </w:numPr>
      </w:pPr>
      <w:r w:rsidRPr="00D739A7">
        <w:t xml:space="preserve">There is a legal document which describes the support the </w:t>
      </w:r>
      <w:r w:rsidR="00AB5DAD" w:rsidRPr="00D739A7">
        <w:rPr>
          <w:rFonts w:cs="Calibri"/>
          <w:color w:val="000000"/>
          <w:szCs w:val="24"/>
        </w:rPr>
        <w:t xml:space="preserve">child/learner </w:t>
      </w:r>
      <w:r w:rsidRPr="00D739A7">
        <w:t>is eligible to receive and which is used as the basis for planning.</w:t>
      </w:r>
    </w:p>
    <w:p w14:paraId="0AF2745C" w14:textId="77777777" w:rsidR="00D2437E" w:rsidRPr="00D739A7" w:rsidRDefault="00D2437E" w:rsidP="007E58DA">
      <w:pPr>
        <w:pStyle w:val="Agency-body-text"/>
        <w:numPr>
          <w:ilvl w:val="0"/>
          <w:numId w:val="36"/>
        </w:numPr>
      </w:pPr>
      <w:r w:rsidRPr="00D739A7">
        <w:t>The official decision is subject to a formal, regular review process.</w:t>
      </w:r>
    </w:p>
    <w:p w14:paraId="1266B3A2" w14:textId="204E0943" w:rsidR="00D2437E" w:rsidRPr="00D739A7" w:rsidRDefault="00D2437E" w:rsidP="007E58DA">
      <w:pPr>
        <w:pStyle w:val="Agency-body-text"/>
      </w:pPr>
      <w:r w:rsidRPr="00D739A7">
        <w:t xml:space="preserve">All data collected relating to </w:t>
      </w:r>
      <w:r w:rsidR="008D18AE" w:rsidRPr="00D739A7">
        <w:t>children/learners</w:t>
      </w:r>
      <w:r w:rsidRPr="00D739A7">
        <w:t xml:space="preserve"> with SEN is in line with this operational definition of an official decision of SEN.</w:t>
      </w:r>
    </w:p>
    <w:p w14:paraId="090608E6" w14:textId="7C47FF9B" w:rsidR="00D2437E" w:rsidRPr="00D739A7" w:rsidRDefault="00D2437E" w:rsidP="00FB5FB8">
      <w:pPr>
        <w:numPr>
          <w:ilvl w:val="0"/>
          <w:numId w:val="18"/>
        </w:numPr>
        <w:spacing w:before="120" w:after="120" w:line="240" w:lineRule="auto"/>
        <w:ind w:left="426"/>
        <w:rPr>
          <w:rFonts w:ascii="Calibri" w:eastAsia="Times New Roman" w:hAnsi="Calibri" w:cs="Calibri"/>
          <w:color w:val="000000"/>
          <w:sz w:val="24"/>
          <w:szCs w:val="24"/>
          <w:lang w:val="en-GB"/>
        </w:rPr>
      </w:pPr>
      <w:r w:rsidRPr="00D739A7">
        <w:rPr>
          <w:rFonts w:ascii="Calibri" w:eastAsia="Times New Roman" w:hAnsi="Calibri" w:cs="Calibri"/>
          <w:b/>
          <w:color w:val="000000"/>
          <w:sz w:val="24"/>
          <w:szCs w:val="24"/>
          <w:lang w:val="en-GB"/>
        </w:rPr>
        <w:t>An operational definition of an inclusive setting</w:t>
      </w:r>
      <w:r w:rsidRPr="00D739A7">
        <w:rPr>
          <w:rFonts w:ascii="Calibri" w:eastAsia="Times New Roman" w:hAnsi="Calibri" w:cs="Calibri"/>
          <w:color w:val="000000"/>
          <w:sz w:val="24"/>
          <w:szCs w:val="24"/>
          <w:lang w:val="en-GB"/>
        </w:rPr>
        <w:t xml:space="preserve"> – an inclusive setting refers to education where the </w:t>
      </w:r>
      <w:r w:rsidR="00AD2638" w:rsidRPr="00D739A7">
        <w:rPr>
          <w:rFonts w:ascii="Calibri" w:eastAsia="Times New Roman" w:hAnsi="Calibri" w:cs="Calibri"/>
          <w:color w:val="000000"/>
          <w:sz w:val="24"/>
          <w:szCs w:val="24"/>
          <w:lang w:val="en-GB"/>
        </w:rPr>
        <w:t>child/learner</w:t>
      </w:r>
      <w:r w:rsidRPr="00D739A7">
        <w:rPr>
          <w:rFonts w:ascii="Calibri" w:eastAsia="Times New Roman" w:hAnsi="Calibri" w:cs="Calibri"/>
          <w:color w:val="000000"/>
          <w:sz w:val="24"/>
          <w:szCs w:val="24"/>
          <w:lang w:val="en-GB"/>
        </w:rPr>
        <w:t xml:space="preserve"> with SEN follows education in mainstream classes alongside their mainstream peers for the largest part – 80% or more – of the school week.</w:t>
      </w:r>
    </w:p>
    <w:p w14:paraId="47901820" w14:textId="009813D8" w:rsidR="00D2437E" w:rsidRPr="00D739A7" w:rsidRDefault="00D2437E" w:rsidP="007E58DA">
      <w:pPr>
        <w:pStyle w:val="Agency-body-text"/>
        <w:rPr>
          <w:iCs/>
        </w:rPr>
      </w:pPr>
      <w:r w:rsidRPr="00D739A7">
        <w:t xml:space="preserve">This benchmark has been used in different forms in previous Agency projects and data collection work. </w:t>
      </w:r>
      <w:r w:rsidR="002F71D6" w:rsidRPr="00D739A7">
        <w:t xml:space="preserve">The benchmark of </w:t>
      </w:r>
      <w:r w:rsidRPr="00D739A7">
        <w:t xml:space="preserve">80% clearly indicates </w:t>
      </w:r>
      <w:r w:rsidR="00AB5DAD" w:rsidRPr="00D739A7">
        <w:rPr>
          <w:rFonts w:cs="Calibri"/>
          <w:color w:val="000000"/>
          <w:szCs w:val="24"/>
        </w:rPr>
        <w:t xml:space="preserve">child/learner </w:t>
      </w:r>
      <w:r w:rsidRPr="00D739A7">
        <w:t>placement for the majority of their school week in a mainstream setting. At the same time, it acknowledges possibilities for small group or one-to-one withdrawal for limited periods of time (i.e. 20% or one day a week).</w:t>
      </w:r>
    </w:p>
    <w:p w14:paraId="7DFA62C8" w14:textId="77777777" w:rsidR="00D2437E" w:rsidRPr="00D739A7" w:rsidRDefault="00D2437E" w:rsidP="007E58DA">
      <w:pPr>
        <w:pStyle w:val="Agency-body-text"/>
      </w:pPr>
      <w:r w:rsidRPr="00D739A7">
        <w:t xml:space="preserve">Not all countries are able to provide exact data relating to the 80% time placement benchmark. Therefore, proxies have been identified, agreed upon and applied as needed (please refer to the specific </w:t>
      </w:r>
      <w:hyperlink r:id="rId33" w:history="1">
        <w:r w:rsidRPr="00D739A7">
          <w:rPr>
            <w:color w:val="0000FF"/>
            <w:u w:val="single"/>
          </w:rPr>
          <w:t>Country Background Information</w:t>
        </w:r>
      </w:hyperlink>
      <w:r w:rsidRPr="00D739A7">
        <w:t xml:space="preserve"> for more details).</w:t>
      </w:r>
    </w:p>
    <w:p w14:paraId="09AC86B9" w14:textId="40A6B2BC" w:rsidR="00D2437E" w:rsidRPr="00D739A7" w:rsidRDefault="00D2437E" w:rsidP="007E58DA">
      <w:pPr>
        <w:pStyle w:val="Agency-heading-2-report"/>
      </w:pPr>
      <w:bookmarkStart w:id="10" w:name="_Toc491072343"/>
      <w:bookmarkStart w:id="11" w:name="_Toc491170517"/>
      <w:bookmarkStart w:id="12" w:name="_Toc523733145"/>
      <w:bookmarkStart w:id="13" w:name="_Toc35943015"/>
      <w:r w:rsidRPr="00D739A7">
        <w:t>The EASIE 201</w:t>
      </w:r>
      <w:r w:rsidR="00AD2638" w:rsidRPr="00D739A7">
        <w:t>8</w:t>
      </w:r>
      <w:r w:rsidRPr="00D739A7">
        <w:t xml:space="preserve"> dataset cross-country analysis</w:t>
      </w:r>
      <w:bookmarkEnd w:id="10"/>
      <w:bookmarkEnd w:id="11"/>
      <w:bookmarkEnd w:id="12"/>
      <w:bookmarkEnd w:id="13"/>
    </w:p>
    <w:p w14:paraId="3AB9289F" w14:textId="4DA46CDB" w:rsidR="00D2437E" w:rsidRPr="00D739A7" w:rsidRDefault="00D2437E" w:rsidP="007E58DA">
      <w:pPr>
        <w:pStyle w:val="Agency-body-text"/>
      </w:pPr>
      <w:r w:rsidRPr="00D739A7">
        <w:t>This report focuses on the 201</w:t>
      </w:r>
      <w:r w:rsidR="00AD2638" w:rsidRPr="00D739A7">
        <w:t>8</w:t>
      </w:r>
      <w:r w:rsidRPr="00D739A7">
        <w:t xml:space="preserve"> dataset. The data from participating countries is from the 201</w:t>
      </w:r>
      <w:r w:rsidR="00AD2638" w:rsidRPr="00D739A7">
        <w:t>6</w:t>
      </w:r>
      <w:r w:rsidRPr="00D739A7">
        <w:t>/201</w:t>
      </w:r>
      <w:r w:rsidR="00AD2638" w:rsidRPr="00D739A7">
        <w:t>7</w:t>
      </w:r>
      <w:r w:rsidRPr="00D739A7">
        <w:t xml:space="preserve"> school year and the dataset was processed from 201</w:t>
      </w:r>
      <w:r w:rsidR="00AD2638" w:rsidRPr="00D739A7">
        <w:t>8</w:t>
      </w:r>
      <w:r w:rsidRPr="00D739A7">
        <w:t xml:space="preserve"> onwards.</w:t>
      </w:r>
    </w:p>
    <w:p w14:paraId="6C582530" w14:textId="77777777" w:rsidR="00D2437E" w:rsidRPr="00D739A7" w:rsidRDefault="00D2437E" w:rsidP="007E58DA">
      <w:pPr>
        <w:pStyle w:val="Agency-body-text"/>
        <w:keepNext/>
      </w:pPr>
      <w:r w:rsidRPr="00D739A7">
        <w:t>The report presents data relating to 17 indicators that were identified and agreed upon with the national data experts. The indicators are based on three areas of country data:</w:t>
      </w:r>
    </w:p>
    <w:p w14:paraId="0C97A2F1" w14:textId="77777777" w:rsidR="00D2437E" w:rsidRPr="00D739A7" w:rsidRDefault="00D2437E" w:rsidP="007E58DA">
      <w:pPr>
        <w:pStyle w:val="Agency-body-text"/>
        <w:numPr>
          <w:ilvl w:val="0"/>
          <w:numId w:val="37"/>
        </w:numPr>
      </w:pPr>
      <w:r w:rsidRPr="00D739A7">
        <w:t>Population and enrolment data taken from Table 1</w:t>
      </w:r>
    </w:p>
    <w:p w14:paraId="095C3614" w14:textId="77777777" w:rsidR="00550DA8" w:rsidRPr="00D739A7" w:rsidRDefault="00D2437E" w:rsidP="007E58DA">
      <w:pPr>
        <w:pStyle w:val="Agency-body-text"/>
        <w:numPr>
          <w:ilvl w:val="0"/>
          <w:numId w:val="37"/>
        </w:numPr>
      </w:pPr>
      <w:r w:rsidRPr="00D739A7">
        <w:lastRenderedPageBreak/>
        <w:t>Age sample data (</w:t>
      </w:r>
      <w:r w:rsidR="00AD2638" w:rsidRPr="00D739A7">
        <w:t xml:space="preserve">4-, </w:t>
      </w:r>
      <w:r w:rsidRPr="00D739A7">
        <w:t>9-</w:t>
      </w:r>
      <w:r w:rsidR="00AD2638" w:rsidRPr="00D739A7">
        <w:t xml:space="preserve">, 15- </w:t>
      </w:r>
      <w:r w:rsidRPr="00D739A7">
        <w:t>and 1</w:t>
      </w:r>
      <w:r w:rsidR="00AD2638" w:rsidRPr="00D739A7">
        <w:t>7</w:t>
      </w:r>
      <w:r w:rsidRPr="00D739A7">
        <w:t>-year-olds) taken from Table 2</w:t>
      </w:r>
    </w:p>
    <w:p w14:paraId="716EDB12" w14:textId="06C68801" w:rsidR="00D2437E" w:rsidRPr="00D739A7" w:rsidRDefault="00D2437E" w:rsidP="007E58DA">
      <w:pPr>
        <w:pStyle w:val="Agency-body-text"/>
        <w:numPr>
          <w:ilvl w:val="0"/>
          <w:numId w:val="37"/>
        </w:numPr>
      </w:pPr>
      <w:r w:rsidRPr="00D739A7">
        <w:t xml:space="preserve">Data on </w:t>
      </w:r>
      <w:r w:rsidR="00AD2638" w:rsidRPr="00D739A7">
        <w:t>children/learners</w:t>
      </w:r>
      <w:r w:rsidRPr="00D739A7">
        <w:t xml:space="preserve"> with an official decision of SEN taken from Table 3, including identification rates and distributions of educational placements, </w:t>
      </w:r>
      <w:r w:rsidR="00444EF5" w:rsidRPr="00D739A7">
        <w:t>and</w:t>
      </w:r>
      <w:r w:rsidRPr="00D739A7">
        <w:t xml:space="preserve"> gender and ISCED breakdowns of this data taken from Table </w:t>
      </w:r>
      <w:r w:rsidR="007237E0" w:rsidRPr="00D739A7">
        <w:t>3</w:t>
      </w:r>
      <w:r w:rsidRPr="00D739A7">
        <w:t>.</w:t>
      </w:r>
    </w:p>
    <w:p w14:paraId="44D73381" w14:textId="77777777" w:rsidR="00D2437E" w:rsidRPr="00D739A7" w:rsidRDefault="00D2437E" w:rsidP="004A29D9">
      <w:pPr>
        <w:pStyle w:val="Agency-body-text"/>
        <w:keepNext/>
      </w:pPr>
      <w:r w:rsidRPr="00D739A7">
        <w:t>The report is structured around these three areas, with descriptive texts and figures presenting all available country data for each indicator. The information available from the indicators provides insights into the following issues relating to inclusive education:</w:t>
      </w:r>
    </w:p>
    <w:p w14:paraId="20DF7B5F" w14:textId="77777777" w:rsidR="00550DA8" w:rsidRPr="00D739A7" w:rsidRDefault="00D2437E" w:rsidP="007E58DA">
      <w:pPr>
        <w:pStyle w:val="Agency-body-text"/>
        <w:numPr>
          <w:ilvl w:val="0"/>
          <w:numId w:val="38"/>
        </w:numPr>
      </w:pPr>
      <w:r w:rsidRPr="00D739A7">
        <w:t xml:space="preserve">Access to mainstream education – what proportion of </w:t>
      </w:r>
      <w:r w:rsidR="00AD2638" w:rsidRPr="00D739A7">
        <w:t>children/learners</w:t>
      </w:r>
      <w:r w:rsidRPr="00D739A7">
        <w:t>, including those with an official decision of SEN, go to a mainstream school?</w:t>
      </w:r>
    </w:p>
    <w:p w14:paraId="38E2B9B3" w14:textId="6AD24CF6" w:rsidR="00D2437E" w:rsidRPr="00D739A7" w:rsidRDefault="00D2437E" w:rsidP="007E58DA">
      <w:pPr>
        <w:pStyle w:val="Agency-body-text"/>
        <w:numPr>
          <w:ilvl w:val="0"/>
          <w:numId w:val="38"/>
        </w:numPr>
      </w:pPr>
      <w:r w:rsidRPr="00D739A7">
        <w:t xml:space="preserve">Access to inclusive education – what proportion of </w:t>
      </w:r>
      <w:r w:rsidR="00AD2638" w:rsidRPr="00D739A7">
        <w:t>children/learners</w:t>
      </w:r>
      <w:r w:rsidRPr="00D739A7">
        <w:t>, including those with an official decision of SEN, spend the majority of their time with their peers in mainstream classrooms?</w:t>
      </w:r>
    </w:p>
    <w:p w14:paraId="6CFAD7AC" w14:textId="0D3D10E9" w:rsidR="00D2437E" w:rsidRPr="00D739A7" w:rsidRDefault="00D2437E" w:rsidP="007E58DA">
      <w:pPr>
        <w:pStyle w:val="Agency-body-text"/>
        <w:numPr>
          <w:ilvl w:val="0"/>
          <w:numId w:val="38"/>
        </w:numPr>
      </w:pPr>
      <w:r w:rsidRPr="00D739A7">
        <w:t xml:space="preserve">Gender issues – are there differences in the proportion of </w:t>
      </w:r>
      <w:r w:rsidR="00AB5DAD" w:rsidRPr="00D739A7">
        <w:t xml:space="preserve">boys </w:t>
      </w:r>
      <w:r w:rsidRPr="00D739A7">
        <w:t xml:space="preserve">and </w:t>
      </w:r>
      <w:r w:rsidR="00AB5DAD" w:rsidRPr="00D739A7">
        <w:t xml:space="preserve">girls </w:t>
      </w:r>
      <w:r w:rsidRPr="00D739A7">
        <w:t>with an official decision of SEN?</w:t>
      </w:r>
    </w:p>
    <w:p w14:paraId="6E30E4E8" w14:textId="3809BDD8" w:rsidR="00D2437E" w:rsidRPr="00D739A7" w:rsidRDefault="00D2437E" w:rsidP="007E58DA">
      <w:pPr>
        <w:pStyle w:val="Agency-body-text"/>
        <w:numPr>
          <w:ilvl w:val="0"/>
          <w:numId w:val="38"/>
        </w:numPr>
      </w:pPr>
      <w:r w:rsidRPr="00D739A7">
        <w:t xml:space="preserve">ISCED issues – are there differences between </w:t>
      </w:r>
      <w:r w:rsidR="003213AA" w:rsidRPr="00D739A7">
        <w:t>ISCED levels</w:t>
      </w:r>
      <w:r w:rsidRPr="00D739A7">
        <w:t xml:space="preserve"> in the proportion of </w:t>
      </w:r>
      <w:r w:rsidR="00AB5DAD" w:rsidRPr="00D739A7">
        <w:t>children/learners</w:t>
      </w:r>
      <w:r w:rsidR="00AB5DAD" w:rsidRPr="00D739A7" w:rsidDel="00AB5DAD">
        <w:t xml:space="preserve"> </w:t>
      </w:r>
      <w:r w:rsidRPr="00D739A7">
        <w:t>with an official decision of SEN?</w:t>
      </w:r>
    </w:p>
    <w:p w14:paraId="64CA8932" w14:textId="26238D94" w:rsidR="00D2437E" w:rsidRPr="00D739A7" w:rsidRDefault="00D2437E" w:rsidP="007E58DA">
      <w:pPr>
        <w:pStyle w:val="Agency-heading-2-report"/>
      </w:pPr>
      <w:bookmarkStart w:id="14" w:name="_Toc491072344"/>
      <w:bookmarkStart w:id="15" w:name="_Toc491170518"/>
      <w:bookmarkStart w:id="16" w:name="_Toc523733146"/>
      <w:bookmarkStart w:id="17" w:name="_Toc35943016"/>
      <w:r w:rsidRPr="00D739A7">
        <w:t>Information provided for each indicator</w:t>
      </w:r>
      <w:bookmarkEnd w:id="14"/>
      <w:bookmarkEnd w:id="15"/>
      <w:bookmarkEnd w:id="16"/>
      <w:bookmarkEnd w:id="17"/>
    </w:p>
    <w:p w14:paraId="2E50CDF4" w14:textId="77777777" w:rsidR="00550DA8" w:rsidRPr="00D739A7" w:rsidRDefault="00D2437E" w:rsidP="007E58DA">
      <w:pPr>
        <w:pStyle w:val="Agency-body-text"/>
      </w:pPr>
      <w:r w:rsidRPr="00D739A7">
        <w:t xml:space="preserve">The following </w:t>
      </w:r>
      <w:r w:rsidR="009908E4" w:rsidRPr="00D739A7">
        <w:t xml:space="preserve">chapters </w:t>
      </w:r>
      <w:r w:rsidRPr="00D739A7">
        <w:t xml:space="preserve">of this report present data from those countries that have agreed, reliable data. Countries with Missing and Not Applicable data (as presented in their respective </w:t>
      </w:r>
      <w:hyperlink r:id="rId34" w:history="1">
        <w:r w:rsidRPr="00D739A7">
          <w:rPr>
            <w:color w:val="0000FF"/>
            <w:u w:val="single"/>
          </w:rPr>
          <w:t>country data tables</w:t>
        </w:r>
      </w:hyperlink>
      <w:r w:rsidRPr="00D739A7">
        <w:t xml:space="preserve">) are not listed. Therefore, the number of countries differs from </w:t>
      </w:r>
      <w:r w:rsidR="00AD2638" w:rsidRPr="00D739A7">
        <w:t>indicator to indicator.</w:t>
      </w:r>
    </w:p>
    <w:p w14:paraId="5BE45068" w14:textId="5A489A35" w:rsidR="00D2437E" w:rsidRPr="00D739A7" w:rsidRDefault="00D2437E" w:rsidP="007E58DA">
      <w:pPr>
        <w:pStyle w:val="Agency-body-text"/>
      </w:pPr>
      <w:r w:rsidRPr="00D739A7">
        <w:t>In the figures, the countries appear in alphabetical order. The total average is presented in the bottom bar, with the total number of countries included in parentheses. The total average has been calculated based on all the reliable country data available for that specific indicator. Therefore, the number of countries used to calculate total averages differs between figures. It should be noted that countries with large populations have a significant impact on the total averages as presented here.</w:t>
      </w:r>
    </w:p>
    <w:p w14:paraId="60ED968C" w14:textId="773AFAFE" w:rsidR="00D2437E" w:rsidRPr="00D739A7" w:rsidRDefault="00D2437E" w:rsidP="007E58DA">
      <w:pPr>
        <w:pStyle w:val="Agency-body-text"/>
      </w:pPr>
      <w:r w:rsidRPr="00D739A7">
        <w:t>All data has been calculated to the second decimal place.</w:t>
      </w:r>
      <w:r w:rsidR="007237E0" w:rsidRPr="00D739A7">
        <w:t xml:space="preserve"> However, the bars in the figures indicate the exact data, rather than the data</w:t>
      </w:r>
      <w:r w:rsidR="00FB1067" w:rsidRPr="00D739A7">
        <w:t xml:space="preserve"> rounded to the second decimal place</w:t>
      </w:r>
      <w:r w:rsidR="007237E0" w:rsidRPr="00D739A7">
        <w:t xml:space="preserve">. As such, the bars in </w:t>
      </w:r>
      <w:r w:rsidR="00C513AA" w:rsidRPr="00D739A7">
        <w:t>some</w:t>
      </w:r>
      <w:r w:rsidR="007237E0" w:rsidRPr="00D739A7">
        <w:t xml:space="preserve"> figures may appear slightly different to the numbers displayed in the figures and the text</w:t>
      </w:r>
      <w:r w:rsidR="00E02C03" w:rsidRPr="00D739A7">
        <w:t>, which are calculated to the second decimal place</w:t>
      </w:r>
      <w:r w:rsidR="007237E0" w:rsidRPr="00D739A7">
        <w:t>.</w:t>
      </w:r>
    </w:p>
    <w:p w14:paraId="2EB6610F" w14:textId="77777777" w:rsidR="00550DA8" w:rsidRPr="00D739A7" w:rsidRDefault="00D2437E" w:rsidP="004A29D9">
      <w:pPr>
        <w:pStyle w:val="Agency-body-text"/>
        <w:keepNext/>
      </w:pPr>
      <w:r w:rsidRPr="00D739A7">
        <w:t>For each indicator, there is accompanying text describing:</w:t>
      </w:r>
    </w:p>
    <w:p w14:paraId="6A51B641" w14:textId="32562AD8" w:rsidR="00D2437E" w:rsidRPr="00D739A7" w:rsidRDefault="00D2437E" w:rsidP="007E58DA">
      <w:pPr>
        <w:pStyle w:val="Agency-body-text"/>
        <w:numPr>
          <w:ilvl w:val="0"/>
          <w:numId w:val="39"/>
        </w:numPr>
      </w:pPr>
      <w:r w:rsidRPr="00D739A7">
        <w:t>what the indicator is focusing on and what issues it can potentially inform;</w:t>
      </w:r>
    </w:p>
    <w:p w14:paraId="5BC9CFC0" w14:textId="3FDD2ABA" w:rsidR="00D2437E" w:rsidRPr="00D739A7" w:rsidRDefault="00D2437E" w:rsidP="007E58DA">
      <w:pPr>
        <w:pStyle w:val="Agency-body-text"/>
        <w:numPr>
          <w:ilvl w:val="0"/>
          <w:numId w:val="39"/>
        </w:numPr>
      </w:pPr>
      <w:r w:rsidRPr="00D739A7">
        <w:t>how the indicator has been calculated. The questions used as the basis for calculations are numbered by table and question number, e.g. Q1.4 indicates Table 1, Question 4. The division slash (</w:t>
      </w:r>
      <w:r w:rsidRPr="00D739A7">
        <w:rPr>
          <w:b/>
        </w:rPr>
        <w:t>/</w:t>
      </w:r>
      <w:r w:rsidRPr="00D739A7">
        <w:t>) indicates ‘divided by’, the multiplication sign (</w:t>
      </w:r>
      <w:r w:rsidRPr="00D739A7">
        <w:rPr>
          <w:b/>
        </w:rPr>
        <w:t>x</w:t>
      </w:r>
      <w:r w:rsidRPr="00D739A7">
        <w:t>) indicates ‘multiplied by’ and the plus sign (</w:t>
      </w:r>
      <w:r w:rsidRPr="00D739A7">
        <w:rPr>
          <w:b/>
        </w:rPr>
        <w:t>+</w:t>
      </w:r>
      <w:r w:rsidRPr="00D739A7">
        <w:t xml:space="preserve">) indicates </w:t>
      </w:r>
      <w:r w:rsidR="000B524B" w:rsidRPr="00D739A7">
        <w:t>‘</w:t>
      </w:r>
      <w:r w:rsidRPr="00D739A7">
        <w:t>added to</w:t>
      </w:r>
      <w:r w:rsidR="000B524B" w:rsidRPr="00D739A7">
        <w:t>’</w:t>
      </w:r>
      <w:r w:rsidRPr="00D739A7">
        <w:t>;</w:t>
      </w:r>
    </w:p>
    <w:p w14:paraId="6833E76B" w14:textId="77777777" w:rsidR="00D2437E" w:rsidRPr="00D739A7" w:rsidRDefault="00D2437E" w:rsidP="007E58DA">
      <w:pPr>
        <w:pStyle w:val="Agency-body-text"/>
        <w:numPr>
          <w:ilvl w:val="0"/>
          <w:numId w:val="39"/>
        </w:numPr>
      </w:pPr>
      <w:r w:rsidRPr="00D739A7">
        <w:lastRenderedPageBreak/>
        <w:t>how many countries provided reliable data;</w:t>
      </w:r>
    </w:p>
    <w:p w14:paraId="7506B703" w14:textId="60F178C1" w:rsidR="00AD2638" w:rsidRPr="00D739A7" w:rsidRDefault="00D2437E" w:rsidP="007E58DA">
      <w:pPr>
        <w:pStyle w:val="Agency-body-text"/>
        <w:numPr>
          <w:ilvl w:val="0"/>
          <w:numId w:val="39"/>
        </w:numPr>
      </w:pPr>
      <w:r w:rsidRPr="00D739A7">
        <w:t>the range of data available and the total average</w:t>
      </w:r>
      <w:r w:rsidR="000B524B" w:rsidRPr="00D739A7">
        <w:t>.</w:t>
      </w:r>
    </w:p>
    <w:p w14:paraId="4E286ED8" w14:textId="77777777" w:rsidR="00550DA8" w:rsidRPr="00D739A7" w:rsidRDefault="00D2437E" w:rsidP="007E58DA">
      <w:pPr>
        <w:pStyle w:val="Agency-body-text"/>
      </w:pPr>
      <w:r w:rsidRPr="00D739A7">
        <w:t>Where applicable, there is also descriptive text highlighting specific issues to be taken into account when considering the data.</w:t>
      </w:r>
    </w:p>
    <w:p w14:paraId="0567DD8F" w14:textId="7AF2C2CF" w:rsidR="00D2437E" w:rsidRPr="00D739A7" w:rsidRDefault="00D2437E" w:rsidP="007E58DA">
      <w:pPr>
        <w:pStyle w:val="Agency-body-text"/>
      </w:pPr>
      <w:r w:rsidRPr="00D739A7">
        <w:t>Please note that this report does not attempt to interpret the data presented; rather, it aims to present the available data clearly and concisely in order to inform decision-making.</w:t>
      </w:r>
    </w:p>
    <w:p w14:paraId="7CAB76C9" w14:textId="082766E7" w:rsidR="00D2437E" w:rsidRPr="00D739A7" w:rsidRDefault="00D2437E" w:rsidP="007E58DA">
      <w:pPr>
        <w:pStyle w:val="Agency-body-text"/>
      </w:pPr>
      <w:r w:rsidRPr="00D739A7">
        <w:t xml:space="preserve">Gender and ISCED level breakdowns are also available for the indicators relating to data on </w:t>
      </w:r>
      <w:r w:rsidR="00AD2638" w:rsidRPr="00D739A7">
        <w:t>learners</w:t>
      </w:r>
      <w:r w:rsidRPr="00D739A7">
        <w:t xml:space="preserve"> with an official decision of SEN taken from Table 3</w:t>
      </w:r>
      <w:r w:rsidR="000B524B" w:rsidRPr="00D739A7">
        <w:t>,</w:t>
      </w:r>
      <w:r w:rsidR="00AD2638" w:rsidRPr="00D739A7">
        <w:t xml:space="preserve"> concerning </w:t>
      </w:r>
      <w:r w:rsidR="00436B97" w:rsidRPr="00D739A7">
        <w:t>ISCED levels 1</w:t>
      </w:r>
      <w:r w:rsidR="00AD2638" w:rsidRPr="00D739A7">
        <w:t xml:space="preserve"> </w:t>
      </w:r>
      <w:r w:rsidR="000B524B" w:rsidRPr="00D739A7">
        <w:t>and </w:t>
      </w:r>
      <w:r w:rsidR="00AD2638" w:rsidRPr="00D739A7">
        <w:t xml:space="preserve">2. For </w:t>
      </w:r>
      <w:r w:rsidR="00436B97" w:rsidRPr="00D739A7">
        <w:t>ISCED levels 0</w:t>
      </w:r>
      <w:r w:rsidR="00AD2638" w:rsidRPr="00D739A7">
        <w:t>2 and 3, only gender breakdowns are presented.</w:t>
      </w:r>
      <w:r w:rsidRPr="00D739A7">
        <w:t xml:space="preserve"> </w:t>
      </w:r>
      <w:r w:rsidR="00AD2638" w:rsidRPr="00D739A7">
        <w:t xml:space="preserve">The additional breakdowns </w:t>
      </w:r>
      <w:r w:rsidRPr="00D739A7">
        <w:t xml:space="preserve">are presented as additional figures. These figures contain two values for each country: the first corresponding to </w:t>
      </w:r>
      <w:r w:rsidR="00EF3C3C" w:rsidRPr="00D739A7">
        <w:t>Boys</w:t>
      </w:r>
      <w:r w:rsidRPr="00D739A7">
        <w:t xml:space="preserve"> or ISCED 1 and the second corresponding to </w:t>
      </w:r>
      <w:r w:rsidR="00EF3C3C" w:rsidRPr="00D739A7">
        <w:t>Girls</w:t>
      </w:r>
      <w:r w:rsidRPr="00D739A7">
        <w:t xml:space="preserve"> or ISCED 2. Each country name only appears once, alongside the first value (i.e.</w:t>
      </w:r>
      <w:r w:rsidR="00EF3C3C" w:rsidRPr="00D739A7">
        <w:t> Boys</w:t>
      </w:r>
      <w:r w:rsidRPr="00D739A7">
        <w:t xml:space="preserve"> or ISCED 1). The second value (i.e. </w:t>
      </w:r>
      <w:r w:rsidR="00EF3C3C" w:rsidRPr="00D739A7">
        <w:t>Girls</w:t>
      </w:r>
      <w:r w:rsidRPr="00D739A7">
        <w:t xml:space="preserve"> or ISCED 2) for each count</w:t>
      </w:r>
      <w:r w:rsidR="000B524B" w:rsidRPr="00D739A7">
        <w:t>r</w:t>
      </w:r>
      <w:r w:rsidRPr="00D739A7">
        <w:t>y appears alone underneath the first value. The bars for the</w:t>
      </w:r>
      <w:r w:rsidR="00EF3C3C" w:rsidRPr="00D739A7">
        <w:t xml:space="preserve"> Boys</w:t>
      </w:r>
      <w:r w:rsidRPr="00D739A7">
        <w:t xml:space="preserve"> and ISCED 1 values are blue, while the bars for the </w:t>
      </w:r>
      <w:r w:rsidR="00EF3C3C" w:rsidRPr="00D739A7">
        <w:t>Girls</w:t>
      </w:r>
      <w:r w:rsidRPr="00D739A7">
        <w:t xml:space="preserve"> and ISCED 2 values are yellow. All the figures have alternative text for accessibility purposes.</w:t>
      </w:r>
    </w:p>
    <w:p w14:paraId="58F8F3EE" w14:textId="6AA35ABF" w:rsidR="00D2437E" w:rsidRPr="00D739A7" w:rsidRDefault="00AD2638" w:rsidP="007E58DA">
      <w:pPr>
        <w:pStyle w:val="Agency-body-text"/>
      </w:pPr>
      <w:r w:rsidRPr="00D739A7">
        <w:t xml:space="preserve">In addition to ISCED and gender breakdowns, the ISCED and gender distribution </w:t>
      </w:r>
      <w:r w:rsidR="000B524B" w:rsidRPr="00D739A7">
        <w:t xml:space="preserve">is also presented. This </w:t>
      </w:r>
      <w:r w:rsidRPr="00D739A7">
        <w:t xml:space="preserve">relates to </w:t>
      </w:r>
      <w:r w:rsidR="00D2437E" w:rsidRPr="00D739A7">
        <w:t xml:space="preserve">the placement of </w:t>
      </w:r>
      <w:r w:rsidRPr="00D739A7">
        <w:t>children/learner</w:t>
      </w:r>
      <w:r w:rsidR="00D2437E" w:rsidRPr="00D739A7">
        <w:t xml:space="preserve">s with an official decision of SEN. The main purpose of the </w:t>
      </w:r>
      <w:r w:rsidRPr="00D739A7">
        <w:t xml:space="preserve">gender distribution </w:t>
      </w:r>
      <w:r w:rsidR="00D2437E" w:rsidRPr="00D739A7">
        <w:t xml:space="preserve">is to specify the distribution of male and female learners within possible indicators, i.e. to show the distribution between boys and girls for the indicator in question. For these breakdowns, the calculation is related to the proportion of </w:t>
      </w:r>
      <w:r w:rsidR="00A1311F" w:rsidRPr="00D739A7">
        <w:t>boys or girls</w:t>
      </w:r>
      <w:r w:rsidR="00D2437E" w:rsidRPr="00D739A7">
        <w:t xml:space="preserve"> with an official decision of SEN</w:t>
      </w:r>
      <w:r w:rsidR="000B524B" w:rsidRPr="00D739A7">
        <w:t>,</w:t>
      </w:r>
      <w:r w:rsidR="00D2437E" w:rsidRPr="00D739A7">
        <w:t xml:space="preserve"> divided by the total number of learners with an official decision of SEN.</w:t>
      </w:r>
    </w:p>
    <w:p w14:paraId="61B2D57D" w14:textId="3DF01F0A" w:rsidR="00D2437E" w:rsidRPr="00D739A7" w:rsidRDefault="00D2437E" w:rsidP="007E58DA">
      <w:pPr>
        <w:pStyle w:val="Agency-body-text"/>
      </w:pPr>
      <w:r w:rsidRPr="00D739A7">
        <w:t xml:space="preserve">The ISCED level </w:t>
      </w:r>
      <w:r w:rsidR="00AD2638" w:rsidRPr="00D739A7">
        <w:t xml:space="preserve">distribution </w:t>
      </w:r>
      <w:r w:rsidRPr="00D739A7">
        <w:t xml:space="preserve">provides information on the distribution within each ISCED level for possible indicators. The calculation is based on the total number of </w:t>
      </w:r>
      <w:r w:rsidR="00AD2638" w:rsidRPr="00D739A7">
        <w:t>children/learners</w:t>
      </w:r>
      <w:r w:rsidRPr="00D739A7">
        <w:t xml:space="preserve"> within each ISCED level, instead of the total population. This means that these breakdowns provide information solely </w:t>
      </w:r>
      <w:r w:rsidR="000B524B" w:rsidRPr="00D739A7">
        <w:t xml:space="preserve">on each </w:t>
      </w:r>
      <w:r w:rsidR="00BB75D8" w:rsidRPr="00D739A7">
        <w:t>ISCED level.</w:t>
      </w:r>
    </w:p>
    <w:p w14:paraId="5CD730C8" w14:textId="77777777" w:rsidR="00D2437E" w:rsidRPr="00D739A7" w:rsidRDefault="00D2437E" w:rsidP="007E58DA">
      <w:pPr>
        <w:pStyle w:val="Agency-body-text"/>
      </w:pPr>
      <w:r w:rsidRPr="00D739A7">
        <w:t xml:space="preserve">It is important to stress that all figures should be considered in line with the original data and notes presented on the individual </w:t>
      </w:r>
      <w:hyperlink r:id="rId35" w:history="1">
        <w:r w:rsidRPr="00D739A7">
          <w:rPr>
            <w:color w:val="0000FF"/>
            <w:u w:val="single"/>
          </w:rPr>
          <w:t>country data pages</w:t>
        </w:r>
      </w:hyperlink>
      <w:r w:rsidR="00BB75D8" w:rsidRPr="00D739A7">
        <w:t>.</w:t>
      </w:r>
    </w:p>
    <w:p w14:paraId="50C5851B" w14:textId="77777777" w:rsidR="00550DA8" w:rsidRPr="00D739A7" w:rsidRDefault="00BB75D8" w:rsidP="004A29D9">
      <w:pPr>
        <w:pStyle w:val="Agency-body-text"/>
        <w:keepNext/>
      </w:pPr>
      <w:r w:rsidRPr="00D739A7">
        <w:t xml:space="preserve">This report is divided into three </w:t>
      </w:r>
      <w:r w:rsidR="009908E4" w:rsidRPr="00D739A7">
        <w:t xml:space="preserve">chapters </w:t>
      </w:r>
      <w:r w:rsidRPr="00D739A7">
        <w:t>related to different educational levels.</w:t>
      </w:r>
    </w:p>
    <w:p w14:paraId="7F288B54" w14:textId="5A10C795" w:rsidR="00BB75D8" w:rsidRPr="00D739A7" w:rsidRDefault="00AC30F3" w:rsidP="00311A93">
      <w:pPr>
        <w:pStyle w:val="Agency-body-text"/>
        <w:numPr>
          <w:ilvl w:val="0"/>
          <w:numId w:val="33"/>
        </w:numPr>
        <w:rPr>
          <w:rFonts w:cs="Calibri"/>
        </w:rPr>
      </w:pPr>
      <w:hyperlink w:anchor="section1" w:history="1">
        <w:r w:rsidR="009908E4" w:rsidRPr="00D739A7">
          <w:rPr>
            <w:rStyle w:val="Hyperlink"/>
            <w:rFonts w:cs="Calibri"/>
          </w:rPr>
          <w:t>Chapter 1</w:t>
        </w:r>
      </w:hyperlink>
      <w:r w:rsidR="00BB75D8" w:rsidRPr="00D739A7">
        <w:rPr>
          <w:rFonts w:cs="Calibri"/>
        </w:rPr>
        <w:t xml:space="preserve"> relates to pre-primary education, </w:t>
      </w:r>
      <w:r w:rsidR="00436B97" w:rsidRPr="00D739A7">
        <w:rPr>
          <w:rFonts w:cs="Calibri"/>
        </w:rPr>
        <w:t>ISCED level 0</w:t>
      </w:r>
      <w:r w:rsidR="00BB75D8" w:rsidRPr="00D739A7">
        <w:rPr>
          <w:rFonts w:cs="Calibri"/>
        </w:rPr>
        <w:t>2.</w:t>
      </w:r>
    </w:p>
    <w:p w14:paraId="13C26AEF" w14:textId="1DA89401" w:rsidR="00BB75D8" w:rsidRPr="00D739A7" w:rsidRDefault="00AC30F3" w:rsidP="00311A93">
      <w:pPr>
        <w:pStyle w:val="Agency-body-text"/>
        <w:numPr>
          <w:ilvl w:val="0"/>
          <w:numId w:val="33"/>
        </w:numPr>
        <w:rPr>
          <w:rFonts w:cs="Calibri"/>
        </w:rPr>
      </w:pPr>
      <w:hyperlink w:anchor="section2" w:history="1">
        <w:r w:rsidR="009908E4" w:rsidRPr="00D739A7">
          <w:rPr>
            <w:rStyle w:val="Hyperlink"/>
            <w:rFonts w:cs="Calibri"/>
          </w:rPr>
          <w:t>Chapter 2</w:t>
        </w:r>
      </w:hyperlink>
      <w:r w:rsidR="00BB75D8" w:rsidRPr="00D739A7">
        <w:rPr>
          <w:rFonts w:cs="Calibri"/>
        </w:rPr>
        <w:t xml:space="preserve"> relates to compulsory education, </w:t>
      </w:r>
      <w:r w:rsidR="00436B97" w:rsidRPr="00D739A7">
        <w:rPr>
          <w:rFonts w:cs="Calibri"/>
        </w:rPr>
        <w:t>ISCED level</w:t>
      </w:r>
      <w:r w:rsidR="000B524B" w:rsidRPr="00D739A7">
        <w:rPr>
          <w:rFonts w:cs="Calibri"/>
        </w:rPr>
        <w:t>s</w:t>
      </w:r>
      <w:r w:rsidR="00436B97" w:rsidRPr="00D739A7">
        <w:rPr>
          <w:rFonts w:cs="Calibri"/>
        </w:rPr>
        <w:t> 1</w:t>
      </w:r>
      <w:r w:rsidR="00BB75D8" w:rsidRPr="00D739A7">
        <w:rPr>
          <w:rFonts w:cs="Calibri"/>
        </w:rPr>
        <w:t xml:space="preserve"> and 2.</w:t>
      </w:r>
    </w:p>
    <w:p w14:paraId="3C9E9EA3" w14:textId="6742AA46" w:rsidR="00BB75D8" w:rsidRPr="00D739A7" w:rsidRDefault="00AC30F3" w:rsidP="00311A93">
      <w:pPr>
        <w:pStyle w:val="Agency-body-text"/>
        <w:numPr>
          <w:ilvl w:val="0"/>
          <w:numId w:val="33"/>
        </w:numPr>
        <w:rPr>
          <w:rFonts w:cs="Calibri"/>
        </w:rPr>
      </w:pPr>
      <w:hyperlink w:anchor="section3" w:history="1">
        <w:r w:rsidR="009908E4" w:rsidRPr="00D739A7">
          <w:rPr>
            <w:rStyle w:val="Hyperlink"/>
            <w:rFonts w:cs="Calibri"/>
          </w:rPr>
          <w:t>Chapter 3</w:t>
        </w:r>
      </w:hyperlink>
      <w:r w:rsidR="00BB75D8" w:rsidRPr="00D739A7">
        <w:rPr>
          <w:rFonts w:cs="Calibri"/>
        </w:rPr>
        <w:t xml:space="preserve"> relates to </w:t>
      </w:r>
      <w:r w:rsidR="000B524B" w:rsidRPr="00D739A7">
        <w:rPr>
          <w:rFonts w:cs="Calibri"/>
        </w:rPr>
        <w:t>upper-</w:t>
      </w:r>
      <w:r w:rsidR="00BB75D8" w:rsidRPr="00D739A7">
        <w:rPr>
          <w:rFonts w:cs="Calibri"/>
        </w:rPr>
        <w:t xml:space="preserve">secondary education, </w:t>
      </w:r>
      <w:r w:rsidR="00436B97" w:rsidRPr="00D739A7">
        <w:rPr>
          <w:rFonts w:cs="Calibri"/>
        </w:rPr>
        <w:t>ISCED</w:t>
      </w:r>
      <w:r w:rsidR="000B524B" w:rsidRPr="00D739A7">
        <w:rPr>
          <w:rFonts w:cs="Calibri"/>
        </w:rPr>
        <w:t xml:space="preserve"> level</w:t>
      </w:r>
      <w:r w:rsidR="00436B97" w:rsidRPr="00D739A7">
        <w:rPr>
          <w:rFonts w:cs="Calibri"/>
        </w:rPr>
        <w:t> 3</w:t>
      </w:r>
    </w:p>
    <w:p w14:paraId="12002319" w14:textId="77777777" w:rsidR="00550DA8" w:rsidRPr="00D739A7" w:rsidRDefault="00BB75D8" w:rsidP="007E58DA">
      <w:pPr>
        <w:pStyle w:val="Agency-body-text"/>
      </w:pPr>
      <w:r w:rsidRPr="00D739A7">
        <w:t xml:space="preserve">All </w:t>
      </w:r>
      <w:r w:rsidR="009908E4" w:rsidRPr="00D739A7">
        <w:t xml:space="preserve">chapters </w:t>
      </w:r>
      <w:r w:rsidR="008D2899" w:rsidRPr="00D739A7">
        <w:t>are</w:t>
      </w:r>
      <w:r w:rsidRPr="00D739A7">
        <w:t xml:space="preserve"> presented in the same order</w:t>
      </w:r>
      <w:r w:rsidR="00947552" w:rsidRPr="00D739A7">
        <w:t>.</w:t>
      </w:r>
      <w:r w:rsidRPr="00D739A7">
        <w:t xml:space="preserve"> </w:t>
      </w:r>
      <w:r w:rsidR="00947552" w:rsidRPr="00D739A7">
        <w:t>I</w:t>
      </w:r>
      <w:r w:rsidRPr="00D739A7">
        <w:t xml:space="preserve">nformation on population and enrolment is presented first, followed by age samples and </w:t>
      </w:r>
      <w:r w:rsidR="00947552" w:rsidRPr="00D739A7">
        <w:t>finally</w:t>
      </w:r>
      <w:r w:rsidRPr="00D739A7">
        <w:t xml:space="preserve"> indicators related to children/learners with an official decision of SEN and their different educational placements.</w:t>
      </w:r>
    </w:p>
    <w:p w14:paraId="24B5090F" w14:textId="1B3D194B" w:rsidR="000D1172" w:rsidRPr="00D739A7" w:rsidRDefault="00947552" w:rsidP="007E58DA">
      <w:pPr>
        <w:pStyle w:val="Agency-body-text"/>
        <w:rPr>
          <w:rFonts w:ascii="Times New Roman" w:hAnsi="Times New Roman"/>
          <w:szCs w:val="24"/>
          <w:lang w:eastAsia="en-GB"/>
        </w:rPr>
        <w:sectPr w:rsidR="000D1172" w:rsidRPr="00D739A7" w:rsidSect="008A7E10">
          <w:pgSz w:w="11899" w:h="16838"/>
          <w:pgMar w:top="1134" w:right="1551" w:bottom="1276" w:left="1418" w:header="709" w:footer="709" w:gutter="0"/>
          <w:cols w:space="708"/>
          <w:docGrid w:linePitch="360"/>
        </w:sectPr>
      </w:pPr>
      <w:r w:rsidRPr="00D739A7">
        <w:t>O</w:t>
      </w:r>
      <w:r w:rsidR="000D1172" w:rsidRPr="00D739A7">
        <w:t>nly one country (</w:t>
      </w:r>
      <w:r w:rsidRPr="00D739A7">
        <w:t>UK </w:t>
      </w:r>
      <w:r w:rsidR="000D1172" w:rsidRPr="00D739A7">
        <w:t xml:space="preserve">Wales) could provide reliable data </w:t>
      </w:r>
      <w:r w:rsidR="00096D0E" w:rsidRPr="00D739A7">
        <w:rPr>
          <w:lang w:eastAsia="en-GB"/>
        </w:rPr>
        <w:t>on children/learners with an official decision of SEN in non-formal educational settings</w:t>
      </w:r>
      <w:r w:rsidR="00096D0E" w:rsidRPr="00D739A7">
        <w:rPr>
          <w:rFonts w:ascii="Times New Roman" w:hAnsi="Times New Roman"/>
          <w:szCs w:val="24"/>
          <w:lang w:eastAsia="en-GB"/>
        </w:rPr>
        <w:t xml:space="preserve">. </w:t>
      </w:r>
      <w:r w:rsidRPr="00D739A7">
        <w:t>As such,</w:t>
      </w:r>
      <w:r w:rsidR="000D1172" w:rsidRPr="00D739A7">
        <w:t xml:space="preserve"> these indicators are </w:t>
      </w:r>
      <w:r w:rsidR="008F3065" w:rsidRPr="00D739A7">
        <w:t>presented separately</w:t>
      </w:r>
      <w:r w:rsidR="000D1172" w:rsidRPr="00D739A7">
        <w:t xml:space="preserve"> in </w:t>
      </w:r>
      <w:hyperlink w:anchor="appendix1" w:history="1">
        <w:r w:rsidRPr="00D739A7">
          <w:rPr>
            <w:rStyle w:val="Hyperlink"/>
          </w:rPr>
          <w:t>Appendix </w:t>
        </w:r>
        <w:r w:rsidR="000D1172" w:rsidRPr="00D739A7">
          <w:rPr>
            <w:rStyle w:val="Hyperlink"/>
          </w:rPr>
          <w:t>1</w:t>
        </w:r>
      </w:hyperlink>
      <w:r w:rsidRPr="00D739A7">
        <w:t>,</w:t>
      </w:r>
      <w:r w:rsidR="000D1172" w:rsidRPr="00D739A7">
        <w:t xml:space="preserve"> rather than within the report. </w:t>
      </w:r>
    </w:p>
    <w:p w14:paraId="4494D343" w14:textId="26ABDAF1" w:rsidR="00590320" w:rsidRPr="00D739A7" w:rsidRDefault="009908E4" w:rsidP="00EA4240">
      <w:pPr>
        <w:pStyle w:val="Agency-heading-1-report"/>
      </w:pPr>
      <w:bookmarkStart w:id="18" w:name="section1"/>
      <w:bookmarkStart w:id="19" w:name="_Toc35943017"/>
      <w:bookmarkStart w:id="20" w:name="_Toc523733147"/>
      <w:bookmarkStart w:id="21" w:name="_Hlk26361402"/>
      <w:bookmarkEnd w:id="18"/>
      <w:r w:rsidRPr="00D739A7">
        <w:lastRenderedPageBreak/>
        <w:t>Chapter </w:t>
      </w:r>
      <w:r w:rsidR="00CD6405" w:rsidRPr="00D739A7">
        <w:t>1: Pre-</w:t>
      </w:r>
      <w:r w:rsidR="00B62A55" w:rsidRPr="00D739A7">
        <w:t xml:space="preserve">primary education </w:t>
      </w:r>
      <w:r w:rsidR="00CD6405" w:rsidRPr="00D739A7">
        <w:t>(ISCED Level 02)</w:t>
      </w:r>
      <w:bookmarkEnd w:id="19"/>
    </w:p>
    <w:p w14:paraId="04360892" w14:textId="77777777" w:rsidR="00590320" w:rsidRPr="00D739A7" w:rsidRDefault="00590320" w:rsidP="00590320">
      <w:pPr>
        <w:pStyle w:val="Agency-body-text-report"/>
        <w:sectPr w:rsidR="00590320" w:rsidRPr="00D739A7" w:rsidSect="00751B98">
          <w:pgSz w:w="11899" w:h="16838"/>
          <w:pgMar w:top="1134" w:right="1551" w:bottom="1276" w:left="1418" w:header="709" w:footer="709" w:gutter="0"/>
          <w:cols w:space="708"/>
          <w:docGrid w:linePitch="360"/>
        </w:sectPr>
      </w:pPr>
    </w:p>
    <w:p w14:paraId="1D8E5F91" w14:textId="6F82D10A" w:rsidR="00590320" w:rsidRPr="00D739A7" w:rsidRDefault="00590320" w:rsidP="00590320">
      <w:pPr>
        <w:pStyle w:val="Agency-heading-1-report"/>
      </w:pPr>
      <w:bookmarkStart w:id="22" w:name="_Toc35943018"/>
      <w:r w:rsidRPr="00D739A7">
        <w:rPr>
          <w:bCs/>
          <w:caps w:val="0"/>
        </w:rPr>
        <w:lastRenderedPageBreak/>
        <w:t>1</w:t>
      </w:r>
      <w:r w:rsidR="00D6724D" w:rsidRPr="00D739A7">
        <w:rPr>
          <w:bCs/>
          <w:caps w:val="0"/>
        </w:rPr>
        <w:t>.1</w:t>
      </w:r>
      <w:r w:rsidRPr="00D739A7">
        <w:rPr>
          <w:bCs/>
          <w:caps w:val="0"/>
        </w:rPr>
        <w:t>.</w:t>
      </w:r>
      <w:r w:rsidRPr="00D739A7">
        <w:t xml:space="preserve"> Population and Enrolment</w:t>
      </w:r>
      <w:bookmarkEnd w:id="22"/>
    </w:p>
    <w:p w14:paraId="597E87C5" w14:textId="77777777" w:rsidR="00CD6405" w:rsidRPr="00D739A7" w:rsidRDefault="00CD6405" w:rsidP="00814405">
      <w:pPr>
        <w:pStyle w:val="Agency-body-text"/>
      </w:pPr>
      <w:r w:rsidRPr="00D739A7">
        <w:t>There are two agreed indicators for this area, both based on the enrolled pre-primary population.</w:t>
      </w:r>
    </w:p>
    <w:p w14:paraId="2D24AC5B" w14:textId="77777777" w:rsidR="00CD6405" w:rsidRPr="00D739A7" w:rsidRDefault="00CD6405" w:rsidP="004A29D9">
      <w:pPr>
        <w:pStyle w:val="Agency-body-text"/>
        <w:keepNext/>
        <w:rPr>
          <w:color w:val="000000"/>
          <w:szCs w:val="24"/>
        </w:rPr>
      </w:pPr>
      <w:r w:rsidRPr="00D739A7">
        <w:rPr>
          <w:color w:val="000000"/>
          <w:szCs w:val="24"/>
        </w:rPr>
        <w:t>The data presented focuses on:</w:t>
      </w:r>
    </w:p>
    <w:p w14:paraId="72F4F1ED" w14:textId="77777777" w:rsidR="00CD6405" w:rsidRPr="00D739A7" w:rsidRDefault="00CD6405" w:rsidP="00814405">
      <w:pPr>
        <w:pStyle w:val="Agency-body-text"/>
        <w:numPr>
          <w:ilvl w:val="0"/>
          <w:numId w:val="40"/>
        </w:numPr>
        <w:rPr>
          <w:color w:val="000000"/>
          <w:szCs w:val="24"/>
        </w:rPr>
      </w:pPr>
      <w:r w:rsidRPr="00D739A7">
        <w:rPr>
          <w:color w:val="000000"/>
          <w:szCs w:val="24"/>
        </w:rPr>
        <w:t>who is in formal education and who is not;</w:t>
      </w:r>
    </w:p>
    <w:p w14:paraId="39F20D41" w14:textId="77777777" w:rsidR="00CD6405" w:rsidRPr="00D739A7" w:rsidRDefault="00CD6405" w:rsidP="00814405">
      <w:pPr>
        <w:pStyle w:val="Agency-body-text"/>
        <w:numPr>
          <w:ilvl w:val="0"/>
          <w:numId w:val="40"/>
        </w:numPr>
        <w:rPr>
          <w:color w:val="000000"/>
          <w:szCs w:val="24"/>
        </w:rPr>
      </w:pPr>
      <w:r w:rsidRPr="00D739A7">
        <w:rPr>
          <w:color w:val="000000"/>
          <w:szCs w:val="24"/>
        </w:rPr>
        <w:t>who is educated in an inclusive setting and who is not.</w:t>
      </w:r>
    </w:p>
    <w:p w14:paraId="15F34FB5" w14:textId="77777777" w:rsidR="00CD6405" w:rsidRPr="00D739A7" w:rsidRDefault="00CD6405" w:rsidP="004A29D9">
      <w:pPr>
        <w:pStyle w:val="Agency-body-text"/>
        <w:keepNext/>
        <w:rPr>
          <w:color w:val="000000"/>
          <w:szCs w:val="24"/>
        </w:rPr>
      </w:pPr>
      <w:r w:rsidRPr="00D739A7">
        <w:rPr>
          <w:color w:val="000000"/>
          <w:szCs w:val="24"/>
        </w:rPr>
        <w:t>The data collected provides information on:</w:t>
      </w:r>
    </w:p>
    <w:p w14:paraId="3245851B" w14:textId="77777777" w:rsidR="00CD6405" w:rsidRPr="00D739A7" w:rsidRDefault="00CD6405" w:rsidP="00814405">
      <w:pPr>
        <w:pStyle w:val="Agency-body-text"/>
        <w:numPr>
          <w:ilvl w:val="0"/>
          <w:numId w:val="41"/>
        </w:numPr>
        <w:rPr>
          <w:color w:val="000000"/>
          <w:szCs w:val="24"/>
        </w:rPr>
      </w:pPr>
      <w:r w:rsidRPr="00D739A7">
        <w:rPr>
          <w:color w:val="000000"/>
          <w:szCs w:val="24"/>
        </w:rPr>
        <w:t>access to education;</w:t>
      </w:r>
    </w:p>
    <w:p w14:paraId="3010390C" w14:textId="77777777" w:rsidR="00CD6405" w:rsidRPr="00D739A7" w:rsidRDefault="00CD6405" w:rsidP="00814405">
      <w:pPr>
        <w:pStyle w:val="Agency-body-text"/>
        <w:numPr>
          <w:ilvl w:val="0"/>
          <w:numId w:val="41"/>
        </w:numPr>
        <w:rPr>
          <w:color w:val="000000"/>
          <w:szCs w:val="24"/>
        </w:rPr>
      </w:pPr>
      <w:r w:rsidRPr="00D739A7">
        <w:rPr>
          <w:color w:val="000000"/>
          <w:szCs w:val="24"/>
        </w:rPr>
        <w:t>the placement of children in inclusive settings or otherwise.</w:t>
      </w:r>
    </w:p>
    <w:p w14:paraId="79694BD6" w14:textId="77777777" w:rsidR="00CD6405" w:rsidRPr="00D739A7" w:rsidRDefault="00CD6405" w:rsidP="00814405">
      <w:pPr>
        <w:pStyle w:val="Agency-body-text"/>
        <w:rPr>
          <w:color w:val="000000"/>
          <w:szCs w:val="24"/>
        </w:rPr>
      </w:pPr>
      <w:r w:rsidRPr="00D739A7">
        <w:rPr>
          <w:color w:val="000000"/>
          <w:szCs w:val="24"/>
        </w:rPr>
        <w:t>The indicators focus on mainstream and inclusive education in the broadest sense. They are calculated based on data on all children eligible to be in pre-primary education, not just those recognised as having SEN.</w:t>
      </w:r>
    </w:p>
    <w:p w14:paraId="578F3FB6" w14:textId="77777777" w:rsidR="00CD6405" w:rsidRPr="00D739A7" w:rsidRDefault="00CD6405" w:rsidP="00814405">
      <w:pPr>
        <w:pStyle w:val="Agency-body-text"/>
      </w:pPr>
      <w:r w:rsidRPr="00D739A7">
        <w:br w:type="page"/>
      </w:r>
    </w:p>
    <w:p w14:paraId="2D8C0368" w14:textId="77777777" w:rsidR="00CD6405" w:rsidRPr="00D739A7" w:rsidRDefault="00CD6405" w:rsidP="00814405">
      <w:pPr>
        <w:pStyle w:val="Agency-body-text"/>
        <w:sectPr w:rsidR="00CD6405" w:rsidRPr="00D739A7" w:rsidSect="00751B98">
          <w:pgSz w:w="11899" w:h="16838"/>
          <w:pgMar w:top="1134" w:right="1551" w:bottom="1276" w:left="1418" w:header="709" w:footer="709" w:gutter="0"/>
          <w:cols w:space="708"/>
          <w:docGrid w:linePitch="360"/>
        </w:sectPr>
      </w:pPr>
    </w:p>
    <w:p w14:paraId="6F6B81E6" w14:textId="22D8F2E9" w:rsidR="00CD6405" w:rsidRPr="00D739A7" w:rsidRDefault="00436B97" w:rsidP="00814405">
      <w:pPr>
        <w:pStyle w:val="Agency-heading-2-report"/>
      </w:pPr>
      <w:bookmarkStart w:id="23" w:name="_Toc35943019"/>
      <w:r w:rsidRPr="00D739A7">
        <w:lastRenderedPageBreak/>
        <w:t>Indicator </w:t>
      </w:r>
      <w:r w:rsidR="00D6724D" w:rsidRPr="00D739A7">
        <w:t>1.</w:t>
      </w:r>
      <w:r w:rsidRPr="00D739A7">
        <w:t>1</w:t>
      </w:r>
      <w:r w:rsidR="00CD6405" w:rsidRPr="00D739A7">
        <w:t>.1: the enrolment rate in mainstream education, based on the enrolled pre-primary population (%)</w:t>
      </w:r>
      <w:bookmarkEnd w:id="23"/>
    </w:p>
    <w:p w14:paraId="0A633B96" w14:textId="77777777" w:rsidR="00CD6405" w:rsidRPr="00D739A7" w:rsidRDefault="00CD6405" w:rsidP="00814405">
      <w:pPr>
        <w:pStyle w:val="Agency-heading-2-report"/>
        <w:rPr>
          <w:sz w:val="24"/>
          <w:szCs w:val="24"/>
        </w:rPr>
        <w:sectPr w:rsidR="00CD6405" w:rsidRPr="00D739A7" w:rsidSect="00751B98">
          <w:type w:val="continuous"/>
          <w:pgSz w:w="11899" w:h="16838"/>
          <w:pgMar w:top="1134" w:right="1551" w:bottom="1276" w:left="1418" w:header="709" w:footer="709" w:gutter="0"/>
          <w:cols w:space="708"/>
          <w:docGrid w:linePitch="360"/>
        </w:sectPr>
      </w:pPr>
    </w:p>
    <w:p w14:paraId="1BF193AE" w14:textId="54A2DBD9" w:rsidR="00CD6405" w:rsidRPr="00D739A7" w:rsidRDefault="00CD6405" w:rsidP="008E40DF">
      <w:pPr>
        <w:pStyle w:val="Agency-body-text-report"/>
      </w:pPr>
      <w:r w:rsidRPr="00D739A7">
        <w:t xml:space="preserve">The data shows children who </w:t>
      </w:r>
      <w:r w:rsidR="00AD7B68" w:rsidRPr="00D739A7">
        <w:t>a</w:t>
      </w:r>
      <w:r w:rsidRPr="00D739A7">
        <w:t>re or are not in mainstream education.</w:t>
      </w:r>
    </w:p>
    <w:p w14:paraId="1DBB37CE" w14:textId="77777777" w:rsidR="00CD6405" w:rsidRPr="00D739A7" w:rsidRDefault="00CD6405" w:rsidP="008E40DF">
      <w:pPr>
        <w:pStyle w:val="Agency-body-text-report"/>
      </w:pPr>
      <w:r w:rsidRPr="00D739A7">
        <w:t>In most countries, enrolment in mainstream education implies placement in a mainstream class, or placement in a separate special class within a mainstream school. Those children who are not in mainstream settings are in fully separate special schools, non-formal education run by health or social services, etc., or are out-of-school children.</w:t>
      </w:r>
    </w:p>
    <w:p w14:paraId="32589927" w14:textId="77777777" w:rsidR="00CD6405" w:rsidRPr="00D739A7" w:rsidRDefault="00CD6405" w:rsidP="008E40DF">
      <w:pPr>
        <w:pStyle w:val="Agency-body-text-report"/>
      </w:pPr>
      <w:r w:rsidRPr="00D739A7">
        <w:t>This indicator has been calculated as follows: The number of children who are enrolled in mainstream formal educational settings (Q1.4) / The number of children who are enrolled in all formal educational settings (Q1.2) x 100.</w:t>
      </w:r>
    </w:p>
    <w:p w14:paraId="0BF8334E" w14:textId="5C83613F" w:rsidR="00CD6405" w:rsidRPr="00D739A7" w:rsidRDefault="00CD6405" w:rsidP="008E40DF">
      <w:pPr>
        <w:pStyle w:val="Agency-body-text-report"/>
      </w:pPr>
      <w:r w:rsidRPr="00D739A7">
        <w:t>Data is available from 2</w:t>
      </w:r>
      <w:r w:rsidR="00AD7B68" w:rsidRPr="00D739A7">
        <w:t>5</w:t>
      </w:r>
      <w:r w:rsidRPr="00D739A7">
        <w:t xml:space="preserve"> countries.</w:t>
      </w:r>
    </w:p>
    <w:p w14:paraId="78D63651" w14:textId="01F3E317" w:rsidR="00AD7B68" w:rsidRPr="00D739A7" w:rsidRDefault="00CD6405" w:rsidP="008E40DF">
      <w:pPr>
        <w:pStyle w:val="Agency-body-text-report"/>
      </w:pPr>
      <w:r w:rsidRPr="00D739A7">
        <w:t>Across the 2</w:t>
      </w:r>
      <w:r w:rsidR="00AD7B68" w:rsidRPr="00D739A7">
        <w:t>5</w:t>
      </w:r>
      <w:r w:rsidRPr="00D739A7">
        <w:t xml:space="preserve"> countries, the enrolment rate in mainstream education ranges from </w:t>
      </w:r>
      <w:r w:rsidR="00AD7B68" w:rsidRPr="00D739A7">
        <w:t>80.46</w:t>
      </w:r>
      <w:r w:rsidRPr="00D739A7">
        <w:t xml:space="preserve">% to </w:t>
      </w:r>
      <w:r w:rsidR="00AD7B68" w:rsidRPr="00D739A7">
        <w:t>100</w:t>
      </w:r>
      <w:r w:rsidR="00B86D8A" w:rsidRPr="00D739A7">
        <w:t>.00</w:t>
      </w:r>
      <w:r w:rsidRPr="00D739A7">
        <w:t>%; the total average for the 2</w:t>
      </w:r>
      <w:r w:rsidR="00AD7B68" w:rsidRPr="00D739A7">
        <w:t>5</w:t>
      </w:r>
      <w:r w:rsidRPr="00D739A7">
        <w:t xml:space="preserve"> countries is 98.</w:t>
      </w:r>
      <w:r w:rsidR="00AD7B68" w:rsidRPr="00D739A7">
        <w:t>79</w:t>
      </w:r>
      <w:r w:rsidRPr="00D739A7">
        <w:t>%.</w:t>
      </w:r>
    </w:p>
    <w:p w14:paraId="20C0767B" w14:textId="79F8BB02" w:rsidR="00AD7B68" w:rsidRPr="00D739A7" w:rsidRDefault="00AD7B68" w:rsidP="00AD7B68">
      <w:pPr>
        <w:spacing w:before="120" w:after="120" w:line="240" w:lineRule="auto"/>
        <w:rPr>
          <w:rFonts w:ascii="Calibri" w:eastAsia="Times New Roman" w:hAnsi="Calibri" w:cs="Calibri"/>
          <w:b/>
          <w:bCs/>
          <w:color w:val="17255B"/>
          <w:szCs w:val="18"/>
          <w:lang w:val="en-GB"/>
        </w:rPr>
      </w:pPr>
      <w:r w:rsidRPr="00D739A7">
        <w:rPr>
          <w:rFonts w:ascii="Calibri" w:hAnsi="Calibri" w:cs="Calibri"/>
          <w:noProof/>
          <w:lang w:val="en-GB"/>
        </w:rPr>
        <w:drawing>
          <wp:inline distT="0" distB="0" distL="0" distR="0" wp14:anchorId="0A2E1F4E" wp14:editId="13D4FCF1">
            <wp:extent cx="3243580" cy="7000567"/>
            <wp:effectExtent l="0" t="0" r="7620" b="10160"/>
            <wp:docPr id="4" name="Diagram 4" descr="Belgium (Fl) 99.27&#10;Bulgaria 99.95&#10;Cyprus 99.86&#10;Czech Republic 99.03&#10;Estonia 99.75&#10;France 99.15&#10;Greece 99.60&#10;Hungary 80.46&#10;Iceland  100.00&#10;Italy 99.98&#10;Latvia 95.34&#10;Lithuania 88.48&#10;Luxembourg 99.72&#10;Malta 100.00&#10;Netherlands 98.94&#10;Poland 99.52&#10;Portugal 100.00&#10;Slovakia 98.82&#10;Slovenia 100.00&#10;Spain 99.89&#10;Sweden 100.00&#10;Switzerland 98.91&#10;UK (England) 99.71&#10;UK (N. Ireland) 99.04&#10;UK (Wales) 99.64&#10;Total average (25) 98.79">
              <a:extLst xmlns:a="http://schemas.openxmlformats.org/drawingml/2006/main">
                <a:ext uri="{FF2B5EF4-FFF2-40B4-BE49-F238E27FC236}">
                  <a16:creationId xmlns:a16="http://schemas.microsoft.com/office/drawing/2014/main" id="{81333FE3-C465-4A79-A582-AE337DEAC4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F9F5BC9" w14:textId="51F677BA" w:rsidR="00CD6405" w:rsidRPr="00D739A7" w:rsidRDefault="00CD6405" w:rsidP="00814405">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1</w:t>
      </w:r>
      <w:r w:rsidRPr="00D739A7">
        <w:fldChar w:fldCharType="end"/>
      </w:r>
      <w:r w:rsidRPr="00D739A7">
        <w:t>. Enrolment rate in mainstream education, based on the enrolled pre-primary population (%)</w:t>
      </w:r>
    </w:p>
    <w:p w14:paraId="2F911BB7" w14:textId="77777777" w:rsidR="00CD6405" w:rsidRPr="00D739A7" w:rsidRDefault="00CD6405" w:rsidP="00814405">
      <w:pPr>
        <w:pStyle w:val="Agency-caption-report"/>
        <w:rPr>
          <w:rFonts w:cs="Calibri"/>
          <w:sz w:val="24"/>
          <w:szCs w:val="24"/>
        </w:rPr>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6CE11252" w14:textId="21CEFF11" w:rsidR="00CD6405" w:rsidRPr="00D739A7" w:rsidRDefault="00436B97" w:rsidP="00814405">
      <w:pPr>
        <w:pStyle w:val="Agency-heading-2-report"/>
        <w:sectPr w:rsidR="00CD6405" w:rsidRPr="00D739A7" w:rsidSect="00751B98">
          <w:pgSz w:w="11899" w:h="16838"/>
          <w:pgMar w:top="1134" w:right="1551" w:bottom="1276" w:left="1418" w:header="709" w:footer="709" w:gutter="0"/>
          <w:cols w:space="708"/>
          <w:docGrid w:linePitch="360"/>
        </w:sectPr>
      </w:pPr>
      <w:bookmarkStart w:id="24" w:name="_Toc35943020"/>
      <w:r w:rsidRPr="00D739A7">
        <w:lastRenderedPageBreak/>
        <w:t>Indicator </w:t>
      </w:r>
      <w:r w:rsidR="00D6724D" w:rsidRPr="00D739A7">
        <w:t>1.</w:t>
      </w:r>
      <w:r w:rsidRPr="00D739A7">
        <w:t>1</w:t>
      </w:r>
      <w:r w:rsidR="00CD6405" w:rsidRPr="00D739A7">
        <w:t>.2: the enrolment rate in inclusive education, based on the enrolled pre-primary population (%)</w:t>
      </w:r>
      <w:bookmarkEnd w:id="24"/>
    </w:p>
    <w:p w14:paraId="1188C1A3" w14:textId="77777777" w:rsidR="00CD6405" w:rsidRPr="00D739A7" w:rsidRDefault="00CD6405" w:rsidP="00814405">
      <w:pPr>
        <w:pStyle w:val="Agency-body-text"/>
      </w:pPr>
      <w:r w:rsidRPr="00D739A7">
        <w:t>The data shows children who are or are not in inclusive education.</w:t>
      </w:r>
    </w:p>
    <w:p w14:paraId="467948C8" w14:textId="77777777" w:rsidR="00CD6405" w:rsidRPr="00D739A7" w:rsidRDefault="00CD6405" w:rsidP="00814405">
      <w:pPr>
        <w:pStyle w:val="Agency-body-text"/>
      </w:pPr>
      <w:r w:rsidRPr="00D739A7">
        <w:t>In most countries, enrolment in inclusive education implies placement in a mainstream class in line with the 80% time placement benchmark, or the various proxies for this benchmark.</w:t>
      </w:r>
    </w:p>
    <w:p w14:paraId="35E9EDD5" w14:textId="77777777" w:rsidR="00CD6405" w:rsidRPr="00D739A7" w:rsidRDefault="00CD6405" w:rsidP="00814405">
      <w:pPr>
        <w:pStyle w:val="Agency-body-text"/>
      </w:pPr>
      <w:r w:rsidRPr="00D739A7">
        <w:t>Those children who are not in inclusive settings are in separate classes in mainstream schools, fully separate special schools, non-formal education run by health or social services, etc., or are out-of-school children.</w:t>
      </w:r>
    </w:p>
    <w:p w14:paraId="6A55E1AA" w14:textId="77777777" w:rsidR="00CD6405" w:rsidRPr="00D739A7" w:rsidRDefault="00CD6405" w:rsidP="00814405">
      <w:pPr>
        <w:pStyle w:val="Agency-body-text"/>
      </w:pPr>
      <w:r w:rsidRPr="00D739A7">
        <w:t>This indicator has been calculated as follows: The number of children who are enrolled in mainstream groups for at least 80% of the time (Q1.5) / The number of children who are enrolled in all formal educational settings (Q1.2) x 100.</w:t>
      </w:r>
    </w:p>
    <w:p w14:paraId="7BBF1610" w14:textId="65DFE25B" w:rsidR="00CD6405" w:rsidRPr="00D739A7" w:rsidRDefault="00CD6405" w:rsidP="00814405">
      <w:pPr>
        <w:pStyle w:val="Agency-body-text"/>
      </w:pPr>
      <w:r w:rsidRPr="00D739A7">
        <w:t>Data is available from 2</w:t>
      </w:r>
      <w:r w:rsidR="00BA484D" w:rsidRPr="00D739A7">
        <w:t>2</w:t>
      </w:r>
      <w:r w:rsidRPr="00D739A7">
        <w:t xml:space="preserve"> countries.</w:t>
      </w:r>
    </w:p>
    <w:p w14:paraId="4A6B3C11" w14:textId="57B8366F" w:rsidR="00BA484D" w:rsidRPr="00D739A7" w:rsidRDefault="00CD6405" w:rsidP="00814405">
      <w:pPr>
        <w:pStyle w:val="Agency-body-text"/>
      </w:pPr>
      <w:r w:rsidRPr="00D739A7">
        <w:t xml:space="preserve">The inclusive enrolment rates range from </w:t>
      </w:r>
      <w:r w:rsidR="00BA484D" w:rsidRPr="00D739A7">
        <w:t>79.98</w:t>
      </w:r>
      <w:r w:rsidRPr="00D739A7">
        <w:t xml:space="preserve">% to </w:t>
      </w:r>
      <w:r w:rsidR="00B86D8A" w:rsidRPr="00D739A7">
        <w:t>100.00%</w:t>
      </w:r>
      <w:r w:rsidRPr="00D739A7">
        <w:t>; the total average for the 2</w:t>
      </w:r>
      <w:r w:rsidR="00BA484D" w:rsidRPr="00D739A7">
        <w:t>2</w:t>
      </w:r>
      <w:r w:rsidRPr="00D739A7">
        <w:t xml:space="preserve"> countries is 98.</w:t>
      </w:r>
      <w:r w:rsidR="00BA484D" w:rsidRPr="00D739A7">
        <w:t>60</w:t>
      </w:r>
      <w:r w:rsidRPr="00D739A7">
        <w:t>%.</w:t>
      </w:r>
    </w:p>
    <w:p w14:paraId="481C433D" w14:textId="314D28B3" w:rsidR="00CD6405" w:rsidRPr="00D739A7" w:rsidRDefault="00BA484D" w:rsidP="00BA484D">
      <w:pPr>
        <w:spacing w:before="120" w:after="120" w:line="240" w:lineRule="auto"/>
        <w:rPr>
          <w:rFonts w:ascii="Calibri" w:eastAsia="Times New Roman" w:hAnsi="Calibri" w:cs="Calibri"/>
          <w:color w:val="000000"/>
          <w:sz w:val="24"/>
          <w:szCs w:val="24"/>
          <w:lang w:val="en-GB"/>
        </w:rPr>
      </w:pPr>
      <w:r w:rsidRPr="00D739A7">
        <w:rPr>
          <w:rFonts w:ascii="Calibri" w:hAnsi="Calibri" w:cs="Calibri"/>
          <w:noProof/>
          <w:lang w:val="en-GB"/>
        </w:rPr>
        <w:drawing>
          <wp:inline distT="0" distB="0" distL="0" distR="0" wp14:anchorId="2F0BEB4D" wp14:editId="6B339193">
            <wp:extent cx="3103880" cy="7039897"/>
            <wp:effectExtent l="0" t="0" r="7620" b="8890"/>
            <wp:docPr id="5" name="Diagram 5" descr="Belgium (Fl) 99.27&#10;Bulgaria 99.72&#10;Cyprus 99.42&#10;Czech Republic 96.72&#10;Estonia 97.63&#10;France 98.93&#10;Greece 99.58&#10;Hungary 79.98&#10;Italy 99.98&#10;Lithuania 87.66&#10;Luxembourg 99.33&#10;Malta 100.00&#10;Netherlands 98.94&#10;Poland 99.43&#10;Portugal 100.00&#10;Slovakia 98.62&#10;Slovenia 99.86&#10;Spain 99.85&#10;Sweden 100.00&#10;Switzerland 98.88&#10;UK (England) 99.67&#10;UK (N. Ireland) 99.04&#10;Total average (22) 98.60">
              <a:extLst xmlns:a="http://schemas.openxmlformats.org/drawingml/2006/main">
                <a:ext uri="{FF2B5EF4-FFF2-40B4-BE49-F238E27FC236}">
                  <a16:creationId xmlns:a16="http://schemas.microsoft.com/office/drawing/2014/main" id="{F728B73D-7A5F-48A3-A53A-B2D8991AE4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F4C5957" w14:textId="30B8856A" w:rsidR="00CD6405" w:rsidRPr="00D739A7" w:rsidRDefault="00CD6405" w:rsidP="00814405">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2</w:t>
      </w:r>
      <w:r w:rsidRPr="00D739A7">
        <w:fldChar w:fldCharType="end"/>
      </w:r>
      <w:r w:rsidRPr="00D739A7">
        <w:t>. Enrolment rate in inclusive education, based on the enrolled pre-primary population (%)</w:t>
      </w:r>
    </w:p>
    <w:p w14:paraId="2F0C6B2C" w14:textId="5262ABDF" w:rsidR="00CD6405" w:rsidRPr="00D739A7" w:rsidRDefault="00D6724D" w:rsidP="00814405">
      <w:pPr>
        <w:pStyle w:val="Agency-heading-1-report"/>
      </w:pPr>
      <w:bookmarkStart w:id="25" w:name="_Toc35943021"/>
      <w:r w:rsidRPr="00D739A7">
        <w:lastRenderedPageBreak/>
        <w:t>1.</w:t>
      </w:r>
      <w:r w:rsidR="00CD6405" w:rsidRPr="00D739A7">
        <w:t>2. Age Samples</w:t>
      </w:r>
      <w:bookmarkEnd w:id="25"/>
    </w:p>
    <w:p w14:paraId="66903261" w14:textId="77777777" w:rsidR="00550DA8" w:rsidRPr="00D739A7" w:rsidRDefault="00CD6405" w:rsidP="00814405">
      <w:pPr>
        <w:pStyle w:val="Agency-body-text"/>
      </w:pPr>
      <w:r w:rsidRPr="00D739A7">
        <w:t xml:space="preserve">There are two agreed indicators for this area, </w:t>
      </w:r>
      <w:r w:rsidR="00412653" w:rsidRPr="00D739A7">
        <w:t xml:space="preserve">both </w:t>
      </w:r>
      <w:r w:rsidRPr="00D739A7">
        <w:t>based on the enrolled pre-primary population of 4-year-olds.</w:t>
      </w:r>
    </w:p>
    <w:p w14:paraId="435D105C" w14:textId="24FBAFB3" w:rsidR="00CD6405" w:rsidRPr="00D739A7" w:rsidRDefault="00CD6405" w:rsidP="00814405">
      <w:pPr>
        <w:pStyle w:val="Agency-body-text"/>
      </w:pPr>
      <w:r w:rsidRPr="00D739A7">
        <w:t xml:space="preserve">The data focuses on </w:t>
      </w:r>
      <w:r w:rsidR="00412653" w:rsidRPr="00D739A7">
        <w:t xml:space="preserve">an </w:t>
      </w:r>
      <w:r w:rsidRPr="00D739A7">
        <w:t>age sample in line with the two indicators presented in the previous section – children aged 4</w:t>
      </w:r>
      <w:r w:rsidR="00412653" w:rsidRPr="00D739A7">
        <w:t xml:space="preserve"> </w:t>
      </w:r>
      <w:r w:rsidR="0015273A" w:rsidRPr="00D739A7">
        <w:t>who are</w:t>
      </w:r>
      <w:r w:rsidRPr="00D739A7">
        <w:t xml:space="preserve"> educated in mainstream and inclusive settings.</w:t>
      </w:r>
    </w:p>
    <w:p w14:paraId="64497F19" w14:textId="77777777" w:rsidR="00CD6405" w:rsidRPr="00D739A7" w:rsidRDefault="00CD6405" w:rsidP="00814405">
      <w:pPr>
        <w:pStyle w:val="Agency-body-text"/>
      </w:pPr>
      <w:r w:rsidRPr="00D739A7">
        <w:t>The age sample indicators also focus on mainstream and inclusive education in the broadest sense. They are calculated based on data for all children aged 4 who are eligible to be in pre-primary education.</w:t>
      </w:r>
    </w:p>
    <w:p w14:paraId="2B0ADE35" w14:textId="60396606" w:rsidR="00CD6405" w:rsidRPr="00D739A7" w:rsidRDefault="00CD6405" w:rsidP="004A29D9">
      <w:pPr>
        <w:pStyle w:val="Agency-body-text"/>
      </w:pPr>
      <w:r w:rsidRPr="00D739A7">
        <w:t xml:space="preserve">The indicators focus </w:t>
      </w:r>
      <w:r w:rsidR="00412653" w:rsidRPr="00D739A7">
        <w:t xml:space="preserve">specifically </w:t>
      </w:r>
      <w:r w:rsidRPr="00D739A7">
        <w:t>on the populations of children age</w:t>
      </w:r>
      <w:r w:rsidR="00412653" w:rsidRPr="00D739A7">
        <w:t>d</w:t>
      </w:r>
      <w:r w:rsidRPr="00D739A7">
        <w:t xml:space="preserve"> 4, as this age corresponds with the typical ISCED 02 age range for most countries</w:t>
      </w:r>
      <w:r w:rsidR="00412653" w:rsidRPr="00D739A7">
        <w:t>.</w:t>
      </w:r>
    </w:p>
    <w:p w14:paraId="5AFB5405" w14:textId="77777777" w:rsidR="00CD6405" w:rsidRPr="00D739A7" w:rsidRDefault="00CD6405" w:rsidP="004A29D9">
      <w:pPr>
        <w:pStyle w:val="Agency-body-text"/>
        <w:keepNext/>
      </w:pPr>
      <w:r w:rsidRPr="00D739A7">
        <w:t>The data provided within this table focuses on age-based samples. Within these samples, it explores:</w:t>
      </w:r>
    </w:p>
    <w:p w14:paraId="76D32991" w14:textId="77777777" w:rsidR="00CD6405" w:rsidRPr="00D739A7" w:rsidRDefault="00CD6405" w:rsidP="00814405">
      <w:pPr>
        <w:pStyle w:val="Agency-body-text"/>
        <w:numPr>
          <w:ilvl w:val="0"/>
          <w:numId w:val="42"/>
        </w:numPr>
      </w:pPr>
      <w:r w:rsidRPr="00D739A7">
        <w:t>4-year-olds who are in mainstream education or not;</w:t>
      </w:r>
    </w:p>
    <w:p w14:paraId="1DEE9325" w14:textId="25AFDED4" w:rsidR="00CD6405" w:rsidRPr="00D739A7" w:rsidRDefault="00CD6405" w:rsidP="00814405">
      <w:pPr>
        <w:pStyle w:val="Agency-body-text"/>
        <w:numPr>
          <w:ilvl w:val="0"/>
          <w:numId w:val="42"/>
        </w:numPr>
      </w:pPr>
      <w:r w:rsidRPr="00D739A7">
        <w:t>4-year-olds who are in an inclusive setting or not.</w:t>
      </w:r>
    </w:p>
    <w:p w14:paraId="648FA278" w14:textId="77777777" w:rsidR="00CD6405" w:rsidRPr="00D739A7" w:rsidRDefault="00CD6405" w:rsidP="004A29D9">
      <w:pPr>
        <w:pStyle w:val="Agency-body-text"/>
        <w:keepNext/>
      </w:pPr>
      <w:r w:rsidRPr="00D739A7">
        <w:t>The data collected provides age sample information on:</w:t>
      </w:r>
    </w:p>
    <w:p w14:paraId="7558BFFD" w14:textId="77777777" w:rsidR="00CD6405" w:rsidRPr="00D739A7" w:rsidRDefault="00CD6405" w:rsidP="00814405">
      <w:pPr>
        <w:pStyle w:val="Agency-body-text"/>
        <w:numPr>
          <w:ilvl w:val="0"/>
          <w:numId w:val="43"/>
        </w:numPr>
      </w:pPr>
      <w:r w:rsidRPr="00D739A7">
        <w:t>access to education;</w:t>
      </w:r>
    </w:p>
    <w:p w14:paraId="68CA4A6A" w14:textId="77777777" w:rsidR="00CD6405" w:rsidRPr="00D739A7" w:rsidRDefault="00CD6405" w:rsidP="00814405">
      <w:pPr>
        <w:pStyle w:val="Agency-body-text"/>
        <w:numPr>
          <w:ilvl w:val="0"/>
          <w:numId w:val="43"/>
        </w:numPr>
      </w:pPr>
      <w:r w:rsidRPr="00D739A7">
        <w:t>the placement of children in inclusive settings or elsewhere.</w:t>
      </w:r>
    </w:p>
    <w:p w14:paraId="3395A7F0"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br w:type="page"/>
      </w:r>
    </w:p>
    <w:p w14:paraId="0F587D74" w14:textId="7957CAFF" w:rsidR="00CD6405" w:rsidRPr="00D739A7" w:rsidRDefault="00436B97" w:rsidP="00814405">
      <w:pPr>
        <w:pStyle w:val="Agency-heading-2-report"/>
      </w:pPr>
      <w:bookmarkStart w:id="26" w:name="_Toc35943022"/>
      <w:r w:rsidRPr="00D739A7">
        <w:lastRenderedPageBreak/>
        <w:t>Indicator </w:t>
      </w:r>
      <w:r w:rsidR="00D6724D" w:rsidRPr="00D739A7">
        <w:t>1.</w:t>
      </w:r>
      <w:r w:rsidRPr="00D739A7">
        <w:t>2</w:t>
      </w:r>
      <w:r w:rsidR="00CD6405" w:rsidRPr="00D739A7">
        <w:t>.1: the age sample enrolment rate in mainstream education for 4-year-olds, based on the enrolled pre-primary population of 4-year-olds (%)</w:t>
      </w:r>
      <w:bookmarkEnd w:id="26"/>
    </w:p>
    <w:p w14:paraId="50D187C2" w14:textId="77777777" w:rsidR="00CD6405" w:rsidRPr="00D739A7" w:rsidRDefault="00CD6405" w:rsidP="00814405">
      <w:pPr>
        <w:pStyle w:val="Agency-heading-2-report"/>
        <w:rPr>
          <w:sz w:val="24"/>
          <w:szCs w:val="24"/>
        </w:rPr>
        <w:sectPr w:rsidR="00CD6405" w:rsidRPr="00D739A7" w:rsidSect="00751B98">
          <w:type w:val="continuous"/>
          <w:pgSz w:w="11899" w:h="16838"/>
          <w:pgMar w:top="1134" w:right="1551" w:bottom="1276" w:left="1418" w:header="709" w:footer="709" w:gutter="0"/>
          <w:cols w:space="708"/>
          <w:docGrid w:linePitch="360"/>
        </w:sectPr>
      </w:pPr>
    </w:p>
    <w:p w14:paraId="1151F54C" w14:textId="77777777" w:rsidR="00CD6405" w:rsidRPr="00D739A7" w:rsidRDefault="00CD6405" w:rsidP="00814405">
      <w:pPr>
        <w:pStyle w:val="Agency-body-text"/>
      </w:pPr>
      <w:r w:rsidRPr="00D739A7">
        <w:t>The data shows 4-year-old children who are or are not in mainstream education.</w:t>
      </w:r>
    </w:p>
    <w:p w14:paraId="103C1398" w14:textId="77777777" w:rsidR="00CD6405" w:rsidRPr="00D739A7" w:rsidRDefault="00CD6405" w:rsidP="00814405">
      <w:pPr>
        <w:pStyle w:val="Agency-body-text"/>
      </w:pPr>
      <w:r w:rsidRPr="00D739A7">
        <w:t>In most countries, enrolment in mainstream education implies placement in a mainstream class, or placement in a separate special class within a mainstream school. Those children who are not in mainstream settings are in fully separate special schools, non-formal education run by health or social services, etc., or are out-of-school children.</w:t>
      </w:r>
    </w:p>
    <w:p w14:paraId="6BC85D6C" w14:textId="49197314" w:rsidR="00CD6405" w:rsidRPr="00D739A7" w:rsidRDefault="00CD6405" w:rsidP="00814405">
      <w:pPr>
        <w:pStyle w:val="Agency-body-text"/>
      </w:pPr>
      <w:r w:rsidRPr="00D739A7">
        <w:t xml:space="preserve">This indicator has been calculated as follows: </w:t>
      </w:r>
      <w:r w:rsidRPr="00D739A7">
        <w:rPr>
          <w:szCs w:val="28"/>
        </w:rPr>
        <w:t xml:space="preserve">The number of </w:t>
      </w:r>
      <w:r w:rsidR="00A0655C" w:rsidRPr="00D739A7">
        <w:rPr>
          <w:szCs w:val="28"/>
        </w:rPr>
        <w:t>4</w:t>
      </w:r>
      <w:r w:rsidR="00464C77" w:rsidRPr="00D739A7">
        <w:rPr>
          <w:szCs w:val="28"/>
        </w:rPr>
        <w:noBreakHyphen/>
      </w:r>
      <w:r w:rsidRPr="00D739A7">
        <w:rPr>
          <w:szCs w:val="28"/>
        </w:rPr>
        <w:t>year</w:t>
      </w:r>
      <w:r w:rsidR="00464C77" w:rsidRPr="00D739A7">
        <w:rPr>
          <w:szCs w:val="28"/>
        </w:rPr>
        <w:noBreakHyphen/>
      </w:r>
      <w:r w:rsidRPr="00D739A7">
        <w:rPr>
          <w:szCs w:val="28"/>
        </w:rPr>
        <w:t xml:space="preserve">olds who are enrolled in mainstream formal educational settings (Q2.4) / The number of </w:t>
      </w:r>
      <w:r w:rsidR="00A0655C" w:rsidRPr="00D739A7">
        <w:rPr>
          <w:szCs w:val="28"/>
        </w:rPr>
        <w:t>4</w:t>
      </w:r>
      <w:r w:rsidR="00A0655C" w:rsidRPr="00D739A7">
        <w:rPr>
          <w:szCs w:val="28"/>
        </w:rPr>
        <w:noBreakHyphen/>
      </w:r>
      <w:r w:rsidRPr="00D739A7">
        <w:rPr>
          <w:szCs w:val="28"/>
        </w:rPr>
        <w:t>year-olds who are enrolled in all formal educational settings (Q2.2) x 100.</w:t>
      </w:r>
    </w:p>
    <w:p w14:paraId="00B4E2B6" w14:textId="0432A65E" w:rsidR="00CD6405" w:rsidRPr="00D739A7" w:rsidRDefault="00CD6405" w:rsidP="00814405">
      <w:pPr>
        <w:pStyle w:val="Agency-body-text"/>
      </w:pPr>
      <w:r w:rsidRPr="00D739A7">
        <w:t>Data is available from 2</w:t>
      </w:r>
      <w:r w:rsidR="00844B99" w:rsidRPr="00D739A7">
        <w:t>4</w:t>
      </w:r>
      <w:r w:rsidRPr="00D739A7">
        <w:t xml:space="preserve"> countries.</w:t>
      </w:r>
    </w:p>
    <w:p w14:paraId="77735685" w14:textId="77777777" w:rsidR="00550DA8" w:rsidRPr="00D739A7" w:rsidRDefault="00CD6405" w:rsidP="00814405">
      <w:pPr>
        <w:pStyle w:val="Agency-body-text"/>
      </w:pPr>
      <w:r w:rsidRPr="00D739A7">
        <w:t>Across the 2</w:t>
      </w:r>
      <w:r w:rsidR="00844B99" w:rsidRPr="00D739A7">
        <w:t>4</w:t>
      </w:r>
      <w:r w:rsidRPr="00D739A7">
        <w:t xml:space="preserve"> countries, the enrolment rate in mainstream education for </w:t>
      </w:r>
      <w:r w:rsidR="00836A6F" w:rsidRPr="00D739A7">
        <w:t>4</w:t>
      </w:r>
      <w:r w:rsidRPr="00D739A7">
        <w:t xml:space="preserve">-year-olds ranges from </w:t>
      </w:r>
      <w:r w:rsidR="00844B99" w:rsidRPr="00D739A7">
        <w:t>81.75</w:t>
      </w:r>
      <w:r w:rsidRPr="00D739A7">
        <w:t xml:space="preserve">% to </w:t>
      </w:r>
      <w:r w:rsidR="00B86D8A" w:rsidRPr="00D739A7">
        <w:t>100.00%</w:t>
      </w:r>
      <w:r w:rsidRPr="00D739A7">
        <w:t>; the total average for the 2</w:t>
      </w:r>
      <w:r w:rsidR="00844B99" w:rsidRPr="00D739A7">
        <w:t>4</w:t>
      </w:r>
      <w:r w:rsidRPr="00D739A7">
        <w:t xml:space="preserve"> countries is 9</w:t>
      </w:r>
      <w:r w:rsidR="00844B99" w:rsidRPr="00D739A7">
        <w:t>9.03</w:t>
      </w:r>
      <w:r w:rsidRPr="00D739A7">
        <w:t>%.</w:t>
      </w:r>
    </w:p>
    <w:p w14:paraId="1E71A365" w14:textId="43358670" w:rsidR="00844B99" w:rsidRPr="00D739A7" w:rsidRDefault="00A94E73" w:rsidP="00844B99">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1FEBD0F" wp14:editId="6F16090E">
            <wp:extent cx="3048000" cy="6931742"/>
            <wp:effectExtent l="0" t="0" r="12700" b="15240"/>
            <wp:docPr id="6" name="Diagram 6" descr="Belgium (Fl) 99.37&#10;Bulgaria 99.97&#10;Czech Republic 99.31&#10;Cyprus 99.86&#10;Estonia 99.70&#10;Greece 99.81&#10;Hungary 81.75&#10;Iceland  100.00&#10;Ireland 92.04&#10;Italy 99.98&#10;Latvia 95.59&#10;Lithuania 98.39&#10;Luxembourg 99.73&#10;Malta 100.00&#10;Netherlands 99.16&#10;Poland 99.71&#10;Portugal 100.00&#10;Slovakia 99.31&#10;Slovenia 100.00&#10;Spain 99.88&#10;Switzerland 99.32&#10;UK (England) 99.54&#10;UK (N. Ireland) 98.47&#10;UK (Wales) 98.74&#10;Total average (24) 99.03">
              <a:extLst xmlns:a="http://schemas.openxmlformats.org/drawingml/2006/main">
                <a:ext uri="{FF2B5EF4-FFF2-40B4-BE49-F238E27FC236}">
                  <a16:creationId xmlns:a16="http://schemas.microsoft.com/office/drawing/2014/main" id="{A3DAF65B-8FC4-4203-BFA7-F678CC27ED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806D9F6" w14:textId="49A5F1C0" w:rsidR="00CD6405" w:rsidRPr="00D739A7" w:rsidRDefault="00CD6405" w:rsidP="00814405">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3</w:t>
      </w:r>
      <w:r w:rsidRPr="00D739A7">
        <w:fldChar w:fldCharType="end"/>
      </w:r>
      <w:r w:rsidRPr="00D739A7">
        <w:t>. Age sample enrolment rate in mainstream education for 4-year-olds, based on the enrolled pre</w:t>
      </w:r>
      <w:r w:rsidR="00881141" w:rsidRPr="00D739A7">
        <w:noBreakHyphen/>
      </w:r>
      <w:r w:rsidRPr="00D739A7">
        <w:t>primary population of 4-year-olds (%)</w:t>
      </w:r>
    </w:p>
    <w:p w14:paraId="69E4B0FE" w14:textId="631A7F01" w:rsidR="00CD6405" w:rsidRPr="00D739A7" w:rsidRDefault="00436B97" w:rsidP="00814405">
      <w:pPr>
        <w:pStyle w:val="Agency-heading-2-report"/>
        <w:sectPr w:rsidR="00CD6405" w:rsidRPr="00D739A7" w:rsidSect="00751B98">
          <w:pgSz w:w="11899" w:h="16838"/>
          <w:pgMar w:top="1134" w:right="1551" w:bottom="1276" w:left="1418" w:header="709" w:footer="709" w:gutter="0"/>
          <w:cols w:space="710"/>
          <w:docGrid w:linePitch="360"/>
        </w:sectPr>
      </w:pPr>
      <w:bookmarkStart w:id="27" w:name="_Toc35943023"/>
      <w:r w:rsidRPr="00D739A7">
        <w:lastRenderedPageBreak/>
        <w:t>Indicator </w:t>
      </w:r>
      <w:r w:rsidR="00D6724D" w:rsidRPr="00D739A7">
        <w:t>1.</w:t>
      </w:r>
      <w:r w:rsidRPr="00D739A7">
        <w:t>2</w:t>
      </w:r>
      <w:r w:rsidR="00CD6405" w:rsidRPr="00D739A7">
        <w:t>.</w:t>
      </w:r>
      <w:r w:rsidR="006863FB" w:rsidRPr="00D739A7">
        <w:t>2</w:t>
      </w:r>
      <w:r w:rsidR="00CD6405" w:rsidRPr="00D739A7">
        <w:t xml:space="preserve"> the age sample enrolment rate in inclusive education for 4-year-olds, based on the enrolled pre-primary population of 4</w:t>
      </w:r>
      <w:r w:rsidR="00881141" w:rsidRPr="00D739A7">
        <w:noBreakHyphen/>
      </w:r>
      <w:r w:rsidR="00CD6405" w:rsidRPr="00D739A7">
        <w:t>year-olds (%)</w:t>
      </w:r>
      <w:bookmarkEnd w:id="27"/>
    </w:p>
    <w:p w14:paraId="0566FF6E" w14:textId="77777777" w:rsidR="00CD6405" w:rsidRPr="00D739A7" w:rsidRDefault="00CD6405" w:rsidP="00814405">
      <w:pPr>
        <w:pStyle w:val="Agency-body-text"/>
      </w:pPr>
      <w:r w:rsidRPr="00D739A7">
        <w:t>The data shows 4-year-old children who are or are not in inclusive education.</w:t>
      </w:r>
    </w:p>
    <w:p w14:paraId="5B61DBCD" w14:textId="77777777" w:rsidR="00CD6405" w:rsidRPr="00D739A7" w:rsidRDefault="00CD6405" w:rsidP="00814405">
      <w:pPr>
        <w:pStyle w:val="Agency-body-text"/>
      </w:pPr>
      <w:r w:rsidRPr="00D739A7">
        <w:t>In most countries, enrolment in inclusive education implies placement in a mainstream class in line with the 80% time placement benchmark, or the various proxies for this benchmark.</w:t>
      </w:r>
    </w:p>
    <w:p w14:paraId="543A3431" w14:textId="77777777" w:rsidR="00CD6405" w:rsidRPr="00D739A7" w:rsidRDefault="00CD6405" w:rsidP="00814405">
      <w:pPr>
        <w:pStyle w:val="Agency-body-text"/>
      </w:pPr>
      <w:r w:rsidRPr="00D739A7">
        <w:t>Those 4-year-old children who are not in inclusive settings are in separate classes in mainstream schools, fully separate special schools, non-formal education run by health or social services, etc., or are out-of-school children.</w:t>
      </w:r>
    </w:p>
    <w:p w14:paraId="57F12B25" w14:textId="302C32CD" w:rsidR="00CD6405" w:rsidRPr="00D739A7" w:rsidRDefault="00CD6405" w:rsidP="00814405">
      <w:pPr>
        <w:pStyle w:val="Agency-body-text"/>
      </w:pPr>
      <w:r w:rsidRPr="00D739A7">
        <w:t xml:space="preserve">This indicator has been calculated as follows: The number of </w:t>
      </w:r>
      <w:r w:rsidR="00A0655C" w:rsidRPr="00D739A7">
        <w:t>4</w:t>
      </w:r>
      <w:r w:rsidR="00AB3C5E" w:rsidRPr="00D739A7">
        <w:noBreakHyphen/>
      </w:r>
      <w:r w:rsidRPr="00D739A7">
        <w:t>year</w:t>
      </w:r>
      <w:r w:rsidR="00464C77" w:rsidRPr="00D739A7">
        <w:noBreakHyphen/>
      </w:r>
      <w:r w:rsidRPr="00D739A7">
        <w:t xml:space="preserve">olds who are enrolled in mainstream groups for at least 80% of the time (Q2.5) / The number of </w:t>
      </w:r>
      <w:r w:rsidR="00A0655C" w:rsidRPr="00D739A7">
        <w:t>4</w:t>
      </w:r>
      <w:r w:rsidRPr="00D739A7">
        <w:t>-year-olds who are enrolled in all formal educational settings (Q2.2) x 100.</w:t>
      </w:r>
    </w:p>
    <w:p w14:paraId="5A110122" w14:textId="11FED8EF" w:rsidR="00CD6405" w:rsidRPr="00D739A7" w:rsidRDefault="00CD6405" w:rsidP="00814405">
      <w:pPr>
        <w:pStyle w:val="Agency-body-text"/>
      </w:pPr>
      <w:r w:rsidRPr="00D739A7">
        <w:t xml:space="preserve">Data is available from </w:t>
      </w:r>
      <w:r w:rsidR="00844B99" w:rsidRPr="00D739A7">
        <w:t xml:space="preserve">17 </w:t>
      </w:r>
      <w:r w:rsidRPr="00D739A7">
        <w:t>countries.</w:t>
      </w:r>
    </w:p>
    <w:p w14:paraId="760F7F5C" w14:textId="77777777" w:rsidR="00550DA8" w:rsidRPr="00D739A7" w:rsidRDefault="00CD6405" w:rsidP="00814405">
      <w:pPr>
        <w:pStyle w:val="Agency-body-text"/>
      </w:pPr>
      <w:r w:rsidRPr="00D739A7">
        <w:t>The inclusive enrolment rates range from 9</w:t>
      </w:r>
      <w:r w:rsidR="00844B99" w:rsidRPr="00D739A7">
        <w:t>7.48</w:t>
      </w:r>
      <w:r w:rsidRPr="00D739A7">
        <w:t xml:space="preserve">% to </w:t>
      </w:r>
      <w:r w:rsidR="00B86D8A" w:rsidRPr="00D739A7">
        <w:t>100.00%</w:t>
      </w:r>
      <w:r w:rsidRPr="00D739A7">
        <w:t xml:space="preserve">; the total average for the </w:t>
      </w:r>
      <w:r w:rsidR="00844B99" w:rsidRPr="00D739A7">
        <w:t>17</w:t>
      </w:r>
      <w:r w:rsidRPr="00D739A7">
        <w:t xml:space="preserve"> countries is 9</w:t>
      </w:r>
      <w:r w:rsidR="00844B99" w:rsidRPr="00D739A7">
        <w:t>9.55</w:t>
      </w:r>
      <w:r w:rsidRPr="00D739A7">
        <w:t>%.</w:t>
      </w:r>
    </w:p>
    <w:p w14:paraId="44CA450C" w14:textId="7D7B1632" w:rsidR="00CD6405" w:rsidRPr="00D739A7" w:rsidRDefault="00844B99" w:rsidP="00844B99">
      <w:pPr>
        <w:spacing w:before="120" w:after="120" w:line="240" w:lineRule="auto"/>
        <w:rPr>
          <w:rFonts w:ascii="Calibri" w:eastAsia="Times New Roman" w:hAnsi="Calibri" w:cs="Calibri"/>
          <w:color w:val="000000"/>
          <w:sz w:val="24"/>
          <w:szCs w:val="24"/>
          <w:lang w:val="en-GB"/>
        </w:rPr>
      </w:pPr>
      <w:r w:rsidRPr="00D739A7">
        <w:rPr>
          <w:rFonts w:ascii="Calibri" w:hAnsi="Calibri" w:cs="Calibri"/>
          <w:noProof/>
          <w:lang w:val="en-GB"/>
        </w:rPr>
        <w:drawing>
          <wp:inline distT="0" distB="0" distL="0" distR="0" wp14:anchorId="6B2C2946" wp14:editId="0B06CCE0">
            <wp:extent cx="3039110" cy="6646607"/>
            <wp:effectExtent l="0" t="0" r="8890" b="8255"/>
            <wp:docPr id="7" name="Diagram 7" descr="Belgium (Fl) 99.37&#10;Czech Republic 98.11&#10;Bulgaria 99.97&#10;Cyprus 98.97&#10;Estonia 97.63&#10;Italy 99.98&#10;Lithuania 97.48&#10;Luxembourg 99.39&#10;Malta 100.00&#10;Netherlands 99.16&#10;Portugal 100.00&#10;Slovakia 99.22&#10;Slovenia 99.84&#10;Spain 99.84&#10;Switzerland 99.27&#10;UK (England) 99.48&#10;UK (N. Ireland) 97.90&#10;Total average (17) 99.55">
              <a:extLst xmlns:a="http://schemas.openxmlformats.org/drawingml/2006/main">
                <a:ext uri="{FF2B5EF4-FFF2-40B4-BE49-F238E27FC236}">
                  <a16:creationId xmlns:a16="http://schemas.microsoft.com/office/drawing/2014/main" id="{F539BB44-3B8C-4841-A3B6-5EDF2DA718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EC7A824" w14:textId="2B34CB02" w:rsidR="00CD6405" w:rsidRPr="00D739A7" w:rsidRDefault="00881141">
      <w:pPr>
        <w:pStyle w:val="Agency-caption-report"/>
        <w:sectPr w:rsidR="00CD6405" w:rsidRPr="00D739A7" w:rsidSect="00C65156">
          <w:type w:val="continuous"/>
          <w:pgSz w:w="11899" w:h="16838"/>
          <w:pgMar w:top="1134" w:right="1551" w:bottom="1276" w:left="1418" w:header="709" w:footer="709" w:gutter="0"/>
          <w:cols w:num="2" w:space="710" w:equalWidth="0">
            <w:col w:w="3475" w:space="710"/>
            <w:col w:w="4745"/>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w:t>
      </w:r>
      <w:r w:rsidRPr="00D739A7">
        <w:fldChar w:fldCharType="end"/>
      </w:r>
      <w:r w:rsidR="00CD6405" w:rsidRPr="00D739A7">
        <w:t xml:space="preserve">. Age sample enrolment rate in inclusive education for </w:t>
      </w:r>
      <w:r w:rsidR="00836A6F" w:rsidRPr="00D739A7">
        <w:t>4</w:t>
      </w:r>
      <w:r w:rsidR="00CD6405" w:rsidRPr="00D739A7">
        <w:t xml:space="preserve">-year-olds, based on the enrolled pre-primary population of </w:t>
      </w:r>
      <w:r w:rsidR="00836A6F" w:rsidRPr="00D739A7">
        <w:t>4</w:t>
      </w:r>
      <w:r w:rsidR="00CD6405" w:rsidRPr="00D739A7">
        <w:t>-year-olds (%)</w:t>
      </w:r>
    </w:p>
    <w:p w14:paraId="0BA7E6E6" w14:textId="02017E28" w:rsidR="00CD6405" w:rsidRPr="00D739A7" w:rsidRDefault="00D6724D" w:rsidP="00814405">
      <w:pPr>
        <w:pStyle w:val="Agency-heading-1-report"/>
      </w:pPr>
      <w:bookmarkStart w:id="28" w:name="_Toc35943024"/>
      <w:r w:rsidRPr="00D739A7">
        <w:lastRenderedPageBreak/>
        <w:t>1.</w:t>
      </w:r>
      <w:r w:rsidR="00CD6405" w:rsidRPr="00D739A7">
        <w:t xml:space="preserve">3. </w:t>
      </w:r>
      <w:bookmarkStart w:id="29" w:name="_Hlk26437670"/>
      <w:r w:rsidR="00881141" w:rsidRPr="00D739A7">
        <w:t xml:space="preserve">Children </w:t>
      </w:r>
      <w:r w:rsidR="00CD6405" w:rsidRPr="00D739A7">
        <w:t xml:space="preserve">with an </w:t>
      </w:r>
      <w:r w:rsidR="00B62A55" w:rsidRPr="00D739A7">
        <w:t xml:space="preserve">official decision </w:t>
      </w:r>
      <w:r w:rsidR="00CD6405" w:rsidRPr="00D739A7">
        <w:t>of SEN</w:t>
      </w:r>
      <w:bookmarkEnd w:id="28"/>
      <w:bookmarkEnd w:id="29"/>
    </w:p>
    <w:p w14:paraId="43770A4B" w14:textId="77777777" w:rsidR="00550DA8" w:rsidRPr="00D739A7" w:rsidRDefault="00CD6405" w:rsidP="004A29D9">
      <w:pPr>
        <w:pStyle w:val="Agency-body-text"/>
        <w:keepNext/>
      </w:pPr>
      <w:r w:rsidRPr="00D739A7">
        <w:t>There are three groups of indicators for this area, relating to:</w:t>
      </w:r>
    </w:p>
    <w:p w14:paraId="2FAD4B2B" w14:textId="1953EB50" w:rsidR="00CD6405" w:rsidRPr="00D739A7" w:rsidRDefault="00CD6405" w:rsidP="00814405">
      <w:pPr>
        <w:pStyle w:val="Agency-body-text"/>
        <w:numPr>
          <w:ilvl w:val="0"/>
          <w:numId w:val="44"/>
        </w:numPr>
      </w:pPr>
      <w:r w:rsidRPr="00D739A7">
        <w:t>Identification rates</w:t>
      </w:r>
    </w:p>
    <w:p w14:paraId="26297B07" w14:textId="77777777" w:rsidR="00CD6405" w:rsidRPr="00D739A7" w:rsidRDefault="00CD6405" w:rsidP="00814405">
      <w:pPr>
        <w:pStyle w:val="Agency-body-text"/>
        <w:numPr>
          <w:ilvl w:val="0"/>
          <w:numId w:val="44"/>
        </w:numPr>
      </w:pPr>
      <w:r w:rsidRPr="00D739A7">
        <w:t>Distribution of placements of children with an official decision of SEN, based on the enrolled pre-primary population</w:t>
      </w:r>
    </w:p>
    <w:p w14:paraId="20617D2F" w14:textId="77777777" w:rsidR="00CD6405" w:rsidRPr="00D739A7" w:rsidRDefault="00CD6405" w:rsidP="00814405">
      <w:pPr>
        <w:pStyle w:val="Agency-body-text"/>
        <w:numPr>
          <w:ilvl w:val="0"/>
          <w:numId w:val="44"/>
        </w:numPr>
      </w:pPr>
      <w:r w:rsidRPr="00D739A7">
        <w:t>Distribution of placements, based on the population of children with an official decision of SEN.</w:t>
      </w:r>
    </w:p>
    <w:p w14:paraId="570C2C0B" w14:textId="686DCF99" w:rsidR="00CD6405" w:rsidRPr="00D739A7" w:rsidRDefault="00CD6405" w:rsidP="00814405">
      <w:pPr>
        <w:pStyle w:val="Agency-body-text"/>
      </w:pPr>
      <w:r w:rsidRPr="00D739A7">
        <w:t>For each of these indicators, gender breakdowns are presented. There are two different breakdowns provided for gender (gender breakdown and gender distribution).</w:t>
      </w:r>
    </w:p>
    <w:p w14:paraId="09029623" w14:textId="77777777" w:rsidR="00CD6405" w:rsidRPr="00D739A7" w:rsidRDefault="00CD6405" w:rsidP="00814405">
      <w:pPr>
        <w:pStyle w:val="Agency-body-text"/>
        <w:sectPr w:rsidR="00CD6405" w:rsidRPr="00D739A7" w:rsidSect="00751B98">
          <w:type w:val="continuous"/>
          <w:pgSz w:w="11899" w:h="16838"/>
          <w:pgMar w:top="1134" w:right="1551" w:bottom="1276" w:left="1418" w:header="709" w:footer="709" w:gutter="0"/>
          <w:cols w:space="710"/>
          <w:docGrid w:linePitch="360"/>
        </w:sectPr>
      </w:pPr>
      <w:r w:rsidRPr="00D739A7">
        <w:t>The data presented focuses on children with an official decision of SEN that is in line with the agreed operational definition of an official decision used in the EASIE data collection work.</w:t>
      </w:r>
    </w:p>
    <w:p w14:paraId="43468505" w14:textId="644AEF5C" w:rsidR="00CD6405" w:rsidRPr="00D739A7" w:rsidRDefault="00D6724D" w:rsidP="00814405">
      <w:pPr>
        <w:pStyle w:val="Agency-heading-2-report"/>
      </w:pPr>
      <w:bookmarkStart w:id="30" w:name="_Toc35943025"/>
      <w:r w:rsidRPr="00D739A7">
        <w:lastRenderedPageBreak/>
        <w:t>1.</w:t>
      </w:r>
      <w:r w:rsidR="00CD6405" w:rsidRPr="00D739A7">
        <w:t>3a. Identification rates</w:t>
      </w:r>
      <w:bookmarkEnd w:id="30"/>
    </w:p>
    <w:p w14:paraId="0369F586" w14:textId="4C1624CD" w:rsidR="00CD6405" w:rsidRPr="00D739A7" w:rsidRDefault="00436B97" w:rsidP="00083AFF">
      <w:pPr>
        <w:pStyle w:val="Agency-heading-3-report"/>
        <w:sectPr w:rsidR="00CD6405" w:rsidRPr="00D739A7" w:rsidSect="00751B98">
          <w:pgSz w:w="11899" w:h="16838"/>
          <w:pgMar w:top="1134" w:right="1551" w:bottom="1276" w:left="1418" w:header="709" w:footer="709" w:gutter="0"/>
          <w:cols w:space="710"/>
          <w:docGrid w:linePitch="360"/>
        </w:sectPr>
      </w:pPr>
      <w:bookmarkStart w:id="31" w:name="_Toc35943026"/>
      <w:r w:rsidRPr="00D739A7">
        <w:t>Indicator </w:t>
      </w:r>
      <w:r w:rsidR="00D6724D" w:rsidRPr="00D739A7">
        <w:t>1.</w:t>
      </w:r>
      <w:r w:rsidRPr="00D739A7">
        <w:t>3</w:t>
      </w:r>
      <w:r w:rsidR="00CD6405" w:rsidRPr="00D739A7">
        <w:t>a.1: the percentage of children with an official decision of SEN, based on the enrolled pre-primary population (%)</w:t>
      </w:r>
      <w:bookmarkEnd w:id="31"/>
    </w:p>
    <w:p w14:paraId="12FCCDF4" w14:textId="77777777" w:rsidR="00CD6405" w:rsidRPr="00D739A7" w:rsidRDefault="00CD6405" w:rsidP="007E58DA">
      <w:pPr>
        <w:pStyle w:val="Agency-body-text"/>
      </w:pPr>
      <w:r w:rsidRPr="00D739A7">
        <w:t>The data focuses on children who are formally identified as having a special educational need and have an official decision of SEN in line with the EASIE operational definition.</w:t>
      </w:r>
    </w:p>
    <w:p w14:paraId="0775CCEE" w14:textId="77777777" w:rsidR="00CD6405" w:rsidRPr="00D739A7" w:rsidRDefault="00CD6405" w:rsidP="00814405">
      <w:pPr>
        <w:pStyle w:val="Agency-body-text"/>
      </w:pPr>
      <w:r w:rsidRPr="00D739A7">
        <w:t>This indicator has been calculated as follows: The number of children with an official decision of SEN (Q3.1) / The number of children who are enrolled in all formal educational settings (Q1.2) x 100</w:t>
      </w:r>
    </w:p>
    <w:p w14:paraId="4D437E48" w14:textId="0F9BD701" w:rsidR="00CD6405" w:rsidRPr="00D739A7" w:rsidRDefault="00CD6405" w:rsidP="00814405">
      <w:pPr>
        <w:pStyle w:val="Agency-body-text"/>
      </w:pPr>
      <w:r w:rsidRPr="00D739A7">
        <w:t xml:space="preserve">Data is available from </w:t>
      </w:r>
      <w:r w:rsidR="002A7107" w:rsidRPr="00D739A7">
        <w:t xml:space="preserve">27 </w:t>
      </w:r>
      <w:r w:rsidRPr="00D739A7">
        <w:t>countries.</w:t>
      </w:r>
    </w:p>
    <w:p w14:paraId="3602F595" w14:textId="2F493199" w:rsidR="002A7107" w:rsidRPr="00D739A7" w:rsidRDefault="00CD6405" w:rsidP="00814405">
      <w:pPr>
        <w:pStyle w:val="Agency-body-text"/>
      </w:pPr>
      <w:r w:rsidRPr="00D739A7">
        <w:t xml:space="preserve">The SEN identification rates range from </w:t>
      </w:r>
      <w:r w:rsidR="002A7107" w:rsidRPr="00D739A7">
        <w:t>0.22</w:t>
      </w:r>
      <w:r w:rsidRPr="00D739A7">
        <w:t xml:space="preserve">% to </w:t>
      </w:r>
      <w:r w:rsidR="002A7107" w:rsidRPr="00D739A7">
        <w:t>19.63</w:t>
      </w:r>
      <w:r w:rsidRPr="00D739A7">
        <w:t xml:space="preserve">%; the total average for the </w:t>
      </w:r>
      <w:r w:rsidR="002A7107" w:rsidRPr="00D739A7">
        <w:t>27</w:t>
      </w:r>
      <w:r w:rsidRPr="00D739A7">
        <w:t xml:space="preserve"> countries is </w:t>
      </w:r>
      <w:r w:rsidR="002A7107" w:rsidRPr="00D739A7">
        <w:t>2.15</w:t>
      </w:r>
      <w:r w:rsidRPr="00D739A7">
        <w:t>%.</w:t>
      </w:r>
    </w:p>
    <w:p w14:paraId="1F180DA0" w14:textId="77777777" w:rsidR="00256DE8" w:rsidRPr="00D739A7" w:rsidRDefault="002A7107" w:rsidP="004A29D9">
      <w:pPr>
        <w:keepNext/>
        <w:spacing w:before="120" w:after="120" w:line="240" w:lineRule="auto"/>
        <w:rPr>
          <w:lang w:val="en-GB"/>
        </w:rPr>
      </w:pPr>
      <w:r w:rsidRPr="00D739A7">
        <w:rPr>
          <w:rFonts w:ascii="Calibri" w:hAnsi="Calibri" w:cs="Calibri"/>
          <w:noProof/>
          <w:lang w:val="en-GB"/>
        </w:rPr>
        <w:drawing>
          <wp:inline distT="0" distB="0" distL="0" distR="0" wp14:anchorId="37EF0F09" wp14:editId="656D1FFC">
            <wp:extent cx="3088005" cy="6607277"/>
            <wp:effectExtent l="0" t="0" r="10795" b="9525"/>
            <wp:docPr id="11" name="Diagram 11" descr="Belgium (Fl) 1.39&#10;Bulgaria 1.93&#10;Cyprus 2.89&#10;Czech Republic 4.18&#10;Estonia 6.19&#10;Finland 0.46&#10;France 2.43&#10;Greece 2.64&#10;Hungary 2.71&#10;Iceland  12.49&#10;Italy 1.85&#10;Lithuania 19.63&#10;Luxembourg 1.41&#10;Malta 4.69&#10;Netherlands 1.06&#10;Norway 4.15&#10;Poland 2.81&#10;Portugal 1.07&#10;Serbia 0.22&#10;Slovakia 4.16&#10;Slovenia 1.33&#10;Spain 1.16&#10;Switzerland 1.12&#10;UK (England) 0.72&#10;UK (N. Ireland) 1.12&#10;UK (Scotland) 11.95&#10;UK (Wales) 1.14&#10;Total average (27) 2.15">
              <a:extLst xmlns:a="http://schemas.openxmlformats.org/drawingml/2006/main">
                <a:ext uri="{FF2B5EF4-FFF2-40B4-BE49-F238E27FC236}">
                  <a16:creationId xmlns:a16="http://schemas.microsoft.com/office/drawing/2014/main" id="{759F3633-A63E-4B33-85DA-FA66BFE493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16422C4" w14:textId="7D89094B" w:rsidR="00CD6405" w:rsidRPr="00D739A7" w:rsidRDefault="00256DE8" w:rsidP="00A81307">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w:t>
      </w:r>
      <w:r w:rsidRPr="00D739A7">
        <w:fldChar w:fldCharType="end"/>
      </w:r>
      <w:r w:rsidRPr="00D739A7">
        <w:t xml:space="preserve">. </w:t>
      </w:r>
      <w:r w:rsidR="00CD6405" w:rsidRPr="00D739A7">
        <w:t>Percentage of children with an official decision of SEN, based on the enrolled pre-primary population (%)</w:t>
      </w:r>
    </w:p>
    <w:p w14:paraId="2996AA1F" w14:textId="0D367E7B" w:rsidR="00CD6405" w:rsidRPr="00D739A7" w:rsidRDefault="00CD6405" w:rsidP="00083AFF">
      <w:pPr>
        <w:pStyle w:val="Agency-heading-4-report"/>
      </w:pPr>
      <w:r w:rsidRPr="00D739A7">
        <w:lastRenderedPageBreak/>
        <w:t>Gender breakdown of children with an official decision of SEN, based on the enrolled pre</w:t>
      </w:r>
      <w:r w:rsidR="00A81307" w:rsidRPr="00D739A7">
        <w:noBreakHyphen/>
      </w:r>
      <w:r w:rsidRPr="00D739A7">
        <w:t>primary population (%)</w:t>
      </w:r>
    </w:p>
    <w:p w14:paraId="140936EA" w14:textId="77777777" w:rsidR="00CD6405" w:rsidRPr="00D739A7" w:rsidRDefault="00CD6405" w:rsidP="007E58DA">
      <w:pPr>
        <w:pStyle w:val="Agency-heading-4-report"/>
        <w:rPr>
          <w:b/>
          <w:szCs w:val="18"/>
        </w:rPr>
        <w:sectPr w:rsidR="00CD6405" w:rsidRPr="00D739A7" w:rsidSect="00751B98">
          <w:pgSz w:w="11899" w:h="16838"/>
          <w:pgMar w:top="1134" w:right="1551" w:bottom="1276" w:left="1418" w:header="709" w:footer="709" w:gutter="0"/>
          <w:cols w:space="710"/>
          <w:docGrid w:linePitch="360"/>
        </w:sectPr>
      </w:pPr>
    </w:p>
    <w:p w14:paraId="408C65B5" w14:textId="77777777" w:rsidR="00CD6405" w:rsidRPr="00D739A7" w:rsidRDefault="00CD6405" w:rsidP="007E58DA">
      <w:pPr>
        <w:pStyle w:val="Agency-body-text"/>
      </w:pPr>
      <w:r w:rsidRPr="00D739A7">
        <w:t>The gender breakdowns have been calculated as follows:</w:t>
      </w:r>
    </w:p>
    <w:p w14:paraId="65269B28" w14:textId="77777777" w:rsidR="00CD6405" w:rsidRPr="00D739A7" w:rsidRDefault="00CD6405" w:rsidP="007E58DA">
      <w:pPr>
        <w:pStyle w:val="Agency-body-text"/>
      </w:pPr>
      <w:r w:rsidRPr="00D739A7">
        <w:t>Boys: The total number of boys with an official decision of SEN (Q3.1) / The number of children who are enrolled in all formal educational settings (Q1.2) x 100.</w:t>
      </w:r>
    </w:p>
    <w:p w14:paraId="151B3589" w14:textId="77777777" w:rsidR="00CD6405" w:rsidRPr="00D739A7" w:rsidRDefault="00CD6405" w:rsidP="007E58DA">
      <w:pPr>
        <w:pStyle w:val="Agency-body-text"/>
      </w:pPr>
      <w:r w:rsidRPr="00D739A7">
        <w:t>Girls: The total number of girls with an official decision of SEN (Q3.1) / The number of children who are enrolled in all formal educational settings (Q1.2) x 100.</w:t>
      </w:r>
    </w:p>
    <w:p w14:paraId="4FE180BE" w14:textId="7A14BC8E" w:rsidR="00CD6405" w:rsidRPr="00D739A7" w:rsidRDefault="00CD6405" w:rsidP="007E58DA">
      <w:pPr>
        <w:pStyle w:val="Agency-body-text"/>
        <w:rPr>
          <w:bCs/>
        </w:rPr>
      </w:pPr>
      <w:r w:rsidRPr="00D739A7">
        <w:rPr>
          <w:bCs/>
        </w:rPr>
        <w:t>Data is available from 2</w:t>
      </w:r>
      <w:r w:rsidR="00C97ED5" w:rsidRPr="00D739A7">
        <w:rPr>
          <w:bCs/>
        </w:rPr>
        <w:t>4</w:t>
      </w:r>
      <w:r w:rsidRPr="00D739A7">
        <w:rPr>
          <w:bCs/>
        </w:rPr>
        <w:t xml:space="preserve"> countries.</w:t>
      </w:r>
    </w:p>
    <w:p w14:paraId="1914C6CD" w14:textId="6C574FCA" w:rsidR="00CD6405" w:rsidRPr="00D739A7" w:rsidRDefault="00CD6405" w:rsidP="007E58DA">
      <w:pPr>
        <w:pStyle w:val="Agency-body-text"/>
      </w:pPr>
      <w:r w:rsidRPr="00D739A7">
        <w:t>The SEN identification rate for boys ranges from 0.</w:t>
      </w:r>
      <w:r w:rsidR="00C97ED5" w:rsidRPr="00D739A7">
        <w:t>13</w:t>
      </w:r>
      <w:r w:rsidRPr="00D739A7">
        <w:t>% to 12.</w:t>
      </w:r>
      <w:r w:rsidR="00C97ED5" w:rsidRPr="00D739A7">
        <w:t>07</w:t>
      </w:r>
      <w:r w:rsidRPr="00D739A7">
        <w:t>%; the total average for the 2</w:t>
      </w:r>
      <w:r w:rsidR="00C97ED5" w:rsidRPr="00D739A7">
        <w:t>4</w:t>
      </w:r>
      <w:r w:rsidRPr="00D739A7">
        <w:t xml:space="preserve"> countries is </w:t>
      </w:r>
      <w:r w:rsidR="00C97ED5" w:rsidRPr="00D739A7">
        <w:t>1.34</w:t>
      </w:r>
      <w:r w:rsidRPr="00D739A7">
        <w:t>%.</w:t>
      </w:r>
    </w:p>
    <w:p w14:paraId="66432357" w14:textId="02A289D8" w:rsidR="00C97ED5" w:rsidRPr="00D739A7" w:rsidRDefault="00CD6405" w:rsidP="007E58DA">
      <w:pPr>
        <w:pStyle w:val="Agency-body-text"/>
      </w:pPr>
      <w:r w:rsidRPr="00D739A7">
        <w:t>The SEN identification rate for girls ranges from 0.</w:t>
      </w:r>
      <w:r w:rsidR="00C97ED5" w:rsidRPr="00D739A7">
        <w:t>09</w:t>
      </w:r>
      <w:r w:rsidRPr="00D739A7">
        <w:t>% to 7.</w:t>
      </w:r>
      <w:r w:rsidR="00C97ED5" w:rsidRPr="00D739A7">
        <w:t>56</w:t>
      </w:r>
      <w:r w:rsidRPr="00D739A7">
        <w:t>%; the total average for the 2</w:t>
      </w:r>
      <w:r w:rsidR="00C97ED5" w:rsidRPr="00D739A7">
        <w:t>4</w:t>
      </w:r>
      <w:r w:rsidRPr="00D739A7">
        <w:t xml:space="preserve"> countries is </w:t>
      </w:r>
      <w:r w:rsidR="00C97ED5" w:rsidRPr="00D739A7">
        <w:t>0.64</w:t>
      </w:r>
      <w:r w:rsidRPr="00D739A7">
        <w:t>%.</w:t>
      </w:r>
    </w:p>
    <w:p w14:paraId="1745EDC9" w14:textId="77777777" w:rsidR="00796130" w:rsidRPr="00D739A7" w:rsidRDefault="002A7107" w:rsidP="004A29D9">
      <w:pPr>
        <w:keepNext/>
        <w:spacing w:before="120" w:after="120" w:line="240" w:lineRule="auto"/>
        <w:rPr>
          <w:lang w:val="en-GB"/>
        </w:rPr>
      </w:pPr>
      <w:r w:rsidRPr="00D739A7">
        <w:rPr>
          <w:rFonts w:ascii="Calibri" w:hAnsi="Calibri" w:cs="Calibri"/>
          <w:noProof/>
          <w:lang w:val="en-GB"/>
        </w:rPr>
        <w:drawing>
          <wp:inline distT="0" distB="0" distL="0" distR="0" wp14:anchorId="3A1234B6" wp14:editId="7ABA0258">
            <wp:extent cx="3103880" cy="7551420"/>
            <wp:effectExtent l="0" t="0" r="7620" b="17780"/>
            <wp:docPr id="12" name="Diagram 12" descr="Belgium (Fl)&#10;Boys&#10;0.97&#10;Girls&#10;0.43&#10;Bulgaria&#10;Boys&#10;1.28&#10;Girls&#10;0.65&#10;Cyprus&#10;Boys&#10;1.97&#10;Girls&#10;0.92&#10;Czech Republic&#10;Boys&#10;2.76&#10;Girls&#10;1.41&#10;Estonia&#10;Boys&#10;4.18&#10;Girls&#10;2.01&#10;Finland&#10;Boys&#10;0.33&#10;Girls&#10;0.14&#10;France&#10;Boys&#10;1.64&#10;Girls&#10;0.79&#10;Greece&#10;Boys&#10;1.94&#10;Girls&#10;0.70&#10;Hungary&#10;Boys&#10;1.87&#10;Girls&#10;0.85&#10;Iceland &#10;Boys&#10;8.19&#10;Girls&#10;4.30&#10;Italy&#10;Boys&#10;1.34&#10;Girls&#10;0.51&#10;Lithuania&#10;Boys&#10;12.07&#10;Girls&#10;7.56&#10;Luxembourg&#10;Boys&#10;&#10;Girls&#10;&#10;Malta&#10;Boys&#10;3.31&#10;Girls&#10;1.39&#10;Netherlands&#10;Boys&#10;0.76&#10;Girls&#10;0.29&#10;Norway&#10;Boys&#10;&#10;Girls&#10;&#10;Poland&#10;Boys&#10;1.93&#10;Girls&#10;0.88&#10;Portugal&#10;Boys&#10;0.78&#10;Girls&#10;0.30&#10;Serbia&#10;Boys&#10;0.13&#10;Girls&#10;0.09&#10;Slovakia&#10;Boys&#10;2.38&#10;Girls&#10;1.78&#10;Slovenia&#10;Boys&#10;0.90&#10;Girls&#10;0.43&#10;Spain&#10;Boys&#10;0.79&#10;Girls&#10;0.36&#10;Switzerland&#10;Boys&#10;0.79&#10;Girls&#10;0.33&#10;UK (England)&#10;Boys&#10;0.50&#10;Girls&#10;0.22&#10;UK (N. Ireland)&#10;Boys&#10;0.81&#10;Girls&#10;0.31&#10;UK (Wales)&#10;Boys&#10;0.81&#10;Girls&#10;0.34&#10;Total average&#10;Boys&#10;1.34&#10;Girls&#10;0.64">
              <a:extLst xmlns:a="http://schemas.openxmlformats.org/drawingml/2006/main">
                <a:ext uri="{FF2B5EF4-FFF2-40B4-BE49-F238E27FC236}">
                  <a16:creationId xmlns:a16="http://schemas.microsoft.com/office/drawing/2014/main" id="{FDB87E4D-757F-48B5-8054-0E16BB9A55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8A6A501" w14:textId="45FB9382" w:rsidR="00CD6405" w:rsidRPr="00D739A7" w:rsidRDefault="00796130">
      <w:pPr>
        <w:pStyle w:val="Agency-caption-report"/>
        <w:sectPr w:rsidR="00CD6405" w:rsidRPr="00D739A7" w:rsidSect="00C65156">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w:t>
      </w:r>
      <w:r w:rsidRPr="00D739A7">
        <w:fldChar w:fldCharType="end"/>
      </w:r>
      <w:r w:rsidR="00CD6405" w:rsidRPr="00D739A7">
        <w:t>. Gender breakdown of children with an official decision</w:t>
      </w:r>
      <w:r w:rsidR="00785D1C" w:rsidRPr="00D739A7">
        <w:t xml:space="preserve"> </w:t>
      </w:r>
      <w:r w:rsidR="00CD6405" w:rsidRPr="00D739A7">
        <w:t>of SEN, based on the enrolled pre</w:t>
      </w:r>
      <w:r w:rsidRPr="00D739A7">
        <w:noBreakHyphen/>
      </w:r>
      <w:r w:rsidR="00CD6405" w:rsidRPr="00D739A7">
        <w:t>primary population (%)</w:t>
      </w:r>
    </w:p>
    <w:p w14:paraId="7C14BB7A" w14:textId="77777777" w:rsidR="00CD6405" w:rsidRPr="00D739A7" w:rsidRDefault="00CD6405" w:rsidP="00083AFF">
      <w:pPr>
        <w:pStyle w:val="Agency-heading-4-report"/>
      </w:pPr>
      <w:r w:rsidRPr="00D739A7">
        <w:lastRenderedPageBreak/>
        <w:t>Gender distribution of children with an official decision of SEN, based on the number of children who have an official decision of SEN (%)</w:t>
      </w:r>
    </w:p>
    <w:p w14:paraId="4269264A" w14:textId="77777777" w:rsidR="00CD6405" w:rsidRPr="00D739A7" w:rsidRDefault="00CD6405" w:rsidP="007E58DA">
      <w:pPr>
        <w:pStyle w:val="Agency-heading-4-report"/>
        <w:rPr>
          <w:szCs w:val="24"/>
        </w:rPr>
        <w:sectPr w:rsidR="00CD6405" w:rsidRPr="00D739A7" w:rsidSect="00751B98">
          <w:pgSz w:w="11899" w:h="16838"/>
          <w:pgMar w:top="1134" w:right="1551" w:bottom="1276" w:left="1418" w:header="709" w:footer="709" w:gutter="0"/>
          <w:cols w:space="710"/>
          <w:docGrid w:linePitch="360"/>
        </w:sectPr>
      </w:pPr>
    </w:p>
    <w:p w14:paraId="56EEBF2C" w14:textId="77777777" w:rsidR="00CD6405" w:rsidRPr="00D739A7" w:rsidRDefault="00CD6405" w:rsidP="007E58DA">
      <w:pPr>
        <w:pStyle w:val="Agency-body-text"/>
      </w:pPr>
      <w:r w:rsidRPr="00D739A7">
        <w:t>The gender distributions have been calculated as follows:</w:t>
      </w:r>
    </w:p>
    <w:p w14:paraId="2028D01B" w14:textId="77777777" w:rsidR="00CD6405" w:rsidRPr="00D739A7" w:rsidRDefault="00CD6405" w:rsidP="007E58DA">
      <w:pPr>
        <w:pStyle w:val="Agency-body-text"/>
      </w:pPr>
      <w:r w:rsidRPr="00D739A7">
        <w:t>Boys: The total number of boys with an official decision of SEN (Q3.1) / The total number of children with an official decision of SEN (Q3.1) x 100.</w:t>
      </w:r>
    </w:p>
    <w:p w14:paraId="58C45C78" w14:textId="77777777" w:rsidR="00CD6405" w:rsidRPr="00D739A7" w:rsidRDefault="00CD6405" w:rsidP="007E58DA">
      <w:pPr>
        <w:pStyle w:val="Agency-body-text"/>
      </w:pPr>
      <w:r w:rsidRPr="00D739A7">
        <w:t>Girls: The total number of girls with an official decision of SEN (Q3.1) / The total number of children with an official decision of SEN (Q3.1) x 100.</w:t>
      </w:r>
    </w:p>
    <w:p w14:paraId="001C5E6F" w14:textId="136A167B" w:rsidR="00CD6405" w:rsidRPr="00D739A7" w:rsidRDefault="00CD6405" w:rsidP="007E58DA">
      <w:pPr>
        <w:pStyle w:val="Agency-body-text"/>
      </w:pPr>
      <w:r w:rsidRPr="00D739A7">
        <w:t>Data is available from 2</w:t>
      </w:r>
      <w:r w:rsidR="00C97ED5" w:rsidRPr="00D739A7">
        <w:t>4</w:t>
      </w:r>
      <w:r w:rsidRPr="00D739A7">
        <w:t xml:space="preserve"> countries.</w:t>
      </w:r>
    </w:p>
    <w:p w14:paraId="5B5F7EF2" w14:textId="267EE2A7" w:rsidR="00CD6405" w:rsidRPr="00D739A7" w:rsidRDefault="00CD6405" w:rsidP="007E58DA">
      <w:pPr>
        <w:pStyle w:val="Agency-body-text"/>
      </w:pPr>
      <w:r w:rsidRPr="00D739A7">
        <w:t xml:space="preserve">The proportion of boys with an official decision of SEN ranges from </w:t>
      </w:r>
      <w:r w:rsidR="00C97ED5" w:rsidRPr="00D739A7">
        <w:t>57.23%</w:t>
      </w:r>
      <w:r w:rsidRPr="00D739A7">
        <w:t xml:space="preserve"> to 73.</w:t>
      </w:r>
      <w:r w:rsidR="00C97ED5" w:rsidRPr="00D739A7">
        <w:t>36</w:t>
      </w:r>
      <w:r w:rsidRPr="00D739A7">
        <w:t>%; the total average for the 2</w:t>
      </w:r>
      <w:r w:rsidR="00C97ED5" w:rsidRPr="00D739A7">
        <w:t>4</w:t>
      </w:r>
      <w:r w:rsidRPr="00D739A7">
        <w:t xml:space="preserve"> countries is </w:t>
      </w:r>
      <w:r w:rsidR="009B2A44">
        <w:t>67.76</w:t>
      </w:r>
      <w:r w:rsidRPr="00D739A7">
        <w:t>%.</w:t>
      </w:r>
    </w:p>
    <w:p w14:paraId="756761C3" w14:textId="6CC9F350" w:rsidR="00C97ED5" w:rsidRPr="00D739A7" w:rsidRDefault="00CD6405" w:rsidP="007E58DA">
      <w:pPr>
        <w:pStyle w:val="Agency-body-text"/>
      </w:pPr>
      <w:r w:rsidRPr="00D739A7">
        <w:t>The proportion of girls with an official decision of SEN ranges from 26.</w:t>
      </w:r>
      <w:r w:rsidR="00C97ED5" w:rsidRPr="00D739A7">
        <w:t>64</w:t>
      </w:r>
      <w:r w:rsidRPr="00D739A7">
        <w:t xml:space="preserve">% to </w:t>
      </w:r>
      <w:r w:rsidR="00C97ED5" w:rsidRPr="00D739A7">
        <w:t>42.77</w:t>
      </w:r>
      <w:r w:rsidRPr="00D739A7">
        <w:t>%; the total average for the 2</w:t>
      </w:r>
      <w:r w:rsidR="00C97ED5" w:rsidRPr="00D739A7">
        <w:t>4</w:t>
      </w:r>
      <w:r w:rsidRPr="00D739A7">
        <w:t xml:space="preserve"> countries is </w:t>
      </w:r>
      <w:r w:rsidR="009B2A44">
        <w:t>32.24</w:t>
      </w:r>
      <w:r w:rsidRPr="00D739A7">
        <w:t>%.</w:t>
      </w:r>
    </w:p>
    <w:p w14:paraId="46AF1201" w14:textId="77777777" w:rsidR="00796130" w:rsidRPr="00D739A7" w:rsidRDefault="00C97ED5" w:rsidP="004A29D9">
      <w:pPr>
        <w:keepNext/>
        <w:spacing w:before="120" w:after="120" w:line="240" w:lineRule="auto"/>
        <w:rPr>
          <w:lang w:val="en-GB"/>
        </w:rPr>
      </w:pPr>
      <w:r w:rsidRPr="00D739A7">
        <w:rPr>
          <w:rFonts w:ascii="Calibri" w:hAnsi="Calibri" w:cs="Calibri"/>
          <w:noProof/>
          <w:lang w:val="en-GB"/>
        </w:rPr>
        <w:drawing>
          <wp:inline distT="0" distB="0" distL="0" distR="0" wp14:anchorId="221A9A43" wp14:editId="10B730F1">
            <wp:extent cx="3014133" cy="7566660"/>
            <wp:effectExtent l="0" t="0" r="8890" b="15240"/>
            <wp:docPr id="13" name="Diagram 13" descr="Belgium (Fl)&#10;Boys &#10;69.28&#10;Girls &#10;30.72&#10;Bulgaria &#10;Boys&#10;66.35 &#10;Girls&#10;33.65&#10;Cyprus &#10;Boys&#10;68.23 &#10;Girls&#10;31.77&#10;Czech Republic &#10;Boys&#10;66.18 &#10;Girls&#10;33.82&#10;Estonia &#10;Boys&#10;67.50 &#10;Girls&#10;32.50&#10;Finland &#10;Boys&#10;70.04 &#10;Girls&#10;29.96&#10;France &#10;Boys&#10;67.58 &#10;Girls&#10;32.42&#10;Greece &#10;Boys&#10;73.36 &#10;Girls&#10;26.64&#10;Hungary &#10;Boys&#10;68.78 &#10;Girls&#10;31.22&#10;Iceland  &#10;Boys&#10;65.56 &#10;Girls&#10;34.44&#10;Italy &#10;Boys&#10;72.59 &#10;Girls&#10;27.41&#10;Lithuania &#10;Boys&#10;61.50 &#10;Girls&#10;8.50&#10;Malta &#10;Boys&#10;70.44 &#10;Girls&#10;29.56&#10;Netherlands &#10;Boys&#10;72.33 &#10;Girls&#10;27.67&#10;Poland &#10;Boys&#10;68.55 &#10;Girls&#10;31.45&#10;Portugal &#10;Boys&#10;72.30 &#10;Girls&#10;27.70&#10;Serbia &#10;Boys&#10;59.34 &#10;Girls&#10;40.66&#10;Slovakia &#10;Boys&#10;57.23 &#10;Girls&#10;42.77&#10;Slovenia &#10;Boys&#10;67.68 &#10;Girls&#10;32.32&#10;Spain &#10;Boys &#10;68.56 &#10;Girls &#10;31.44&#10;Switzerland &#10;Boys &#10;70.78 &#10;Girls &#10;29.22&#10;UK (England) &#10;Boys &#10;68.78 &#10;Girls &#10;31.22&#10;UK (N. Ireland) &#10;Boys &#10;72.12 &#10;Girls &#10;27.88&#10;UK (Wales) &#10;Boys &#10;70.47 &#10;Girls &#10;29.53&#10;Total average (24) &#10;Boys &#10;67.76&#10;Girls &#10;32.24">
              <a:extLst xmlns:a="http://schemas.openxmlformats.org/drawingml/2006/main">
                <a:ext uri="{FF2B5EF4-FFF2-40B4-BE49-F238E27FC236}">
                  <a16:creationId xmlns:a16="http://schemas.microsoft.com/office/drawing/2014/main" id="{141FBF36-AE56-4F1B-971E-26DFAED6C4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E46BEF7" w14:textId="78EB3D86" w:rsidR="00CD6405" w:rsidRPr="00D739A7" w:rsidRDefault="00796130" w:rsidP="008E40DF">
      <w:pPr>
        <w:pStyle w:val="Agency-caption-report"/>
        <w:rPr>
          <w:rFonts w:cs="Calibri"/>
          <w:b w:val="0"/>
          <w:bCs w:val="0"/>
        </w:rPr>
        <w:sectPr w:rsidR="00CD6405" w:rsidRPr="00D739A7" w:rsidSect="00751B98">
          <w:type w:val="continuous"/>
          <w:pgSz w:w="11899" w:h="16838"/>
          <w:pgMar w:top="1134" w:right="1551" w:bottom="1276" w:left="1418" w:header="709" w:footer="709" w:gutter="0"/>
          <w:cols w:num="2" w:space="710" w:equalWidth="0">
            <w:col w:w="3119" w:space="710"/>
            <w:col w:w="5101"/>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w:t>
      </w:r>
      <w:r w:rsidRPr="00D739A7">
        <w:fldChar w:fldCharType="end"/>
      </w:r>
      <w:r w:rsidR="00CD6405" w:rsidRPr="00D739A7">
        <w:t>. Gender distribution of children with an official decision of SEN, based on the number of children who have an official decision of SEN (%)</w:t>
      </w:r>
    </w:p>
    <w:p w14:paraId="0B18DF87" w14:textId="21D4554B" w:rsidR="00CD6405" w:rsidRPr="00D739A7" w:rsidRDefault="00903978" w:rsidP="00083AFF">
      <w:pPr>
        <w:pStyle w:val="Agency-heading-2-report"/>
      </w:pPr>
      <w:bookmarkStart w:id="32" w:name="section3b"/>
      <w:bookmarkStart w:id="33" w:name="_Toc35943027"/>
      <w:bookmarkEnd w:id="32"/>
      <w:r w:rsidRPr="00D739A7">
        <w:lastRenderedPageBreak/>
        <w:t>1.</w:t>
      </w:r>
      <w:r w:rsidR="00CD6405" w:rsidRPr="00D739A7">
        <w:t>3b. Distribution of placements of children with an official decision of SEN, based on the enrolled pre-primary population</w:t>
      </w:r>
      <w:bookmarkEnd w:id="33"/>
    </w:p>
    <w:p w14:paraId="5443F0B2" w14:textId="77777777" w:rsidR="00CD6405" w:rsidRPr="00D739A7" w:rsidRDefault="00CD6405" w:rsidP="004A29D9">
      <w:pPr>
        <w:pStyle w:val="Agency-body-text"/>
        <w:keepNext/>
      </w:pPr>
      <w:r w:rsidRPr="00D739A7">
        <w:t>The indicators presented in this section relate to the distribution of placements of children with an official decision of SEN in:</w:t>
      </w:r>
    </w:p>
    <w:p w14:paraId="4D75AE69" w14:textId="77777777" w:rsidR="00CD6405" w:rsidRPr="00D739A7" w:rsidRDefault="00CD6405" w:rsidP="007E58DA">
      <w:pPr>
        <w:pStyle w:val="Agency-body-text"/>
        <w:numPr>
          <w:ilvl w:val="0"/>
          <w:numId w:val="45"/>
        </w:numPr>
      </w:pPr>
      <w:r w:rsidRPr="00D739A7">
        <w:t>Inclusive settings</w:t>
      </w:r>
    </w:p>
    <w:p w14:paraId="36B0D281" w14:textId="77777777" w:rsidR="00CD6405" w:rsidRPr="00D739A7" w:rsidRDefault="00CD6405" w:rsidP="007E58DA">
      <w:pPr>
        <w:pStyle w:val="Agency-body-text"/>
        <w:numPr>
          <w:ilvl w:val="0"/>
          <w:numId w:val="45"/>
        </w:numPr>
      </w:pPr>
      <w:r w:rsidRPr="00D739A7">
        <w:t>Separate special classes in mainstream schools</w:t>
      </w:r>
    </w:p>
    <w:p w14:paraId="388868F8" w14:textId="77777777" w:rsidR="00CD6405" w:rsidRPr="00D739A7" w:rsidRDefault="00CD6405" w:rsidP="007E58DA">
      <w:pPr>
        <w:pStyle w:val="Agency-body-text"/>
        <w:numPr>
          <w:ilvl w:val="0"/>
          <w:numId w:val="45"/>
        </w:numPr>
      </w:pPr>
      <w:r w:rsidRPr="00D739A7">
        <w:t>Separate special schools</w:t>
      </w:r>
    </w:p>
    <w:p w14:paraId="642FBE38" w14:textId="77777777" w:rsidR="00CD6405" w:rsidRPr="00D739A7" w:rsidRDefault="00CD6405" w:rsidP="007E58DA">
      <w:pPr>
        <w:pStyle w:val="Agency-body-text"/>
        <w:numPr>
          <w:ilvl w:val="0"/>
          <w:numId w:val="45"/>
        </w:numPr>
      </w:pPr>
      <w:r w:rsidRPr="00D739A7">
        <w:t>Non-formal settings.</w:t>
      </w:r>
    </w:p>
    <w:p w14:paraId="16A1592A" w14:textId="77777777" w:rsidR="00CD6405" w:rsidRPr="00D739A7" w:rsidRDefault="00CD6405" w:rsidP="007E58DA">
      <w:pPr>
        <w:pStyle w:val="Agency-body-text"/>
      </w:pPr>
      <w:r w:rsidRPr="00D739A7">
        <w:t>The data focuses on the population of children with an official decision of SEN in relation to the whole pre-primary population.</w:t>
      </w:r>
    </w:p>
    <w:p w14:paraId="46E66C89" w14:textId="77777777" w:rsidR="00CD6405" w:rsidRPr="00D739A7" w:rsidRDefault="00CD6405" w:rsidP="007E58DA">
      <w:pPr>
        <w:pStyle w:val="Agency-body-text"/>
      </w:pPr>
      <w:r w:rsidRPr="00D739A7">
        <w:t>The data indicates where children with an official decision of SEN are placed for their education and provides information about the placement of children with recognised SEN in inclusive settings or elsewhere.</w:t>
      </w:r>
    </w:p>
    <w:p w14:paraId="10DE9A2A" w14:textId="77777777" w:rsidR="00CD6405" w:rsidRPr="00D739A7" w:rsidRDefault="00CD6405" w:rsidP="007E58DA">
      <w:pPr>
        <w:pStyle w:val="Agency-body-text"/>
        <w:sectPr w:rsidR="00CD6405" w:rsidRPr="00D739A7" w:rsidSect="00751B98">
          <w:pgSz w:w="11899" w:h="16838"/>
          <w:pgMar w:top="1134" w:right="1551" w:bottom="1276" w:left="1418" w:header="709" w:footer="709" w:gutter="0"/>
          <w:cols w:space="710"/>
          <w:docGrid w:linePitch="360"/>
        </w:sectPr>
      </w:pPr>
      <w:r w:rsidRPr="00D739A7">
        <w:t xml:space="preserve">All data must be considered in line with the </w:t>
      </w:r>
      <w:hyperlink r:id="rId43" w:history="1">
        <w:r w:rsidRPr="00D739A7">
          <w:rPr>
            <w:color w:val="0000FF"/>
            <w:u w:val="single"/>
          </w:rPr>
          <w:t>Country Background Information</w:t>
        </w:r>
      </w:hyperlink>
      <w:r w:rsidRPr="00D739A7">
        <w:t xml:space="preserve"> relating to the official decision of SEN procedures in the country concerned.</w:t>
      </w:r>
    </w:p>
    <w:p w14:paraId="46CD014B" w14:textId="4098D95C" w:rsidR="00CD6405" w:rsidRPr="00D739A7" w:rsidRDefault="00436B97" w:rsidP="007E58DA">
      <w:pPr>
        <w:pStyle w:val="Agency-heading-3-report"/>
        <w:sectPr w:rsidR="00CD6405" w:rsidRPr="00D739A7" w:rsidSect="00751B98">
          <w:pgSz w:w="11899" w:h="16838"/>
          <w:pgMar w:top="1134" w:right="1551" w:bottom="1276" w:left="1418" w:header="709" w:footer="709" w:gutter="0"/>
          <w:cols w:space="710"/>
          <w:docGrid w:linePitch="360"/>
        </w:sectPr>
      </w:pPr>
      <w:bookmarkStart w:id="34" w:name="_Toc35943028"/>
      <w:r w:rsidRPr="00D739A7">
        <w:lastRenderedPageBreak/>
        <w:t>Indicator </w:t>
      </w:r>
      <w:r w:rsidR="00903978" w:rsidRPr="00D739A7">
        <w:t>1.</w:t>
      </w:r>
      <w:r w:rsidRPr="00D739A7">
        <w:t>3</w:t>
      </w:r>
      <w:r w:rsidR="00CD6405" w:rsidRPr="00D739A7">
        <w:t>b.1: the percentage of children with an official decision of SEN in inclusive settings, based on the enrolled pre-primary population (%)</w:t>
      </w:r>
      <w:bookmarkEnd w:id="34"/>
    </w:p>
    <w:p w14:paraId="41B77163" w14:textId="0060AAEF" w:rsidR="00CD6405" w:rsidRPr="00D739A7" w:rsidRDefault="00CD6405" w:rsidP="007E58DA">
      <w:pPr>
        <w:pStyle w:val="Agency-body-text"/>
        <w:rPr>
          <w:bCs/>
        </w:rPr>
      </w:pPr>
      <w:r w:rsidRPr="00D739A7">
        <w:t>The data focuses on children with an official decision of SEN</w:t>
      </w:r>
      <w:r w:rsidR="003D4886" w:rsidRPr="00D739A7">
        <w:t>,</w:t>
      </w:r>
      <w:r w:rsidRPr="00D739A7">
        <w:t xml:space="preserve"> in line with the EASIE operational definition, who are enrolled in inclusive education</w:t>
      </w:r>
      <w:r w:rsidR="003D4886" w:rsidRPr="00D739A7">
        <w:t>,</w:t>
      </w:r>
      <w:r w:rsidRPr="00D739A7">
        <w:t xml:space="preserve"> </w:t>
      </w:r>
      <w:r w:rsidRPr="00D739A7">
        <w:rPr>
          <w:bCs/>
        </w:rPr>
        <w:t>in line with the 80% placement benchmark (or the most relevant proxy for this benchmark)</w:t>
      </w:r>
      <w:r w:rsidR="003D4886" w:rsidRPr="00D739A7">
        <w:rPr>
          <w:bCs/>
        </w:rPr>
        <w:t>,</w:t>
      </w:r>
      <w:r w:rsidRPr="00D739A7">
        <w:rPr>
          <w:bCs/>
        </w:rPr>
        <w:t xml:space="preserve"> in comparison to the whole enrolled school population.</w:t>
      </w:r>
    </w:p>
    <w:p w14:paraId="3585C652" w14:textId="77777777" w:rsidR="00CD6405" w:rsidRPr="00D739A7" w:rsidRDefault="00CD6405" w:rsidP="007E58DA">
      <w:pPr>
        <w:pStyle w:val="Agency-body-text"/>
      </w:pPr>
      <w:r w:rsidRPr="00D739A7">
        <w:t>This indicator has been calculated as follows: The number of children with an official decision of SEN who are educated in mainstream groups for at least 80% of the time (Q3.2) / The number of children who are enrolled in all formal educational settings (Q1.2) x 100.</w:t>
      </w:r>
    </w:p>
    <w:p w14:paraId="68160C15" w14:textId="70F785BF"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Data is available from 2</w:t>
      </w:r>
      <w:r w:rsidR="00444204" w:rsidRPr="00D739A7">
        <w:rPr>
          <w:rFonts w:ascii="Calibri" w:eastAsia="Times New Roman" w:hAnsi="Calibri" w:cs="Calibri"/>
          <w:color w:val="000000"/>
          <w:sz w:val="24"/>
          <w:szCs w:val="24"/>
          <w:lang w:val="en-GB"/>
        </w:rPr>
        <w:t>0</w:t>
      </w:r>
      <w:r w:rsidRPr="00D739A7">
        <w:rPr>
          <w:rFonts w:ascii="Calibri" w:eastAsia="Times New Roman" w:hAnsi="Calibri" w:cs="Calibri"/>
          <w:color w:val="000000"/>
          <w:sz w:val="24"/>
          <w:szCs w:val="24"/>
          <w:lang w:val="en-GB"/>
        </w:rPr>
        <w:t xml:space="preserve"> countries.</w:t>
      </w:r>
    </w:p>
    <w:p w14:paraId="4047AB48" w14:textId="17EBCAAD" w:rsidR="00444204"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The inclusive education enrolment rates range from 0.</w:t>
      </w:r>
      <w:r w:rsidR="00444204" w:rsidRPr="00D739A7">
        <w:rPr>
          <w:rFonts w:ascii="Calibri" w:eastAsia="Times New Roman" w:hAnsi="Calibri" w:cs="Calibri"/>
          <w:color w:val="000000"/>
          <w:sz w:val="24"/>
          <w:szCs w:val="24"/>
          <w:lang w:val="en-GB"/>
        </w:rPr>
        <w:t>49</w:t>
      </w:r>
      <w:r w:rsidRPr="00D739A7">
        <w:rPr>
          <w:rFonts w:ascii="Calibri" w:eastAsia="Times New Roman" w:hAnsi="Calibri" w:cs="Calibri"/>
          <w:color w:val="000000"/>
          <w:sz w:val="24"/>
          <w:szCs w:val="24"/>
          <w:lang w:val="en-GB"/>
        </w:rPr>
        <w:t>% to 1</w:t>
      </w:r>
      <w:r w:rsidR="00444204" w:rsidRPr="00D739A7">
        <w:rPr>
          <w:rFonts w:ascii="Calibri" w:eastAsia="Times New Roman" w:hAnsi="Calibri" w:cs="Calibri"/>
          <w:color w:val="000000"/>
          <w:sz w:val="24"/>
          <w:szCs w:val="24"/>
          <w:lang w:val="en-GB"/>
        </w:rPr>
        <w:t>7.96</w:t>
      </w:r>
      <w:r w:rsidRPr="00D739A7">
        <w:rPr>
          <w:rFonts w:ascii="Calibri" w:eastAsia="Times New Roman" w:hAnsi="Calibri" w:cs="Calibri"/>
          <w:color w:val="000000"/>
          <w:sz w:val="24"/>
          <w:szCs w:val="24"/>
          <w:lang w:val="en-GB"/>
        </w:rPr>
        <w:t>%; the total average for the 2</w:t>
      </w:r>
      <w:r w:rsidR="00444204" w:rsidRPr="00D739A7">
        <w:rPr>
          <w:rFonts w:ascii="Calibri" w:eastAsia="Times New Roman" w:hAnsi="Calibri" w:cs="Calibri"/>
          <w:color w:val="000000"/>
          <w:sz w:val="24"/>
          <w:szCs w:val="24"/>
          <w:lang w:val="en-GB"/>
        </w:rPr>
        <w:t>0</w:t>
      </w:r>
      <w:r w:rsidRPr="00D739A7">
        <w:rPr>
          <w:rFonts w:ascii="Calibri" w:eastAsia="Times New Roman" w:hAnsi="Calibri" w:cs="Calibri"/>
          <w:color w:val="000000"/>
          <w:sz w:val="24"/>
          <w:szCs w:val="24"/>
          <w:lang w:val="en-GB"/>
        </w:rPr>
        <w:t xml:space="preserve"> countries is </w:t>
      </w:r>
      <w:r w:rsidR="00444204" w:rsidRPr="00D739A7">
        <w:rPr>
          <w:rFonts w:ascii="Calibri" w:eastAsia="Times New Roman" w:hAnsi="Calibri" w:cs="Calibri"/>
          <w:color w:val="000000"/>
          <w:sz w:val="24"/>
          <w:szCs w:val="24"/>
          <w:lang w:val="en-GB"/>
        </w:rPr>
        <w:t>1.51</w:t>
      </w:r>
      <w:r w:rsidRPr="00D739A7">
        <w:rPr>
          <w:rFonts w:ascii="Calibri" w:eastAsia="Times New Roman" w:hAnsi="Calibri" w:cs="Calibri"/>
          <w:color w:val="000000"/>
          <w:sz w:val="24"/>
          <w:szCs w:val="24"/>
          <w:lang w:val="en-GB"/>
        </w:rPr>
        <w:t>%.</w:t>
      </w:r>
    </w:p>
    <w:p w14:paraId="136EA620" w14:textId="77777777" w:rsidR="003D4886" w:rsidRPr="00D739A7" w:rsidRDefault="00444204" w:rsidP="004A29D9">
      <w:pPr>
        <w:keepNext/>
        <w:spacing w:before="120" w:after="120" w:line="240" w:lineRule="auto"/>
        <w:rPr>
          <w:lang w:val="en-GB"/>
        </w:rPr>
      </w:pPr>
      <w:r w:rsidRPr="00D739A7">
        <w:rPr>
          <w:rFonts w:ascii="Calibri" w:hAnsi="Calibri" w:cs="Calibri"/>
          <w:noProof/>
          <w:lang w:val="en-GB"/>
        </w:rPr>
        <w:drawing>
          <wp:inline distT="0" distB="0" distL="0" distR="0" wp14:anchorId="4D59FE58" wp14:editId="19EB831F">
            <wp:extent cx="3056255" cy="7325032"/>
            <wp:effectExtent l="0" t="0" r="17145" b="15875"/>
            <wp:docPr id="17" name="Diagram 17" descr="Belgium (Fl) 0.66&#10;Bulgaria 1.65&#10;Cyprus 2.32&#10;Czech Republic 0.82&#10;Estonia 3.82&#10;France 1.35&#10;Greece 2.22&#10;Hungary 2.23&#10;Italy 1.84&#10;Lithuania 17.96&#10;Luxembourg 0.73&#10;Malta 4.69&#10;Poland 2.24&#10;Portugal 1.07&#10;Slovakia 2.70&#10;Slovenia 1.24&#10;Spain 1.00&#10;UK (England) 0.49&#10;UK (N. Ireland) 0.63&#10;UK (Wales) 0.81&#10;Total average (20) 1.51">
              <a:extLst xmlns:a="http://schemas.openxmlformats.org/drawingml/2006/main">
                <a:ext uri="{FF2B5EF4-FFF2-40B4-BE49-F238E27FC236}">
                  <a16:creationId xmlns:a16="http://schemas.microsoft.com/office/drawing/2014/main" id="{11DECBEF-E3D2-42AD-8711-D2DF9FD886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9EB4E15" w14:textId="6BEAC510" w:rsidR="00CD6405" w:rsidRPr="00D739A7" w:rsidRDefault="003D4886">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w:t>
      </w:r>
      <w:r w:rsidRPr="00D739A7">
        <w:fldChar w:fldCharType="end"/>
      </w:r>
      <w:r w:rsidR="00CD6405" w:rsidRPr="00D739A7">
        <w:t>. Percentage of children with an official decision of SEN in inclusive settings, based on the enrolled pre-primary population (%)</w:t>
      </w:r>
    </w:p>
    <w:p w14:paraId="631F50AC" w14:textId="77777777" w:rsidR="00CD6405" w:rsidRPr="00D739A7" w:rsidRDefault="00CD6405" w:rsidP="007E58DA">
      <w:pPr>
        <w:pStyle w:val="Agency-heading-4-report"/>
      </w:pPr>
      <w:r w:rsidRPr="00D739A7">
        <w:lastRenderedPageBreak/>
        <w:t>Gender breakdown of children with an official decision of SEN in inclusive settings, based on the enrolled pre-primary population (%)</w:t>
      </w:r>
    </w:p>
    <w:p w14:paraId="4366B68B" w14:textId="77777777" w:rsidR="00CD6405" w:rsidRPr="00D739A7" w:rsidRDefault="00CD6405" w:rsidP="007E58DA">
      <w:pPr>
        <w:pStyle w:val="Agency-heading-4-report"/>
        <w:rPr>
          <w:b/>
          <w:szCs w:val="18"/>
        </w:rPr>
        <w:sectPr w:rsidR="00CD6405" w:rsidRPr="00D739A7" w:rsidSect="00751B98">
          <w:pgSz w:w="11899" w:h="16838"/>
          <w:pgMar w:top="1134" w:right="1551" w:bottom="1276" w:left="1418" w:header="709" w:footer="709" w:gutter="0"/>
          <w:cols w:space="710"/>
          <w:docGrid w:linePitch="360"/>
        </w:sectPr>
      </w:pPr>
    </w:p>
    <w:p w14:paraId="5675C717"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The gender breakdowns have been calculated as follows:</w:t>
      </w:r>
    </w:p>
    <w:p w14:paraId="7F6399F7"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Boys: The number of boys with an official decision of SEN who are educated in mainstream groups for at least 80% of the time (Q3.2) / The number of children who are enrolled in all formal educational settings (Q1.2) x 100.</w:t>
      </w:r>
    </w:p>
    <w:p w14:paraId="2B16860D"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Girls: The number of girls with an official decision of SEN who are educated in mainstream groups for at least 80% of the time (Q3.2) / The number of children who are enrolled in all formal educational settings (Q1.2) x 100.</w:t>
      </w:r>
    </w:p>
    <w:p w14:paraId="1A217B2A" w14:textId="12F1F053" w:rsidR="00CD6405" w:rsidRPr="00D739A7" w:rsidRDefault="00CD6405" w:rsidP="00CD6405">
      <w:pPr>
        <w:spacing w:before="120" w:after="120" w:line="240" w:lineRule="auto"/>
        <w:rPr>
          <w:rFonts w:ascii="Calibri" w:eastAsia="Times New Roman" w:hAnsi="Calibri" w:cs="Calibri"/>
          <w:bCs/>
          <w:color w:val="000000"/>
          <w:sz w:val="24"/>
          <w:szCs w:val="24"/>
          <w:lang w:val="en-GB"/>
        </w:rPr>
      </w:pPr>
      <w:r w:rsidRPr="00D739A7">
        <w:rPr>
          <w:rFonts w:ascii="Calibri" w:eastAsia="Times New Roman" w:hAnsi="Calibri" w:cs="Calibri"/>
          <w:bCs/>
          <w:color w:val="000000"/>
          <w:sz w:val="24"/>
          <w:szCs w:val="24"/>
          <w:lang w:val="en-GB"/>
        </w:rPr>
        <w:t xml:space="preserve">Data is available from </w:t>
      </w:r>
      <w:r w:rsidR="00444204" w:rsidRPr="00D739A7">
        <w:rPr>
          <w:rFonts w:ascii="Calibri" w:eastAsia="Times New Roman" w:hAnsi="Calibri" w:cs="Calibri"/>
          <w:bCs/>
          <w:color w:val="000000"/>
          <w:sz w:val="24"/>
          <w:szCs w:val="24"/>
          <w:lang w:val="en-GB"/>
        </w:rPr>
        <w:t>19</w:t>
      </w:r>
      <w:r w:rsidRPr="00D739A7">
        <w:rPr>
          <w:rFonts w:ascii="Calibri" w:eastAsia="Times New Roman" w:hAnsi="Calibri" w:cs="Calibri"/>
          <w:bCs/>
          <w:color w:val="000000"/>
          <w:sz w:val="24"/>
          <w:szCs w:val="24"/>
          <w:lang w:val="en-GB"/>
        </w:rPr>
        <w:t xml:space="preserve"> countries.</w:t>
      </w:r>
    </w:p>
    <w:p w14:paraId="117EB6F4" w14:textId="34A2C56E"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The inclusive education enrolment rates for boys with an official decision of SEN range from 0.</w:t>
      </w:r>
      <w:r w:rsidR="00444204" w:rsidRPr="00D739A7">
        <w:rPr>
          <w:rFonts w:ascii="Calibri" w:eastAsia="Times New Roman" w:hAnsi="Calibri" w:cs="Calibri"/>
          <w:color w:val="000000"/>
          <w:sz w:val="24"/>
          <w:szCs w:val="24"/>
          <w:lang w:val="en-GB"/>
        </w:rPr>
        <w:t>34</w:t>
      </w:r>
      <w:r w:rsidRPr="00D739A7">
        <w:rPr>
          <w:rFonts w:ascii="Calibri" w:eastAsia="Times New Roman" w:hAnsi="Calibri" w:cs="Calibri"/>
          <w:color w:val="000000"/>
          <w:sz w:val="24"/>
          <w:szCs w:val="24"/>
          <w:lang w:val="en-GB"/>
        </w:rPr>
        <w:t>% to 1</w:t>
      </w:r>
      <w:r w:rsidR="00444204" w:rsidRPr="00D739A7">
        <w:rPr>
          <w:rFonts w:ascii="Calibri" w:eastAsia="Times New Roman" w:hAnsi="Calibri" w:cs="Calibri"/>
          <w:color w:val="000000"/>
          <w:sz w:val="24"/>
          <w:szCs w:val="24"/>
          <w:lang w:val="en-GB"/>
        </w:rPr>
        <w:t>0.91</w:t>
      </w:r>
      <w:r w:rsidRPr="00D739A7">
        <w:rPr>
          <w:rFonts w:ascii="Calibri" w:eastAsia="Times New Roman" w:hAnsi="Calibri" w:cs="Calibri"/>
          <w:color w:val="000000"/>
          <w:sz w:val="24"/>
          <w:szCs w:val="24"/>
          <w:lang w:val="en-GB"/>
        </w:rPr>
        <w:t xml:space="preserve">%; the total average for the </w:t>
      </w:r>
      <w:r w:rsidR="00444204" w:rsidRPr="00D739A7">
        <w:rPr>
          <w:rFonts w:ascii="Calibri" w:eastAsia="Times New Roman" w:hAnsi="Calibri" w:cs="Calibri"/>
          <w:color w:val="000000"/>
          <w:sz w:val="24"/>
          <w:szCs w:val="24"/>
          <w:lang w:val="en-GB"/>
        </w:rPr>
        <w:t>19</w:t>
      </w:r>
      <w:r w:rsidRPr="00D739A7">
        <w:rPr>
          <w:rFonts w:ascii="Calibri" w:eastAsia="Times New Roman" w:hAnsi="Calibri" w:cs="Calibri"/>
          <w:color w:val="000000"/>
          <w:sz w:val="24"/>
          <w:szCs w:val="24"/>
          <w:lang w:val="en-GB"/>
        </w:rPr>
        <w:t xml:space="preserve"> countries is 1.</w:t>
      </w:r>
      <w:r w:rsidR="00444204" w:rsidRPr="00D739A7">
        <w:rPr>
          <w:rFonts w:ascii="Calibri" w:eastAsia="Times New Roman" w:hAnsi="Calibri" w:cs="Calibri"/>
          <w:color w:val="000000"/>
          <w:sz w:val="24"/>
          <w:szCs w:val="24"/>
          <w:lang w:val="en-GB"/>
        </w:rPr>
        <w:t>03</w:t>
      </w:r>
      <w:r w:rsidRPr="00D739A7">
        <w:rPr>
          <w:rFonts w:ascii="Calibri" w:eastAsia="Times New Roman" w:hAnsi="Calibri" w:cs="Calibri"/>
          <w:color w:val="000000"/>
          <w:sz w:val="24"/>
          <w:szCs w:val="24"/>
          <w:lang w:val="en-GB"/>
        </w:rPr>
        <w:t>%.</w:t>
      </w:r>
    </w:p>
    <w:p w14:paraId="453D6710" w14:textId="1E4884C5"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The inclusive education enrolment rates for girls with an official decision of SEN range from 0.0</w:t>
      </w:r>
      <w:r w:rsidR="00444204" w:rsidRPr="00D739A7">
        <w:rPr>
          <w:rFonts w:ascii="Calibri" w:eastAsia="Times New Roman" w:hAnsi="Calibri" w:cs="Calibri"/>
          <w:color w:val="000000"/>
          <w:sz w:val="24"/>
          <w:szCs w:val="24"/>
          <w:lang w:val="en-GB"/>
        </w:rPr>
        <w:t>9</w:t>
      </w:r>
      <w:r w:rsidRPr="00D739A7">
        <w:rPr>
          <w:rFonts w:ascii="Calibri" w:eastAsia="Times New Roman" w:hAnsi="Calibri" w:cs="Calibri"/>
          <w:color w:val="000000"/>
          <w:sz w:val="24"/>
          <w:szCs w:val="24"/>
          <w:lang w:val="en-GB"/>
        </w:rPr>
        <w:t>% to 7.</w:t>
      </w:r>
      <w:r w:rsidR="00444204" w:rsidRPr="00D739A7">
        <w:rPr>
          <w:rFonts w:ascii="Calibri" w:eastAsia="Times New Roman" w:hAnsi="Calibri" w:cs="Calibri"/>
          <w:color w:val="000000"/>
          <w:sz w:val="24"/>
          <w:szCs w:val="24"/>
          <w:lang w:val="en-GB"/>
        </w:rPr>
        <w:t>05</w:t>
      </w:r>
      <w:r w:rsidRPr="00D739A7">
        <w:rPr>
          <w:rFonts w:ascii="Calibri" w:eastAsia="Times New Roman" w:hAnsi="Calibri" w:cs="Calibri"/>
          <w:color w:val="000000"/>
          <w:sz w:val="24"/>
          <w:szCs w:val="24"/>
          <w:lang w:val="en-GB"/>
        </w:rPr>
        <w:t xml:space="preserve">%; the total average for the </w:t>
      </w:r>
      <w:r w:rsidR="00444204" w:rsidRPr="00D739A7">
        <w:rPr>
          <w:rFonts w:ascii="Calibri" w:eastAsia="Times New Roman" w:hAnsi="Calibri" w:cs="Calibri"/>
          <w:color w:val="000000"/>
          <w:sz w:val="24"/>
          <w:szCs w:val="24"/>
          <w:lang w:val="en-GB"/>
        </w:rPr>
        <w:t>19</w:t>
      </w:r>
      <w:r w:rsidRPr="00D739A7">
        <w:rPr>
          <w:rFonts w:ascii="Calibri" w:eastAsia="Times New Roman" w:hAnsi="Calibri" w:cs="Calibri"/>
          <w:color w:val="000000"/>
          <w:sz w:val="24"/>
          <w:szCs w:val="24"/>
          <w:lang w:val="en-GB"/>
        </w:rPr>
        <w:t xml:space="preserve"> countries is 0.</w:t>
      </w:r>
      <w:r w:rsidR="00444204" w:rsidRPr="00D739A7">
        <w:rPr>
          <w:rFonts w:ascii="Calibri" w:eastAsia="Times New Roman" w:hAnsi="Calibri" w:cs="Calibri"/>
          <w:color w:val="000000"/>
          <w:sz w:val="24"/>
          <w:szCs w:val="24"/>
          <w:lang w:val="en-GB"/>
        </w:rPr>
        <w:t>48</w:t>
      </w:r>
      <w:r w:rsidRPr="00D739A7">
        <w:rPr>
          <w:rFonts w:ascii="Calibri" w:eastAsia="Times New Roman" w:hAnsi="Calibri" w:cs="Calibri"/>
          <w:color w:val="000000"/>
          <w:sz w:val="24"/>
          <w:szCs w:val="24"/>
          <w:lang w:val="en-GB"/>
        </w:rPr>
        <w:t>%.</w:t>
      </w:r>
    </w:p>
    <w:p w14:paraId="4AC4568C" w14:textId="77777777" w:rsidR="003D4886" w:rsidRPr="00D739A7" w:rsidRDefault="00444204" w:rsidP="004A29D9">
      <w:pPr>
        <w:keepNext/>
        <w:spacing w:before="120" w:after="120" w:line="240" w:lineRule="auto"/>
        <w:rPr>
          <w:lang w:val="en-GB"/>
        </w:rPr>
      </w:pPr>
      <w:r w:rsidRPr="00D739A7">
        <w:rPr>
          <w:rFonts w:ascii="Calibri" w:hAnsi="Calibri" w:cs="Calibri"/>
          <w:noProof/>
          <w:lang w:val="en-GB"/>
        </w:rPr>
        <w:drawing>
          <wp:inline distT="0" distB="0" distL="0" distR="0" wp14:anchorId="0F00AC01" wp14:editId="735F6595">
            <wp:extent cx="3103880" cy="7580671"/>
            <wp:effectExtent l="0" t="0" r="7620" b="13970"/>
            <wp:docPr id="18" name="Diagram 18" descr="Belgium (Fl) &#10;Boys&#10;0.44 &#10;Girls&#10;0.22&#10;Bulgaria &#10;Boys &#10;1.11 &#10;Girls &#10;0.55&#10;Cyprus &#10;Boys &#10;1.56 &#10;Girls &#10;0.76&#10;Czech Republic &#10;Boys &#10;0.57 &#10;Girls &#10;0.25&#10;Estonia &#10;Boys &#10;2.46 &#10;Girls &#10;1.36&#10;France &#10;Boys &#10;0.95 &#10;Girls &#10;0.40&#10;Greece &#10;Boys &#10;1.65 &#10;Girls &#10;0.57&#10;Hungary &#10;Boys &#10;1.52 &#10;Girls &#10;0.71&#10;Italy &#10;Boys &#10;1.34 &#10;Girls &#10;0.50&#10;Lithuania &#10;Boys &#10;10.91 &#10;Girls &#10;7.05&#10;Malta &#10;Boys &#10;3.31 &#10;Girls &#10;1.39&#10;Poland &#10;Boys &#10;1.53 &#10;Girls &#10;0.71&#10;Portugal &#10;Boys &#10;0.78 &#10;Girls &#10;0.30&#10;Slovakia &#10;Boys &#10;1.41 &#10;Girls &#10;1.29&#10;Slovenia &#10;Boys &#10;0.85 &#10;Girls &#10;0.39&#10;Spain &#10;Boys &#10;0.69 &#10;Girls &#10;0.31&#10;UK (England) &#10;Boys &#10;0.34 &#10;Girls &#10;0.16&#10;UK (N. Ireland) &#10;Boys &#10;0.54 &#10;Girls &#10;0.09&#10;UK (Wales) &#10;Boys &#10;0.57 &#10;Girls &#10;0.24&#10;Total average (19) &#10;Boys &#10;1.03 &#10;Girls &#10;0.48">
              <a:extLst xmlns:a="http://schemas.openxmlformats.org/drawingml/2006/main">
                <a:ext uri="{FF2B5EF4-FFF2-40B4-BE49-F238E27FC236}">
                  <a16:creationId xmlns:a16="http://schemas.microsoft.com/office/drawing/2014/main" id="{1985ADC0-8462-4B40-9810-A8B506CA21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90DE0DD" w14:textId="21B568BC" w:rsidR="00CD6405" w:rsidRPr="00D739A7" w:rsidRDefault="003D4886">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w:t>
      </w:r>
      <w:r w:rsidRPr="00D739A7">
        <w:fldChar w:fldCharType="end"/>
      </w:r>
      <w:r w:rsidR="00CD6405" w:rsidRPr="00D739A7">
        <w:t>. Gender breakdown of children with an official decision of SEN in inclusive settings, based on the enrolled pre-primary population (%)</w:t>
      </w:r>
    </w:p>
    <w:p w14:paraId="14785548" w14:textId="77777777" w:rsidR="00CD6405" w:rsidRPr="00D739A7" w:rsidRDefault="00CD6405" w:rsidP="007E58DA">
      <w:pPr>
        <w:pStyle w:val="Agency-heading-4-report"/>
        <w:sectPr w:rsidR="00CD6405" w:rsidRPr="00D739A7" w:rsidSect="00751B98">
          <w:pgSz w:w="11899" w:h="16838"/>
          <w:pgMar w:top="1134" w:right="1551" w:bottom="1276" w:left="1418" w:header="709" w:footer="709" w:gutter="0"/>
          <w:cols w:space="710"/>
          <w:docGrid w:linePitch="360"/>
        </w:sectPr>
      </w:pPr>
      <w:r w:rsidRPr="00D739A7">
        <w:lastRenderedPageBreak/>
        <w:t>Gender distribution of children with an official decision of SEN in inclusive settings, based on the enrolled pre-primary population (%)</w:t>
      </w:r>
    </w:p>
    <w:p w14:paraId="676C5A36" w14:textId="77777777" w:rsidR="00CD6405" w:rsidRPr="00D739A7" w:rsidRDefault="00CD6405" w:rsidP="007E58DA">
      <w:pPr>
        <w:pStyle w:val="Agency-body-text"/>
      </w:pPr>
      <w:r w:rsidRPr="00D739A7">
        <w:t>The gender distributions have been calculated as follows:</w:t>
      </w:r>
    </w:p>
    <w:p w14:paraId="42CDA627" w14:textId="77777777" w:rsidR="00CD6405" w:rsidRPr="00D739A7" w:rsidRDefault="00CD6405" w:rsidP="00CD6405">
      <w:pPr>
        <w:spacing w:before="120" w:after="120" w:line="240" w:lineRule="auto"/>
        <w:rPr>
          <w:rFonts w:ascii="Calibri" w:eastAsia="Times New Roman" w:hAnsi="Calibri" w:cs="Calibri"/>
          <w:color w:val="000000"/>
          <w:sz w:val="24"/>
          <w:szCs w:val="20"/>
          <w:lang w:val="en-GB"/>
        </w:rPr>
      </w:pPr>
      <w:r w:rsidRPr="00D739A7">
        <w:rPr>
          <w:rFonts w:ascii="Calibri" w:eastAsia="Times New Roman" w:hAnsi="Calibri" w:cs="Calibri"/>
          <w:color w:val="000000"/>
          <w:sz w:val="24"/>
          <w:szCs w:val="24"/>
          <w:lang w:val="en-GB"/>
        </w:rPr>
        <w:t>Boys:</w:t>
      </w:r>
      <w:r w:rsidRPr="00D739A7">
        <w:rPr>
          <w:rFonts w:ascii="Calibri" w:eastAsia="Times New Roman" w:hAnsi="Calibri" w:cs="Calibri"/>
          <w:color w:val="000000"/>
          <w:sz w:val="24"/>
          <w:szCs w:val="20"/>
          <w:lang w:val="en-GB"/>
        </w:rPr>
        <w:t xml:space="preserve"> The number of boys with an official decision of SEN who are educated in mainstream groups for at least 80% of the time (Q3.2) / The number of children with an official decision of SEN who are educated in mainstream groups for at least 80% of the time (Q3.2) x 100.</w:t>
      </w:r>
    </w:p>
    <w:p w14:paraId="666C0C85"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Girls: The number of girls with an official decision of SEN who are educated in mainstream groups for at least 80% of the time (Q3.2) / The number of children with an official decision of SEN who are educated in mainstream groups for at least 80% of the time (Q3.2) x 100.</w:t>
      </w:r>
    </w:p>
    <w:p w14:paraId="5A2928CD" w14:textId="07C3478E" w:rsidR="00CD6405" w:rsidRPr="00D739A7" w:rsidRDefault="00CD6405" w:rsidP="00CD6405">
      <w:pPr>
        <w:spacing w:before="120" w:after="120" w:line="240" w:lineRule="auto"/>
        <w:rPr>
          <w:rFonts w:ascii="Calibri" w:eastAsia="Times New Roman" w:hAnsi="Calibri" w:cs="Calibri"/>
          <w:bCs/>
          <w:color w:val="000000"/>
          <w:sz w:val="24"/>
          <w:szCs w:val="24"/>
          <w:lang w:val="en-GB"/>
        </w:rPr>
      </w:pPr>
      <w:r w:rsidRPr="00D739A7">
        <w:rPr>
          <w:rFonts w:ascii="Calibri" w:eastAsia="Times New Roman" w:hAnsi="Calibri" w:cs="Calibri"/>
          <w:bCs/>
          <w:color w:val="000000"/>
          <w:sz w:val="24"/>
          <w:szCs w:val="24"/>
          <w:lang w:val="en-GB"/>
        </w:rPr>
        <w:t xml:space="preserve">Data is available from </w:t>
      </w:r>
      <w:r w:rsidR="003102DB" w:rsidRPr="00D739A7">
        <w:rPr>
          <w:rFonts w:ascii="Calibri" w:eastAsia="Times New Roman" w:hAnsi="Calibri" w:cs="Calibri"/>
          <w:bCs/>
          <w:color w:val="000000"/>
          <w:sz w:val="24"/>
          <w:szCs w:val="24"/>
          <w:lang w:val="en-GB"/>
        </w:rPr>
        <w:t>19</w:t>
      </w:r>
      <w:r w:rsidRPr="00D739A7">
        <w:rPr>
          <w:rFonts w:ascii="Calibri" w:eastAsia="Times New Roman" w:hAnsi="Calibri" w:cs="Calibri"/>
          <w:bCs/>
          <w:color w:val="000000"/>
          <w:sz w:val="24"/>
          <w:szCs w:val="24"/>
          <w:lang w:val="en-GB"/>
        </w:rPr>
        <w:t xml:space="preserve"> countries.</w:t>
      </w:r>
    </w:p>
    <w:p w14:paraId="780F1C2F" w14:textId="0EF1A07D" w:rsidR="00CD6405" w:rsidRPr="00D739A7" w:rsidRDefault="00CD6405" w:rsidP="00CD6405">
      <w:pPr>
        <w:spacing w:before="120" w:after="120" w:line="240" w:lineRule="auto"/>
        <w:rPr>
          <w:rFonts w:ascii="Calibri" w:eastAsia="Times New Roman" w:hAnsi="Calibri" w:cs="Calibri"/>
          <w:bCs/>
          <w:color w:val="000000"/>
          <w:sz w:val="24"/>
          <w:szCs w:val="24"/>
          <w:lang w:val="en-GB"/>
        </w:rPr>
      </w:pPr>
      <w:r w:rsidRPr="00D739A7">
        <w:rPr>
          <w:rFonts w:ascii="Calibri" w:eastAsia="Times New Roman" w:hAnsi="Calibri" w:cs="Calibri"/>
          <w:bCs/>
          <w:color w:val="000000"/>
          <w:sz w:val="24"/>
          <w:szCs w:val="24"/>
          <w:lang w:val="en-GB"/>
        </w:rPr>
        <w:t>The proportion of boys</w:t>
      </w:r>
      <w:r w:rsidRPr="00D739A7">
        <w:rPr>
          <w:rFonts w:ascii="Calibri" w:eastAsia="Times New Roman" w:hAnsi="Calibri" w:cs="Calibri"/>
          <w:color w:val="000000"/>
          <w:sz w:val="24"/>
          <w:szCs w:val="24"/>
          <w:lang w:val="en-GB"/>
        </w:rPr>
        <w:t xml:space="preserve"> </w:t>
      </w:r>
      <w:r w:rsidRPr="00D739A7">
        <w:rPr>
          <w:rFonts w:ascii="Calibri" w:eastAsia="Times New Roman" w:hAnsi="Calibri" w:cs="Calibri"/>
          <w:bCs/>
          <w:color w:val="000000"/>
          <w:sz w:val="24"/>
          <w:szCs w:val="24"/>
          <w:lang w:val="en-GB"/>
        </w:rPr>
        <w:t>with an official decision of SEN in inclusive settings ranges from 5</w:t>
      </w:r>
      <w:r w:rsidR="003102DB" w:rsidRPr="00D739A7">
        <w:rPr>
          <w:rFonts w:ascii="Calibri" w:eastAsia="Times New Roman" w:hAnsi="Calibri" w:cs="Calibri"/>
          <w:bCs/>
          <w:color w:val="000000"/>
          <w:sz w:val="24"/>
          <w:szCs w:val="24"/>
          <w:lang w:val="en-GB"/>
        </w:rPr>
        <w:t>2.15</w:t>
      </w:r>
      <w:r w:rsidRPr="00D739A7">
        <w:rPr>
          <w:rFonts w:ascii="Calibri" w:eastAsia="Times New Roman" w:hAnsi="Calibri" w:cs="Calibri"/>
          <w:bCs/>
          <w:color w:val="000000"/>
          <w:sz w:val="24"/>
          <w:szCs w:val="24"/>
          <w:lang w:val="en-GB"/>
        </w:rPr>
        <w:t xml:space="preserve">% to </w:t>
      </w:r>
      <w:r w:rsidR="003A20A2">
        <w:rPr>
          <w:rFonts w:ascii="Calibri" w:eastAsia="Times New Roman" w:hAnsi="Calibri" w:cs="Calibri"/>
          <w:bCs/>
          <w:color w:val="000000"/>
          <w:sz w:val="24"/>
          <w:szCs w:val="24"/>
          <w:lang w:val="en-GB"/>
        </w:rPr>
        <w:t>85.53</w:t>
      </w:r>
      <w:r w:rsidRPr="00D739A7">
        <w:rPr>
          <w:rFonts w:ascii="Calibri" w:eastAsia="Times New Roman" w:hAnsi="Calibri" w:cs="Calibri"/>
          <w:bCs/>
          <w:color w:val="000000"/>
          <w:sz w:val="24"/>
          <w:szCs w:val="24"/>
          <w:lang w:val="en-GB"/>
        </w:rPr>
        <w:t xml:space="preserve">%; the total average for the </w:t>
      </w:r>
      <w:r w:rsidR="003102DB" w:rsidRPr="00D739A7">
        <w:rPr>
          <w:rFonts w:ascii="Calibri" w:eastAsia="Times New Roman" w:hAnsi="Calibri" w:cs="Calibri"/>
          <w:bCs/>
          <w:color w:val="000000"/>
          <w:sz w:val="24"/>
          <w:szCs w:val="24"/>
          <w:lang w:val="en-GB"/>
        </w:rPr>
        <w:t>19</w:t>
      </w:r>
      <w:r w:rsidRPr="00D739A7">
        <w:rPr>
          <w:rFonts w:ascii="Calibri" w:eastAsia="Times New Roman" w:hAnsi="Calibri" w:cs="Calibri"/>
          <w:bCs/>
          <w:color w:val="000000"/>
          <w:sz w:val="24"/>
          <w:szCs w:val="24"/>
          <w:lang w:val="en-GB"/>
        </w:rPr>
        <w:t xml:space="preserve"> countries is 6</w:t>
      </w:r>
      <w:r w:rsidR="003102DB" w:rsidRPr="00D739A7">
        <w:rPr>
          <w:rFonts w:ascii="Calibri" w:eastAsia="Times New Roman" w:hAnsi="Calibri" w:cs="Calibri"/>
          <w:bCs/>
          <w:color w:val="000000"/>
          <w:sz w:val="24"/>
          <w:szCs w:val="24"/>
          <w:lang w:val="en-GB"/>
        </w:rPr>
        <w:t>8.</w:t>
      </w:r>
      <w:r w:rsidR="004F5B04">
        <w:rPr>
          <w:rFonts w:ascii="Calibri" w:eastAsia="Times New Roman" w:hAnsi="Calibri" w:cs="Calibri"/>
          <w:bCs/>
          <w:color w:val="000000"/>
          <w:sz w:val="24"/>
          <w:szCs w:val="24"/>
          <w:lang w:val="en-GB"/>
        </w:rPr>
        <w:t>42</w:t>
      </w:r>
      <w:r w:rsidRPr="00D739A7">
        <w:rPr>
          <w:rFonts w:ascii="Calibri" w:eastAsia="Times New Roman" w:hAnsi="Calibri" w:cs="Calibri"/>
          <w:bCs/>
          <w:color w:val="000000"/>
          <w:sz w:val="24"/>
          <w:szCs w:val="24"/>
          <w:lang w:val="en-GB"/>
        </w:rPr>
        <w:t>%.</w:t>
      </w:r>
    </w:p>
    <w:p w14:paraId="76B91D80" w14:textId="1F5425AC" w:rsidR="00CD6405" w:rsidRPr="00D739A7" w:rsidRDefault="00CD6405" w:rsidP="00CD6405">
      <w:pPr>
        <w:spacing w:before="120" w:after="120" w:line="240" w:lineRule="auto"/>
        <w:rPr>
          <w:rFonts w:ascii="Calibri" w:eastAsia="Times New Roman" w:hAnsi="Calibri" w:cs="Calibri"/>
          <w:bCs/>
          <w:color w:val="000000"/>
          <w:sz w:val="24"/>
          <w:szCs w:val="24"/>
          <w:lang w:val="en-GB"/>
        </w:rPr>
      </w:pPr>
      <w:r w:rsidRPr="00D739A7">
        <w:rPr>
          <w:rFonts w:ascii="Calibri" w:eastAsia="Times New Roman" w:hAnsi="Calibri" w:cs="Calibri"/>
          <w:bCs/>
          <w:color w:val="000000"/>
          <w:sz w:val="24"/>
          <w:szCs w:val="24"/>
          <w:lang w:val="en-GB"/>
        </w:rPr>
        <w:t>The proportion of girls</w:t>
      </w:r>
      <w:r w:rsidRPr="00D739A7">
        <w:rPr>
          <w:rFonts w:ascii="Calibri" w:eastAsia="Times New Roman" w:hAnsi="Calibri" w:cs="Calibri"/>
          <w:color w:val="000000"/>
          <w:sz w:val="24"/>
          <w:szCs w:val="24"/>
          <w:lang w:val="en-GB"/>
        </w:rPr>
        <w:t xml:space="preserve"> </w:t>
      </w:r>
      <w:r w:rsidRPr="00D739A7">
        <w:rPr>
          <w:rFonts w:ascii="Calibri" w:eastAsia="Times New Roman" w:hAnsi="Calibri" w:cs="Calibri"/>
          <w:bCs/>
          <w:color w:val="000000"/>
          <w:sz w:val="24"/>
          <w:szCs w:val="24"/>
          <w:lang w:val="en-GB"/>
        </w:rPr>
        <w:t xml:space="preserve">with an official decision of SEN in inclusive settings ranges from </w:t>
      </w:r>
      <w:r w:rsidR="003A20A2">
        <w:rPr>
          <w:rFonts w:ascii="Calibri" w:eastAsia="Times New Roman" w:hAnsi="Calibri" w:cs="Calibri"/>
          <w:bCs/>
          <w:color w:val="000000"/>
          <w:sz w:val="24"/>
          <w:szCs w:val="24"/>
          <w:lang w:val="en-GB"/>
        </w:rPr>
        <w:t>14.47</w:t>
      </w:r>
      <w:r w:rsidRPr="00D739A7">
        <w:rPr>
          <w:rFonts w:ascii="Calibri" w:eastAsia="Times New Roman" w:hAnsi="Calibri" w:cs="Calibri"/>
          <w:bCs/>
          <w:color w:val="000000"/>
          <w:sz w:val="24"/>
          <w:szCs w:val="24"/>
          <w:lang w:val="en-GB"/>
        </w:rPr>
        <w:t>% to 4</w:t>
      </w:r>
      <w:r w:rsidR="003102DB" w:rsidRPr="00D739A7">
        <w:rPr>
          <w:rFonts w:ascii="Calibri" w:eastAsia="Times New Roman" w:hAnsi="Calibri" w:cs="Calibri"/>
          <w:bCs/>
          <w:color w:val="000000"/>
          <w:sz w:val="24"/>
          <w:szCs w:val="24"/>
          <w:lang w:val="en-GB"/>
        </w:rPr>
        <w:t>7.85</w:t>
      </w:r>
      <w:r w:rsidRPr="00D739A7">
        <w:rPr>
          <w:rFonts w:ascii="Calibri" w:eastAsia="Times New Roman" w:hAnsi="Calibri" w:cs="Calibri"/>
          <w:bCs/>
          <w:color w:val="000000"/>
          <w:sz w:val="24"/>
          <w:szCs w:val="24"/>
          <w:lang w:val="en-GB"/>
        </w:rPr>
        <w:t xml:space="preserve">%; the total average for the </w:t>
      </w:r>
      <w:r w:rsidR="003102DB" w:rsidRPr="00D739A7">
        <w:rPr>
          <w:rFonts w:ascii="Calibri" w:eastAsia="Times New Roman" w:hAnsi="Calibri" w:cs="Calibri"/>
          <w:bCs/>
          <w:color w:val="000000"/>
          <w:sz w:val="24"/>
          <w:szCs w:val="24"/>
          <w:lang w:val="en-GB"/>
        </w:rPr>
        <w:t>19</w:t>
      </w:r>
      <w:r w:rsidRPr="00D739A7">
        <w:rPr>
          <w:rFonts w:ascii="Calibri" w:eastAsia="Times New Roman" w:hAnsi="Calibri" w:cs="Calibri"/>
          <w:bCs/>
          <w:color w:val="000000"/>
          <w:sz w:val="24"/>
          <w:szCs w:val="24"/>
          <w:lang w:val="en-GB"/>
        </w:rPr>
        <w:t xml:space="preserve"> countries is 3</w:t>
      </w:r>
      <w:r w:rsidR="003102DB" w:rsidRPr="00D739A7">
        <w:rPr>
          <w:rFonts w:ascii="Calibri" w:eastAsia="Times New Roman" w:hAnsi="Calibri" w:cs="Calibri"/>
          <w:bCs/>
          <w:color w:val="000000"/>
          <w:sz w:val="24"/>
          <w:szCs w:val="24"/>
          <w:lang w:val="en-GB"/>
        </w:rPr>
        <w:t>1.5</w:t>
      </w:r>
      <w:r w:rsidR="004F5B04">
        <w:rPr>
          <w:rFonts w:ascii="Calibri" w:eastAsia="Times New Roman" w:hAnsi="Calibri" w:cs="Calibri"/>
          <w:bCs/>
          <w:color w:val="000000"/>
          <w:sz w:val="24"/>
          <w:szCs w:val="24"/>
          <w:lang w:val="en-GB"/>
        </w:rPr>
        <w:t>8</w:t>
      </w:r>
      <w:r w:rsidRPr="00D739A7">
        <w:rPr>
          <w:rFonts w:ascii="Calibri" w:eastAsia="Times New Roman" w:hAnsi="Calibri" w:cs="Calibri"/>
          <w:bCs/>
          <w:color w:val="000000"/>
          <w:sz w:val="24"/>
          <w:szCs w:val="24"/>
          <w:lang w:val="en-GB"/>
        </w:rPr>
        <w:t>%.</w:t>
      </w:r>
    </w:p>
    <w:p w14:paraId="43AD5B0F" w14:textId="77777777" w:rsidR="00055E32" w:rsidRPr="00D739A7" w:rsidRDefault="00444204" w:rsidP="004A29D9">
      <w:pPr>
        <w:keepNext/>
        <w:spacing w:before="120" w:after="120" w:line="240" w:lineRule="auto"/>
        <w:rPr>
          <w:lang w:val="en-GB"/>
        </w:rPr>
      </w:pPr>
      <w:r w:rsidRPr="00D739A7">
        <w:rPr>
          <w:rFonts w:ascii="Calibri" w:hAnsi="Calibri" w:cs="Calibri"/>
          <w:noProof/>
          <w:lang w:val="en-GB"/>
        </w:rPr>
        <w:drawing>
          <wp:inline distT="0" distB="0" distL="0" distR="0" wp14:anchorId="6F76995F" wp14:editId="231BED31">
            <wp:extent cx="3048000" cy="7580671"/>
            <wp:effectExtent l="0" t="0" r="12700" b="13970"/>
            <wp:docPr id="19" name="Diagram 19" descr="Belgium (Fl) &#10;Boys&#10;66.70 &#10;Girls&#10;33.30&#10;Bulgaria &#10;Boys &#10;66.97 &#10;Girls &#10;33.03&#10;Cyprus &#10;Boys &#10;67.26 &#10;Girls &#10;32.74&#10;Czech Republic &#10;Boys &#10;69.43 &#10;Girls &#10;30.57&#10;Estonia &#10;Boys &#10;64.46 &#10;Girls &#10;35.54&#10;France &#10;Boys &#10;70.34 &#10;Girls &#10;29.66&#10;Greece &#10;Boys &#10;74.18 &#10;Girls &#10;25.82&#10;Hungary &#10;Boys &#10;68.31 &#10;Girls &#10;31.69&#10;Italy &#10;Boys &#10;2.61 &#10;Girls &#10;27.39&#10;Lithuania &#10;Boys &#10;60.77 &#10;Girls &#10;39.23&#10;Malta &#10;Boys &#10;70.44 &#10;Girls &#10;29.56&#10;Poland &#10;Boys &#10;68.35 &#10;Girls &#10;31.65&#10;Portugal &#10;Boys &#10;72.30 &#10;Girls &#10;27.70&#10;Slovakia &#10;Boys &#10;52.15 &#10;Girls &#10;47.85&#10;Slovenia &#10;Boys &#10;68.29 &#10;Girls &#10;31.71&#10;Spain &#10;Boys &#10;69.30 &#10;Girls &#10;30.70&#10;UK (England) &#10;Boys &#10;68.31 &#10;Girls &#10;31.69&#10;UK (N. Ireland) &#10;Boys &#10;85.53&#10;Girls &#10;14.47&#10;UK (Wales) &#10;Boys &#10;70.20 &#10;Girls &#10;29.80&#10;Total average (19) &#10;Boys &#10;68.42 &#10;Girls &#10;31.58">
              <a:extLst xmlns:a="http://schemas.openxmlformats.org/drawingml/2006/main">
                <a:ext uri="{FF2B5EF4-FFF2-40B4-BE49-F238E27FC236}">
                  <a16:creationId xmlns:a16="http://schemas.microsoft.com/office/drawing/2014/main" id="{1E7E6E1E-6135-4DCA-B57B-39D7D7C605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791585F" w14:textId="58242FE6" w:rsidR="00CD6405" w:rsidRPr="00D739A7" w:rsidRDefault="00055E32" w:rsidP="00F52DBF">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10</w:t>
      </w:r>
      <w:r w:rsidRPr="00D739A7">
        <w:rPr>
          <w:b w:val="0"/>
          <w:bCs w:val="0"/>
        </w:rPr>
        <w:fldChar w:fldCharType="end"/>
      </w:r>
      <w:r w:rsidR="00CD6405" w:rsidRPr="00D739A7">
        <w:t>. Gender distribution of children with an official decision of SEN in inclusive settings, based on the enrolled pre-primary population (%)</w:t>
      </w:r>
    </w:p>
    <w:p w14:paraId="4DF82F18" w14:textId="5D16CC11" w:rsidR="00CD6405" w:rsidRPr="00D739A7" w:rsidRDefault="00436B97" w:rsidP="007E58DA">
      <w:pPr>
        <w:pStyle w:val="Agency-heading-3-report"/>
        <w:sectPr w:rsidR="00CD6405" w:rsidRPr="00D739A7" w:rsidSect="00751B98">
          <w:pgSz w:w="11899" w:h="16838"/>
          <w:pgMar w:top="1134" w:right="1551" w:bottom="1276" w:left="1418" w:header="709" w:footer="709" w:gutter="0"/>
          <w:cols w:space="710"/>
          <w:docGrid w:linePitch="360"/>
        </w:sectPr>
      </w:pPr>
      <w:bookmarkStart w:id="35" w:name="_Toc35943029"/>
      <w:r w:rsidRPr="00D739A7">
        <w:lastRenderedPageBreak/>
        <w:t>Indicator </w:t>
      </w:r>
      <w:r w:rsidR="00903978" w:rsidRPr="00D739A7">
        <w:t>1.</w:t>
      </w:r>
      <w:r w:rsidRPr="00D739A7">
        <w:t>3</w:t>
      </w:r>
      <w:r w:rsidR="00CD6405" w:rsidRPr="00D739A7">
        <w:t xml:space="preserve">b.2: the percentage of children with an official decision of SEN in special </w:t>
      </w:r>
      <w:r w:rsidR="00636989" w:rsidRPr="00D739A7">
        <w:t>groups</w:t>
      </w:r>
      <w:r w:rsidR="00CD6405" w:rsidRPr="00D739A7">
        <w:t xml:space="preserve"> in mainstream schools, based on the enrolled pre-primary population (%)</w:t>
      </w:r>
      <w:bookmarkEnd w:id="35"/>
    </w:p>
    <w:p w14:paraId="45338BDA" w14:textId="7C202F13" w:rsidR="00CD6405" w:rsidRPr="00D739A7" w:rsidRDefault="00CD6405" w:rsidP="007E58DA">
      <w:pPr>
        <w:pStyle w:val="Agency-body-text"/>
      </w:pPr>
      <w:r w:rsidRPr="00D739A7">
        <w:t>The data focuses on children with an official decision of SEN</w:t>
      </w:r>
      <w:r w:rsidR="000B1B0D" w:rsidRPr="00D739A7">
        <w:t>,</w:t>
      </w:r>
      <w:r w:rsidRPr="00D739A7">
        <w:t xml:space="preserve"> in line with the EASIE operational definition, who are enrolled in separate special </w:t>
      </w:r>
      <w:r w:rsidR="00636989" w:rsidRPr="00D739A7">
        <w:t>groups</w:t>
      </w:r>
      <w:r w:rsidRPr="00D739A7">
        <w:t xml:space="preserve"> in mainstream </w:t>
      </w:r>
      <w:r w:rsidR="00636989" w:rsidRPr="00D739A7">
        <w:t>pre-</w:t>
      </w:r>
      <w:r w:rsidRPr="00D739A7">
        <w:t xml:space="preserve">schools, in line with the 80% placement benchmark for inclusive education (or the most relevant proxy for this benchmark), i.e. these children are enrolled in a </w:t>
      </w:r>
      <w:r w:rsidR="00836A6F" w:rsidRPr="00D739A7">
        <w:t>pre-primary</w:t>
      </w:r>
      <w:r w:rsidRPr="00D739A7">
        <w:t xml:space="preserve"> school, but they spend the majority of their time away from their peers.</w:t>
      </w:r>
    </w:p>
    <w:p w14:paraId="658905C1" w14:textId="77777777" w:rsidR="00CD6405" w:rsidRPr="00D739A7" w:rsidRDefault="00CD6405" w:rsidP="007E58DA">
      <w:pPr>
        <w:pStyle w:val="Agency-body-text"/>
      </w:pPr>
      <w:r w:rsidRPr="00D739A7">
        <w:t>This indicator has been calculated as follows: The number of children with an official decision of SEN who are educated in separate special groups in mainstream educational settings (Q3.3) / The number of children who are enrolled in all formal educational settings (Q1.2) x 100.</w:t>
      </w:r>
    </w:p>
    <w:p w14:paraId="54AEBBF7" w14:textId="20E58784"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 xml:space="preserve">Data is available from </w:t>
      </w:r>
      <w:r w:rsidR="003102DB" w:rsidRPr="00D739A7">
        <w:rPr>
          <w:rFonts w:ascii="Calibri" w:eastAsia="Times New Roman" w:hAnsi="Calibri" w:cs="Calibri"/>
          <w:color w:val="000000"/>
          <w:sz w:val="24"/>
          <w:szCs w:val="24"/>
          <w:lang w:val="en-GB"/>
        </w:rPr>
        <w:t xml:space="preserve">16 </w:t>
      </w:r>
      <w:r w:rsidRPr="00D739A7">
        <w:rPr>
          <w:rFonts w:ascii="Calibri" w:eastAsia="Times New Roman" w:hAnsi="Calibri" w:cs="Calibri"/>
          <w:color w:val="000000"/>
          <w:sz w:val="24"/>
          <w:szCs w:val="24"/>
          <w:lang w:val="en-GB"/>
        </w:rPr>
        <w:t>countries.</w:t>
      </w:r>
    </w:p>
    <w:p w14:paraId="286E77F4" w14:textId="7DFE01E5" w:rsidR="003102DB" w:rsidRPr="00D739A7" w:rsidRDefault="00CD6405" w:rsidP="007E58DA">
      <w:pPr>
        <w:pStyle w:val="Agency-body-text"/>
      </w:pPr>
      <w:r w:rsidRPr="00D739A7">
        <w:t xml:space="preserve">The enrolment rates </w:t>
      </w:r>
      <w:r w:rsidR="006863FB" w:rsidRPr="00D739A7">
        <w:t xml:space="preserve">in special groups </w:t>
      </w:r>
      <w:r w:rsidRPr="00D739A7">
        <w:t>range from 0.0</w:t>
      </w:r>
      <w:r w:rsidR="003102DB" w:rsidRPr="00D739A7">
        <w:t>1</w:t>
      </w:r>
      <w:r w:rsidRPr="00D739A7">
        <w:t xml:space="preserve">% to </w:t>
      </w:r>
      <w:r w:rsidR="003102DB" w:rsidRPr="00D739A7">
        <w:t>2.</w:t>
      </w:r>
      <w:r w:rsidR="006863FB" w:rsidRPr="00D739A7">
        <w:t>3</w:t>
      </w:r>
      <w:r w:rsidR="003102DB" w:rsidRPr="00D739A7">
        <w:t>1</w:t>
      </w:r>
      <w:r w:rsidRPr="00D739A7">
        <w:t xml:space="preserve">%; the total average for the </w:t>
      </w:r>
      <w:r w:rsidR="003102DB" w:rsidRPr="00D739A7">
        <w:t>16</w:t>
      </w:r>
      <w:r w:rsidRPr="00D739A7">
        <w:t xml:space="preserve"> countries is 0.</w:t>
      </w:r>
      <w:r w:rsidR="003102DB" w:rsidRPr="00D739A7">
        <w:t>27</w:t>
      </w:r>
      <w:r w:rsidRPr="00D739A7">
        <w:t>%.</w:t>
      </w:r>
    </w:p>
    <w:p w14:paraId="3F149D12" w14:textId="77777777" w:rsidR="000B1B0D" w:rsidRPr="00D739A7" w:rsidRDefault="003102DB" w:rsidP="004A29D9">
      <w:pPr>
        <w:keepNext/>
        <w:spacing w:before="120" w:after="120" w:line="240" w:lineRule="auto"/>
        <w:rPr>
          <w:lang w:val="en-GB"/>
        </w:rPr>
      </w:pPr>
      <w:r w:rsidRPr="00D739A7">
        <w:rPr>
          <w:rFonts w:ascii="Calibri" w:hAnsi="Calibri" w:cs="Calibri"/>
          <w:noProof/>
          <w:lang w:val="en-GB"/>
        </w:rPr>
        <w:drawing>
          <wp:inline distT="0" distB="0" distL="0" distR="0" wp14:anchorId="42FF6B89" wp14:editId="2F917E66">
            <wp:extent cx="3048000" cy="7551174"/>
            <wp:effectExtent l="0" t="0" r="12700" b="18415"/>
            <wp:docPr id="20" name="Diagram 20" descr="Bulgaria 0.23&#10;Cyprus 0.43&#10;Czech Republic 2.31&#10;Estonia 2.11&#10;France 0.22&#10;Greece 0.02&#10;Hungary 0.48&#10;Lithuania 0.82&#10;Luxembourg 0.39&#10;Poland 0.10&#10;Serbia 0.22&#10;Slovakia 0.20&#10;Slovenia 0.14&#10;Spain 0.04&#10;Switzerland 0.03&#10;UK (England) 0.01&#10;Total average (16) 0.27">
              <a:extLst xmlns:a="http://schemas.openxmlformats.org/drawingml/2006/main">
                <a:ext uri="{FF2B5EF4-FFF2-40B4-BE49-F238E27FC236}">
                  <a16:creationId xmlns:a16="http://schemas.microsoft.com/office/drawing/2014/main" id="{3B9AF42F-E3D6-41D2-9A6E-017256B56D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2CA920A" w14:textId="7DDFBE08" w:rsidR="00CD6405" w:rsidRPr="00D739A7" w:rsidRDefault="000B1B0D" w:rsidP="00F52DBF">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11</w:t>
      </w:r>
      <w:r w:rsidRPr="00D739A7">
        <w:rPr>
          <w:b w:val="0"/>
          <w:bCs w:val="0"/>
        </w:rPr>
        <w:fldChar w:fldCharType="end"/>
      </w:r>
      <w:r w:rsidR="00CD6405" w:rsidRPr="00D739A7">
        <w:t xml:space="preserve">. Percentage of children with an official decision of SEN in special </w:t>
      </w:r>
      <w:r w:rsidR="00636989" w:rsidRPr="00D739A7">
        <w:t>groups</w:t>
      </w:r>
      <w:r w:rsidR="00CD6405" w:rsidRPr="00D739A7">
        <w:t>, based on the enrolled pre-primary population (%)</w:t>
      </w:r>
    </w:p>
    <w:p w14:paraId="40515DED" w14:textId="4919E9CB" w:rsidR="00CD6405" w:rsidRPr="00D739A7" w:rsidRDefault="00CD6405" w:rsidP="007E58DA">
      <w:pPr>
        <w:pStyle w:val="Agency-heading-4-report"/>
        <w:sectPr w:rsidR="00CD6405" w:rsidRPr="00D739A7" w:rsidSect="00751B98">
          <w:pgSz w:w="11899" w:h="16838"/>
          <w:pgMar w:top="1134" w:right="1551" w:bottom="1276" w:left="1418" w:header="709" w:footer="709" w:gutter="0"/>
          <w:cols w:space="710"/>
          <w:docGrid w:linePitch="360"/>
        </w:sectPr>
      </w:pPr>
      <w:r w:rsidRPr="00D739A7">
        <w:lastRenderedPageBreak/>
        <w:t xml:space="preserve">Gender breakdown of children with an official decision of SEN in special </w:t>
      </w:r>
      <w:r w:rsidR="00636989" w:rsidRPr="00D739A7">
        <w:t>groups</w:t>
      </w:r>
      <w:r w:rsidRPr="00D739A7">
        <w:t>, based on the enrolled pre-primary population (%)</w:t>
      </w:r>
    </w:p>
    <w:p w14:paraId="0C8D3434" w14:textId="77777777" w:rsidR="00CD6405" w:rsidRPr="00D739A7" w:rsidRDefault="00CD6405" w:rsidP="007E58DA">
      <w:pPr>
        <w:pStyle w:val="Agency-body-text"/>
      </w:pPr>
      <w:r w:rsidRPr="00D739A7">
        <w:t>The gender breakdowns have been calculated as follows:</w:t>
      </w:r>
    </w:p>
    <w:p w14:paraId="20185FF9"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Boys: The number of boys with an official decision of SEN who are educated in separate special groups in mainstream educational settings (Q3.3) / The number of children who are enrolled in all formal educational settings (Q1.2) x 100.</w:t>
      </w:r>
    </w:p>
    <w:p w14:paraId="622685F5"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Girls: The number of girls with an official decision of SEN who are educated in separate special groups in mainstream educational settings (Q3.3) / The number of children who are enrolled in all formal educational settings (Q1.2) x 100.</w:t>
      </w:r>
    </w:p>
    <w:p w14:paraId="7AEDF22D" w14:textId="4BC775E5" w:rsidR="00CD6405" w:rsidRPr="00D739A7" w:rsidRDefault="00CD6405" w:rsidP="00CD6405">
      <w:pPr>
        <w:spacing w:before="120" w:after="120" w:line="240" w:lineRule="auto"/>
        <w:rPr>
          <w:rFonts w:ascii="Calibri" w:eastAsia="Times New Roman" w:hAnsi="Calibri" w:cs="Calibri"/>
          <w:bCs/>
          <w:color w:val="000000"/>
          <w:sz w:val="24"/>
          <w:szCs w:val="24"/>
          <w:lang w:val="en-GB"/>
        </w:rPr>
      </w:pPr>
      <w:r w:rsidRPr="00D739A7">
        <w:rPr>
          <w:rFonts w:ascii="Calibri" w:eastAsia="Times New Roman" w:hAnsi="Calibri" w:cs="Calibri"/>
          <w:bCs/>
          <w:color w:val="000000"/>
          <w:sz w:val="24"/>
          <w:szCs w:val="24"/>
          <w:lang w:val="en-GB"/>
        </w:rPr>
        <w:t>Data is available from 1</w:t>
      </w:r>
      <w:r w:rsidR="00B90A62" w:rsidRPr="00D739A7">
        <w:rPr>
          <w:rFonts w:ascii="Calibri" w:eastAsia="Times New Roman" w:hAnsi="Calibri" w:cs="Calibri"/>
          <w:bCs/>
          <w:color w:val="000000"/>
          <w:sz w:val="24"/>
          <w:szCs w:val="24"/>
          <w:lang w:val="en-GB"/>
        </w:rPr>
        <w:t>5</w:t>
      </w:r>
      <w:r w:rsidRPr="00D739A7">
        <w:rPr>
          <w:rFonts w:ascii="Calibri" w:eastAsia="Times New Roman" w:hAnsi="Calibri" w:cs="Calibri"/>
          <w:bCs/>
          <w:color w:val="000000"/>
          <w:sz w:val="24"/>
          <w:szCs w:val="24"/>
          <w:lang w:val="en-GB"/>
        </w:rPr>
        <w:t xml:space="preserve"> countries.</w:t>
      </w:r>
    </w:p>
    <w:p w14:paraId="157090F3" w14:textId="60E1E6B7" w:rsidR="00CD6405"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 xml:space="preserve">The separate special </w:t>
      </w:r>
      <w:r w:rsidR="00636989" w:rsidRPr="00D739A7">
        <w:rPr>
          <w:rFonts w:ascii="Calibri" w:eastAsia="Times New Roman" w:hAnsi="Calibri" w:cs="Calibri"/>
          <w:color w:val="000000"/>
          <w:sz w:val="24"/>
          <w:szCs w:val="24"/>
          <w:lang w:val="en-GB"/>
        </w:rPr>
        <w:t>group</w:t>
      </w:r>
      <w:r w:rsidRPr="00D739A7">
        <w:rPr>
          <w:rFonts w:ascii="Calibri" w:eastAsia="Times New Roman" w:hAnsi="Calibri" w:cs="Calibri"/>
          <w:color w:val="000000"/>
          <w:sz w:val="24"/>
          <w:szCs w:val="24"/>
          <w:lang w:val="en-GB"/>
        </w:rPr>
        <w:t xml:space="preserve"> enrolment rates for boys with an official decision of SEN range from 0.0</w:t>
      </w:r>
      <w:r w:rsidR="00B90A62" w:rsidRPr="00D739A7">
        <w:rPr>
          <w:rFonts w:ascii="Calibri" w:eastAsia="Times New Roman" w:hAnsi="Calibri" w:cs="Calibri"/>
          <w:color w:val="000000"/>
          <w:sz w:val="24"/>
          <w:szCs w:val="24"/>
          <w:lang w:val="en-GB"/>
        </w:rPr>
        <w:t>1</w:t>
      </w:r>
      <w:r w:rsidRPr="00D739A7">
        <w:rPr>
          <w:rFonts w:ascii="Calibri" w:eastAsia="Times New Roman" w:hAnsi="Calibri" w:cs="Calibri"/>
          <w:color w:val="000000"/>
          <w:sz w:val="24"/>
          <w:szCs w:val="24"/>
          <w:lang w:val="en-GB"/>
        </w:rPr>
        <w:t xml:space="preserve">% to </w:t>
      </w:r>
      <w:r w:rsidR="00B90A62" w:rsidRPr="00D739A7">
        <w:rPr>
          <w:rFonts w:ascii="Calibri" w:eastAsia="Times New Roman" w:hAnsi="Calibri" w:cs="Calibri"/>
          <w:color w:val="000000"/>
          <w:sz w:val="24"/>
          <w:szCs w:val="24"/>
          <w:lang w:val="en-GB"/>
        </w:rPr>
        <w:t>1.54</w:t>
      </w:r>
      <w:r w:rsidRPr="00D739A7">
        <w:rPr>
          <w:rFonts w:ascii="Calibri" w:eastAsia="Times New Roman" w:hAnsi="Calibri" w:cs="Calibri"/>
          <w:color w:val="000000"/>
          <w:sz w:val="24"/>
          <w:szCs w:val="24"/>
          <w:lang w:val="en-GB"/>
        </w:rPr>
        <w:t>%; the total average for the 1</w:t>
      </w:r>
      <w:r w:rsidR="00B90A62" w:rsidRPr="00D739A7">
        <w:rPr>
          <w:rFonts w:ascii="Calibri" w:eastAsia="Times New Roman" w:hAnsi="Calibri" w:cs="Calibri"/>
          <w:color w:val="000000"/>
          <w:sz w:val="24"/>
          <w:szCs w:val="24"/>
          <w:lang w:val="en-GB"/>
        </w:rPr>
        <w:t>5</w:t>
      </w:r>
      <w:r w:rsidRPr="00D739A7">
        <w:rPr>
          <w:rFonts w:ascii="Calibri" w:eastAsia="Times New Roman" w:hAnsi="Calibri" w:cs="Calibri"/>
          <w:color w:val="000000"/>
          <w:sz w:val="24"/>
          <w:szCs w:val="24"/>
          <w:lang w:val="en-GB"/>
        </w:rPr>
        <w:t xml:space="preserve"> countries is 0.</w:t>
      </w:r>
      <w:r w:rsidR="00B90A62" w:rsidRPr="00D739A7">
        <w:rPr>
          <w:rFonts w:ascii="Calibri" w:eastAsia="Times New Roman" w:hAnsi="Calibri" w:cs="Calibri"/>
          <w:color w:val="000000"/>
          <w:sz w:val="24"/>
          <w:szCs w:val="24"/>
          <w:lang w:val="en-GB"/>
        </w:rPr>
        <w:t>18</w:t>
      </w:r>
      <w:r w:rsidRPr="00D739A7">
        <w:rPr>
          <w:rFonts w:ascii="Calibri" w:eastAsia="Times New Roman" w:hAnsi="Calibri" w:cs="Calibri"/>
          <w:color w:val="000000"/>
          <w:sz w:val="24"/>
          <w:szCs w:val="24"/>
          <w:lang w:val="en-GB"/>
        </w:rPr>
        <w:t>%.</w:t>
      </w:r>
    </w:p>
    <w:p w14:paraId="3F231F9E" w14:textId="49853EE8" w:rsidR="003102DB" w:rsidRPr="00D739A7" w:rsidRDefault="00CD6405" w:rsidP="00CD6405">
      <w:pPr>
        <w:spacing w:before="120" w:after="120" w:line="240" w:lineRule="auto"/>
        <w:rPr>
          <w:rFonts w:ascii="Calibri" w:eastAsia="Times New Roman" w:hAnsi="Calibri" w:cs="Calibri"/>
          <w:color w:val="000000"/>
          <w:sz w:val="24"/>
          <w:szCs w:val="24"/>
          <w:lang w:val="en-GB"/>
        </w:rPr>
      </w:pPr>
      <w:r w:rsidRPr="00D739A7">
        <w:rPr>
          <w:rFonts w:ascii="Calibri" w:eastAsia="Times New Roman" w:hAnsi="Calibri" w:cs="Calibri"/>
          <w:color w:val="000000"/>
          <w:sz w:val="24"/>
          <w:szCs w:val="24"/>
          <w:lang w:val="en-GB"/>
        </w:rPr>
        <w:t xml:space="preserve">The separate special </w:t>
      </w:r>
      <w:r w:rsidR="00636989" w:rsidRPr="00D739A7">
        <w:rPr>
          <w:rFonts w:ascii="Calibri" w:eastAsia="Times New Roman" w:hAnsi="Calibri" w:cs="Calibri"/>
          <w:color w:val="000000"/>
          <w:sz w:val="24"/>
          <w:szCs w:val="24"/>
          <w:lang w:val="en-GB"/>
        </w:rPr>
        <w:t>group</w:t>
      </w:r>
      <w:r w:rsidRPr="00D739A7">
        <w:rPr>
          <w:rFonts w:ascii="Calibri" w:eastAsia="Times New Roman" w:hAnsi="Calibri" w:cs="Calibri"/>
          <w:color w:val="000000"/>
          <w:sz w:val="24"/>
          <w:szCs w:val="24"/>
          <w:lang w:val="en-GB"/>
        </w:rPr>
        <w:t xml:space="preserve"> enrolment rates for girls with an official decision of SEN range from 0.0</w:t>
      </w:r>
      <w:r w:rsidR="00B90A62" w:rsidRPr="00D739A7">
        <w:rPr>
          <w:rFonts w:ascii="Calibri" w:eastAsia="Times New Roman" w:hAnsi="Calibri" w:cs="Calibri"/>
          <w:color w:val="000000"/>
          <w:sz w:val="24"/>
          <w:szCs w:val="24"/>
          <w:lang w:val="en-GB"/>
        </w:rPr>
        <w:t>0</w:t>
      </w:r>
      <w:r w:rsidRPr="00D739A7">
        <w:rPr>
          <w:rFonts w:ascii="Calibri" w:eastAsia="Times New Roman" w:hAnsi="Calibri" w:cs="Calibri"/>
          <w:color w:val="000000"/>
          <w:sz w:val="24"/>
          <w:szCs w:val="24"/>
          <w:lang w:val="en-GB"/>
        </w:rPr>
        <w:t xml:space="preserve">% to </w:t>
      </w:r>
      <w:r w:rsidR="00B90A62" w:rsidRPr="00D739A7">
        <w:rPr>
          <w:rFonts w:ascii="Calibri" w:eastAsia="Times New Roman" w:hAnsi="Calibri" w:cs="Calibri"/>
          <w:color w:val="000000"/>
          <w:sz w:val="24"/>
          <w:szCs w:val="24"/>
          <w:lang w:val="en-GB"/>
        </w:rPr>
        <w:t>0.80</w:t>
      </w:r>
      <w:r w:rsidRPr="00D739A7">
        <w:rPr>
          <w:rFonts w:ascii="Calibri" w:eastAsia="Times New Roman" w:hAnsi="Calibri" w:cs="Calibri"/>
          <w:color w:val="000000"/>
          <w:sz w:val="24"/>
          <w:szCs w:val="24"/>
          <w:lang w:val="en-GB"/>
        </w:rPr>
        <w:t>%; the total average for the 1</w:t>
      </w:r>
      <w:r w:rsidR="00B90A62" w:rsidRPr="00D739A7">
        <w:rPr>
          <w:rFonts w:ascii="Calibri" w:eastAsia="Times New Roman" w:hAnsi="Calibri" w:cs="Calibri"/>
          <w:color w:val="000000"/>
          <w:sz w:val="24"/>
          <w:szCs w:val="24"/>
          <w:lang w:val="en-GB"/>
        </w:rPr>
        <w:t>5</w:t>
      </w:r>
      <w:r w:rsidRPr="00D739A7">
        <w:rPr>
          <w:rFonts w:ascii="Calibri" w:eastAsia="Times New Roman" w:hAnsi="Calibri" w:cs="Calibri"/>
          <w:color w:val="000000"/>
          <w:sz w:val="24"/>
          <w:szCs w:val="24"/>
          <w:lang w:val="en-GB"/>
        </w:rPr>
        <w:t xml:space="preserve"> countries is 0.</w:t>
      </w:r>
      <w:r w:rsidR="00B90A62" w:rsidRPr="00D739A7">
        <w:rPr>
          <w:rFonts w:ascii="Calibri" w:eastAsia="Times New Roman" w:hAnsi="Calibri" w:cs="Calibri"/>
          <w:color w:val="000000"/>
          <w:sz w:val="24"/>
          <w:szCs w:val="24"/>
          <w:lang w:val="en-GB"/>
        </w:rPr>
        <w:t>09</w:t>
      </w:r>
      <w:r w:rsidRPr="00D739A7">
        <w:rPr>
          <w:rFonts w:ascii="Calibri" w:eastAsia="Times New Roman" w:hAnsi="Calibri" w:cs="Calibri"/>
          <w:color w:val="000000"/>
          <w:sz w:val="24"/>
          <w:szCs w:val="24"/>
          <w:lang w:val="en-GB"/>
        </w:rPr>
        <w:t>%.</w:t>
      </w:r>
    </w:p>
    <w:p w14:paraId="63F29278" w14:textId="77777777" w:rsidR="00F52DBF" w:rsidRPr="00D739A7" w:rsidRDefault="003102DB" w:rsidP="004A29D9">
      <w:pPr>
        <w:keepNext/>
        <w:spacing w:before="120" w:after="120" w:line="240" w:lineRule="auto"/>
        <w:rPr>
          <w:lang w:val="en-GB"/>
        </w:rPr>
      </w:pPr>
      <w:r w:rsidRPr="00D739A7">
        <w:rPr>
          <w:rFonts w:ascii="Calibri" w:hAnsi="Calibri" w:cs="Calibri"/>
          <w:noProof/>
          <w:lang w:val="en-GB"/>
        </w:rPr>
        <w:drawing>
          <wp:inline distT="0" distB="0" distL="0" distR="0" wp14:anchorId="6701944C" wp14:editId="5005934B">
            <wp:extent cx="3030855" cy="7551174"/>
            <wp:effectExtent l="0" t="0" r="17145" b="18415"/>
            <wp:docPr id="21" name="Diagram 21" descr="Bulgaria &#10;Boys&#10;0.15 &#10;Girls&#10;0.09&#10;Cyprus &#10;Boys &#10;0.33 &#10;Girls &#10;0.10&#10;Czech Republic &#10;Boys &#10;1.51 &#10;Girls &#10;0.80&#10;Estonia &#10;Boys &#10;1.54 &#10;Girls &#10;0.58&#10;France &#10;Boys &#10;0.15 &#10;Girls &#10;0.08&#10;Greece &#10;Boys &#10;0.01 &#10;Girls &#10;0.00&#10;Hungary &#10;Boys &#10;0.34 &#10;Girls &#10;0.14&#10;Lithuania &#10;Boys &#10;0.57 &#10;Girls &#10;0.26 &#10;Poland &#10;Boys &#10;0.07 &#10;Girls &#10;0.03&#10;Serbia &#10;Boys &#10;0.13 &#10;Girls &#10;0.09&#10;Slovakia &#10;Boys &#10;0.14 &#10;Girls &#10;0.06&#10;Slovenia &#10;Boys &#10;0.05 &#10;Girls &#10;0.09&#10;Spain &#10;Boys &#10;0.03 &#10;Girls &#10;0.01&#10;Switzerland &#10;Boys &#10;0.01 &#10;Girls &#10;0.01&#10;UK (England) &#10;Boys &#10;0.01 &#10;Girls &#10;0.00&#10;Total average (15) &#10;Boys &#10;0.18 &#10;Girls &#10;0.09">
              <a:extLst xmlns:a="http://schemas.openxmlformats.org/drawingml/2006/main">
                <a:ext uri="{FF2B5EF4-FFF2-40B4-BE49-F238E27FC236}">
                  <a16:creationId xmlns:a16="http://schemas.microsoft.com/office/drawing/2014/main" id="{48071F64-AFF4-45BD-A7FD-087F576294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6A3E3E9" w14:textId="117CFA92" w:rsidR="00CD6405" w:rsidRPr="00D739A7" w:rsidRDefault="00F52DBF" w:rsidP="00F52DBF">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12</w:t>
      </w:r>
      <w:r w:rsidRPr="00D739A7">
        <w:rPr>
          <w:b w:val="0"/>
          <w:bCs w:val="0"/>
        </w:rPr>
        <w:fldChar w:fldCharType="end"/>
      </w:r>
      <w:r w:rsidRPr="00D739A7">
        <w:rPr>
          <w:rStyle w:val="CommentReference"/>
          <w:rFonts w:ascii="Times New Roman" w:hAnsi="Times New Roman"/>
          <w:i/>
          <w:iCs/>
          <w:color w:val="auto"/>
        </w:rPr>
        <w:t>.</w:t>
      </w:r>
      <w:r w:rsidR="00CD6405" w:rsidRPr="00D739A7">
        <w:t xml:space="preserve"> Gender breakdown of children with an official decision of SEN in special </w:t>
      </w:r>
      <w:r w:rsidR="00636989" w:rsidRPr="00D739A7">
        <w:t>groups</w:t>
      </w:r>
      <w:r w:rsidR="00CD6405" w:rsidRPr="00D739A7">
        <w:t>, based on the enrolled pre-primary population (%)</w:t>
      </w:r>
    </w:p>
    <w:p w14:paraId="686B3663" w14:textId="43E4DFDE" w:rsidR="00CD6405" w:rsidRPr="00D739A7" w:rsidRDefault="00CD6405" w:rsidP="007E58DA">
      <w:pPr>
        <w:pStyle w:val="Agency-heading-4-report"/>
        <w:sectPr w:rsidR="00CD6405" w:rsidRPr="00D739A7" w:rsidSect="00751B98">
          <w:pgSz w:w="11899" w:h="16838"/>
          <w:pgMar w:top="1134" w:right="1551" w:bottom="1276" w:left="1418" w:header="709" w:footer="709" w:gutter="0"/>
          <w:cols w:space="710"/>
          <w:docGrid w:linePitch="360"/>
        </w:sectPr>
      </w:pPr>
      <w:r w:rsidRPr="00D739A7">
        <w:lastRenderedPageBreak/>
        <w:t xml:space="preserve">Gender distribution of children with an official decision of SEN in special </w:t>
      </w:r>
      <w:r w:rsidR="00636989" w:rsidRPr="00D739A7">
        <w:t>groups</w:t>
      </w:r>
      <w:r w:rsidRPr="00D739A7">
        <w:t>, based on the enrolled pre-primary population (%)</w:t>
      </w:r>
    </w:p>
    <w:p w14:paraId="74125E83" w14:textId="77777777" w:rsidR="00CD6405" w:rsidRPr="00D739A7" w:rsidRDefault="00CD6405" w:rsidP="007E58DA">
      <w:pPr>
        <w:pStyle w:val="Agency-body-text"/>
      </w:pPr>
      <w:r w:rsidRPr="00D739A7">
        <w:t>The gender distributions have been calculated as follows:</w:t>
      </w:r>
    </w:p>
    <w:p w14:paraId="7FC0ACAA" w14:textId="77777777" w:rsidR="00CD6405" w:rsidRPr="00D739A7" w:rsidRDefault="00CD6405" w:rsidP="007E58DA">
      <w:pPr>
        <w:pStyle w:val="Agency-body-text"/>
      </w:pPr>
      <w:r w:rsidRPr="00D739A7">
        <w:t>Boys: The number of boys with an official decision of SEN who are educated in separate special groups in mainstream educational settings (Q3.3) / The number of children with an official decision of SEN who are educated in separate special groups in mainstream educational settings (Q3.3) x 100.</w:t>
      </w:r>
    </w:p>
    <w:p w14:paraId="1DACF750" w14:textId="6F0D856B" w:rsidR="00CD6405" w:rsidRPr="00D739A7" w:rsidRDefault="00CD6405" w:rsidP="007E58DA">
      <w:pPr>
        <w:pStyle w:val="Agency-body-text"/>
      </w:pPr>
      <w:r w:rsidRPr="00D739A7">
        <w:t xml:space="preserve">Girls: The number of girls with an official decision of SEN who are educated in separate </w:t>
      </w:r>
      <w:r w:rsidR="00636989" w:rsidRPr="00D739A7">
        <w:t>special</w:t>
      </w:r>
      <w:r w:rsidRPr="00D739A7">
        <w:t xml:space="preserve"> groups in mainstream educational settings (Q3.3) / The number of children with an official decision of SEN who are educated in separate special groups in mainstream educational settings (Q3.3) x 100.</w:t>
      </w:r>
    </w:p>
    <w:p w14:paraId="0F986DCA" w14:textId="21DA311B" w:rsidR="00CD6405" w:rsidRPr="00D739A7" w:rsidRDefault="00CD6405" w:rsidP="007E58DA">
      <w:pPr>
        <w:pStyle w:val="Agency-body-text"/>
        <w:rPr>
          <w:bCs/>
        </w:rPr>
      </w:pPr>
      <w:r w:rsidRPr="00D739A7">
        <w:rPr>
          <w:bCs/>
        </w:rPr>
        <w:t>Data is available from 1</w:t>
      </w:r>
      <w:r w:rsidR="00B90A62" w:rsidRPr="00D739A7">
        <w:rPr>
          <w:bCs/>
        </w:rPr>
        <w:t>5</w:t>
      </w:r>
      <w:r w:rsidRPr="00D739A7">
        <w:rPr>
          <w:bCs/>
        </w:rPr>
        <w:t xml:space="preserve"> countries.</w:t>
      </w:r>
    </w:p>
    <w:p w14:paraId="65B89AEC" w14:textId="7A3602A2" w:rsidR="00CD6405" w:rsidRPr="00D739A7" w:rsidRDefault="00CD6405" w:rsidP="007E58DA">
      <w:pPr>
        <w:pStyle w:val="Agency-body-text"/>
      </w:pPr>
      <w:r w:rsidRPr="00D739A7">
        <w:t xml:space="preserve">The proportion of boys with an official decision of SEN in special </w:t>
      </w:r>
      <w:r w:rsidR="00636989" w:rsidRPr="00D739A7">
        <w:t>groups</w:t>
      </w:r>
      <w:r w:rsidRPr="00D739A7">
        <w:t xml:space="preserve"> ranges from </w:t>
      </w:r>
      <w:r w:rsidR="00B90A62" w:rsidRPr="00D739A7">
        <w:t>36.67</w:t>
      </w:r>
      <w:r w:rsidRPr="00D739A7">
        <w:t xml:space="preserve">% to </w:t>
      </w:r>
      <w:r w:rsidR="00B90A62" w:rsidRPr="00D739A7">
        <w:t>82.61</w:t>
      </w:r>
      <w:r w:rsidRPr="00D739A7">
        <w:t>%; the total average for the 1</w:t>
      </w:r>
      <w:r w:rsidR="00B90A62" w:rsidRPr="00D739A7">
        <w:t>5</w:t>
      </w:r>
      <w:r w:rsidRPr="00D739A7">
        <w:t xml:space="preserve"> countries is 6</w:t>
      </w:r>
      <w:r w:rsidR="00B90A62" w:rsidRPr="00D739A7">
        <w:t>6.</w:t>
      </w:r>
      <w:r w:rsidR="009B2A44">
        <w:t>45</w:t>
      </w:r>
      <w:r w:rsidRPr="00D739A7">
        <w:t>%.</w:t>
      </w:r>
    </w:p>
    <w:p w14:paraId="761C46F1" w14:textId="0510082D" w:rsidR="00CD6405" w:rsidRPr="00D739A7" w:rsidRDefault="00CD6405" w:rsidP="007E58DA">
      <w:pPr>
        <w:pStyle w:val="Agency-body-text"/>
      </w:pPr>
      <w:r w:rsidRPr="00D739A7">
        <w:t xml:space="preserve">The proportion of girls with an official decision of SEN in special </w:t>
      </w:r>
      <w:r w:rsidR="00D328AE" w:rsidRPr="00D739A7">
        <w:t>groups</w:t>
      </w:r>
      <w:r w:rsidRPr="00D739A7">
        <w:t xml:space="preserve"> ranges from </w:t>
      </w:r>
      <w:r w:rsidR="00B90A62" w:rsidRPr="00D739A7">
        <w:t>17.39</w:t>
      </w:r>
      <w:r w:rsidRPr="00D739A7">
        <w:t xml:space="preserve">% to </w:t>
      </w:r>
      <w:r w:rsidR="00B90A62" w:rsidRPr="00D739A7">
        <w:t>63.33</w:t>
      </w:r>
      <w:r w:rsidRPr="00D739A7">
        <w:t>%; the total average for the 1</w:t>
      </w:r>
      <w:r w:rsidR="00B90A62" w:rsidRPr="00D739A7">
        <w:t>5</w:t>
      </w:r>
      <w:r w:rsidRPr="00D739A7">
        <w:t xml:space="preserve"> countries is 3</w:t>
      </w:r>
      <w:r w:rsidR="00B90A62" w:rsidRPr="00D739A7">
        <w:t>3.</w:t>
      </w:r>
      <w:r w:rsidR="009B2A44">
        <w:t>55</w:t>
      </w:r>
      <w:r w:rsidRPr="00D739A7">
        <w:t>%.</w:t>
      </w:r>
    </w:p>
    <w:p w14:paraId="2CEEF382" w14:textId="77777777" w:rsidR="00223C89" w:rsidRPr="00D739A7" w:rsidRDefault="00B90A62" w:rsidP="004A29D9">
      <w:pPr>
        <w:keepNext/>
        <w:spacing w:before="120" w:after="120" w:line="240" w:lineRule="auto"/>
        <w:rPr>
          <w:lang w:val="en-GB"/>
        </w:rPr>
      </w:pPr>
      <w:r w:rsidRPr="00D739A7">
        <w:rPr>
          <w:rFonts w:ascii="Calibri" w:hAnsi="Calibri" w:cs="Calibri"/>
          <w:noProof/>
          <w:lang w:val="en-GB"/>
        </w:rPr>
        <w:drawing>
          <wp:inline distT="0" distB="0" distL="0" distR="0" wp14:anchorId="7ACB369B" wp14:editId="25273047">
            <wp:extent cx="3030855" cy="7521677"/>
            <wp:effectExtent l="0" t="0" r="17145" b="9525"/>
            <wp:docPr id="22" name="Diagram 22" descr="Bulgaria &#10;Boys&#10;63.04 &#10;Girls&#10;36.96&#10;Cyprus &#10;Boys &#10;76.19 &#10;Girls &#10;23.81&#10;Czech Republic &#10;Boys &#10;65.31 &#10;Girls &#10;34.69&#10;Estonia &#10;Boys &#10;72.68 &#10;Girls &#10;27.32&#10;France &#10;Boys &#10;65.45 &#10;Girls &#10;34.55&#10;Greece &#10;Boys &#10;82.61 &#10;Girls &#10;17.39&#10;Hungary &#10;Boys &#10;70.94 &#10;Girls &#10;29.06&#10;Lithuania &#10;Boys 69.01 &#10;Girls 30.99 &#10;Poland &#10;Boys 72.44 &#10;Girls 27.56&#10;Serbia &#10;Boys 59.34 &#10;Girls 40.66&#10;Slovakia &#10;Boys 70.71 &#10;Girls 29.29&#10;Slovenia &#10;Boys 36.67 &#10;Girls 63.33&#10;Spain &#10;Boys 67.24 &#10;Girls 32.76&#10;Switzerland &#10;Boys 53.33 &#10;Girls 46.67&#10;UK (England) &#10;Boys 72.35 &#10;Girls 27.65&#10;Total average (15) &#10;Boys 66.45&#10;Girls 33.55">
              <a:extLst xmlns:a="http://schemas.openxmlformats.org/drawingml/2006/main">
                <a:ext uri="{FF2B5EF4-FFF2-40B4-BE49-F238E27FC236}">
                  <a16:creationId xmlns:a16="http://schemas.microsoft.com/office/drawing/2014/main" id="{27DBC22D-7E32-4317-A21B-D01C5C01ED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B2EEF35" w14:textId="434E84CE" w:rsidR="00CD6405" w:rsidRPr="00D739A7" w:rsidRDefault="00223C89" w:rsidP="005309A4">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13</w:t>
      </w:r>
      <w:r w:rsidRPr="00D739A7">
        <w:rPr>
          <w:b w:val="0"/>
          <w:bCs w:val="0"/>
        </w:rPr>
        <w:fldChar w:fldCharType="end"/>
      </w:r>
      <w:r w:rsidR="00CD6405" w:rsidRPr="00D739A7">
        <w:t xml:space="preserve">. Gender distribution of children with an official decision of SEN in special </w:t>
      </w:r>
      <w:r w:rsidR="00D328AE" w:rsidRPr="00D739A7">
        <w:t>groups</w:t>
      </w:r>
      <w:r w:rsidR="00CD6405" w:rsidRPr="00D739A7">
        <w:t>, based on the enrolled pre-primary population (%)</w:t>
      </w:r>
    </w:p>
    <w:p w14:paraId="629B96AC" w14:textId="581DA731" w:rsidR="00CD6405" w:rsidRPr="00D739A7" w:rsidRDefault="00436B97" w:rsidP="007E58DA">
      <w:pPr>
        <w:pStyle w:val="Agency-heading-3-report"/>
        <w:sectPr w:rsidR="00CD6405" w:rsidRPr="00D739A7" w:rsidSect="00751B98">
          <w:pgSz w:w="11899" w:h="16838"/>
          <w:pgMar w:top="1134" w:right="1551" w:bottom="1276" w:left="1418" w:header="709" w:footer="709" w:gutter="0"/>
          <w:cols w:space="710"/>
          <w:docGrid w:linePitch="360"/>
        </w:sectPr>
      </w:pPr>
      <w:bookmarkStart w:id="36" w:name="_Toc35943030"/>
      <w:r w:rsidRPr="00D739A7">
        <w:lastRenderedPageBreak/>
        <w:t>Indicator </w:t>
      </w:r>
      <w:r w:rsidR="00903978" w:rsidRPr="00D739A7">
        <w:t>1.</w:t>
      </w:r>
      <w:r w:rsidRPr="00D739A7">
        <w:t>3</w:t>
      </w:r>
      <w:r w:rsidR="00CD6405" w:rsidRPr="00D739A7">
        <w:t xml:space="preserve">b.3: the percentage of children with an official decision of SEN in special </w:t>
      </w:r>
      <w:r w:rsidR="00D328AE" w:rsidRPr="00D739A7">
        <w:t>pre</w:t>
      </w:r>
      <w:r w:rsidR="00223C89" w:rsidRPr="00D739A7">
        <w:noBreakHyphen/>
      </w:r>
      <w:r w:rsidR="00CD6405" w:rsidRPr="00D739A7">
        <w:t>schools, based on the enrolled pre-primary population (%)</w:t>
      </w:r>
      <w:bookmarkEnd w:id="36"/>
    </w:p>
    <w:p w14:paraId="05F03D33" w14:textId="36FB3A8B" w:rsidR="00CD6405" w:rsidRPr="00D739A7" w:rsidRDefault="00CD6405" w:rsidP="007E58DA">
      <w:pPr>
        <w:pStyle w:val="Agency-body-text"/>
      </w:pPr>
      <w:r w:rsidRPr="00D739A7">
        <w:t>The data focuses on children with an official decision of SEN</w:t>
      </w:r>
      <w:r w:rsidR="00223C89" w:rsidRPr="00D739A7">
        <w:t>,</w:t>
      </w:r>
      <w:r w:rsidRPr="00D739A7">
        <w:t xml:space="preserve"> in line with the EASIE operational definition, who are enrolled in fully separate special pre-primary schools.</w:t>
      </w:r>
    </w:p>
    <w:p w14:paraId="6C68728A" w14:textId="77777777" w:rsidR="00CD6405" w:rsidRPr="00D739A7" w:rsidRDefault="00CD6405" w:rsidP="007E58DA">
      <w:pPr>
        <w:pStyle w:val="Agency-body-text"/>
      </w:pPr>
      <w:r w:rsidRPr="00D739A7">
        <w:t>This indicator has been calculated as follows: The number of children with an official decision of SEN who are educated in separate special pre-schools (Q3.4) / The number of children who are enrolled in all formal educational settings (Q1.2) x 100.</w:t>
      </w:r>
    </w:p>
    <w:p w14:paraId="7DFF0DFE" w14:textId="622DDF32" w:rsidR="00CD6405" w:rsidRPr="00D739A7" w:rsidRDefault="00CD6405" w:rsidP="007E58DA">
      <w:pPr>
        <w:pStyle w:val="Agency-body-text"/>
      </w:pPr>
      <w:r w:rsidRPr="00D739A7">
        <w:t xml:space="preserve">Data is available from </w:t>
      </w:r>
      <w:r w:rsidR="00B90A62" w:rsidRPr="00D739A7">
        <w:t>19</w:t>
      </w:r>
      <w:r w:rsidRPr="00D739A7">
        <w:t xml:space="preserve"> countries.</w:t>
      </w:r>
    </w:p>
    <w:p w14:paraId="3CC8BED6" w14:textId="1647E3F7" w:rsidR="00CD6405" w:rsidRPr="00D739A7" w:rsidRDefault="00CD6405" w:rsidP="007E58DA">
      <w:pPr>
        <w:pStyle w:val="Agency-body-text"/>
      </w:pPr>
      <w:r w:rsidRPr="00D739A7">
        <w:t xml:space="preserve">The special </w:t>
      </w:r>
      <w:r w:rsidR="00D328AE" w:rsidRPr="00D739A7">
        <w:t>pre-</w:t>
      </w:r>
      <w:r w:rsidRPr="00D739A7">
        <w:t>school enrolment rates range from 0.0</w:t>
      </w:r>
      <w:r w:rsidR="00B90A62" w:rsidRPr="00D739A7">
        <w:t>1</w:t>
      </w:r>
      <w:r w:rsidRPr="00D739A7">
        <w:t xml:space="preserve">% to </w:t>
      </w:r>
      <w:r w:rsidR="00B90A62" w:rsidRPr="00D739A7">
        <w:t>4.46</w:t>
      </w:r>
      <w:r w:rsidRPr="00D739A7">
        <w:t xml:space="preserve">%; the total average for the </w:t>
      </w:r>
      <w:r w:rsidR="00B90A62" w:rsidRPr="00D739A7">
        <w:t>19</w:t>
      </w:r>
      <w:r w:rsidRPr="00D739A7">
        <w:t xml:space="preserve"> countries is </w:t>
      </w:r>
      <w:r w:rsidR="00D328AE" w:rsidRPr="00D739A7">
        <w:t>0.51</w:t>
      </w:r>
      <w:r w:rsidRPr="00D739A7">
        <w:t>%.</w:t>
      </w:r>
    </w:p>
    <w:p w14:paraId="40ED3073" w14:textId="77777777" w:rsidR="00223C89" w:rsidRPr="00D739A7" w:rsidRDefault="00B90A62" w:rsidP="004A29D9">
      <w:pPr>
        <w:keepNext/>
        <w:spacing w:before="120" w:after="120" w:line="240" w:lineRule="auto"/>
        <w:rPr>
          <w:lang w:val="en-GB"/>
        </w:rPr>
      </w:pPr>
      <w:r w:rsidRPr="00D739A7">
        <w:rPr>
          <w:rFonts w:ascii="Calibri" w:hAnsi="Calibri" w:cs="Calibri"/>
          <w:noProof/>
          <w:lang w:val="en-GB"/>
        </w:rPr>
        <w:drawing>
          <wp:inline distT="0" distB="0" distL="0" distR="0" wp14:anchorId="58A2E30B" wp14:editId="646A553A">
            <wp:extent cx="3039110" cy="7570838"/>
            <wp:effectExtent l="0" t="0" r="8890" b="11430"/>
            <wp:docPr id="23" name="Diagram 23" descr="Belgium (Fl) 0.73&#10;Bulgaria 0.05&#10;Cyprus 0.14&#10;Czech Republic 1.04&#10;Estonia 0.25&#10;France 0.85&#10;Greece 0.40&#10;Italy 0.01&#10;Latvia 4.46&#10;Lithuania 0.85&#10;Luxembourg 0.28&#10;Netherlands 1.06&#10;Poland 0.47&#10;Slovakia 1.18&#10;Spain 0.11&#10;Switzerland 1.09&#10;UK (England) 0.21&#10;UK (N. Ireland) 0.37&#10;UK (Wales) 0.32&#10;Total average (19) 0.51">
              <a:extLst xmlns:a="http://schemas.openxmlformats.org/drawingml/2006/main">
                <a:ext uri="{FF2B5EF4-FFF2-40B4-BE49-F238E27FC236}">
                  <a16:creationId xmlns:a16="http://schemas.microsoft.com/office/drawing/2014/main" id="{AF639224-2E97-4C99-B16C-A4CABDB70A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0889581" w14:textId="54346ED6" w:rsidR="00CD6405" w:rsidRPr="00D739A7" w:rsidRDefault="00223C89" w:rsidP="005309A4">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14</w:t>
      </w:r>
      <w:r w:rsidRPr="00D739A7">
        <w:rPr>
          <w:b w:val="0"/>
          <w:bCs w:val="0"/>
        </w:rPr>
        <w:fldChar w:fldCharType="end"/>
      </w:r>
      <w:r w:rsidR="00CD6405" w:rsidRPr="00D739A7">
        <w:t xml:space="preserve">. Percentage of children with an official decision of SEN in special </w:t>
      </w:r>
      <w:r w:rsidR="00D328AE" w:rsidRPr="00D739A7">
        <w:t>pre-</w:t>
      </w:r>
      <w:r w:rsidR="00CD6405" w:rsidRPr="00D739A7">
        <w:t>schools, based on the enrolled pre-primary population (%)</w:t>
      </w:r>
    </w:p>
    <w:p w14:paraId="12DC2106" w14:textId="213702E4" w:rsidR="00CD6405" w:rsidRPr="00D739A7" w:rsidRDefault="00CD6405" w:rsidP="007E58DA">
      <w:pPr>
        <w:pStyle w:val="Agency-heading-4-report"/>
        <w:sectPr w:rsidR="00CD6405" w:rsidRPr="00D739A7" w:rsidSect="00751B98">
          <w:pgSz w:w="11899" w:h="16838"/>
          <w:pgMar w:top="1134" w:right="1551" w:bottom="1276" w:left="1418" w:header="709" w:footer="709" w:gutter="0"/>
          <w:cols w:space="710"/>
          <w:docGrid w:linePitch="360"/>
        </w:sectPr>
      </w:pPr>
      <w:r w:rsidRPr="00D739A7">
        <w:lastRenderedPageBreak/>
        <w:t xml:space="preserve">Gender breakdown of children with an official decision of SEN in special </w:t>
      </w:r>
      <w:r w:rsidR="00D328AE" w:rsidRPr="00D739A7">
        <w:t>pre-</w:t>
      </w:r>
      <w:r w:rsidRPr="00D739A7">
        <w:t>schools, based on the enrolled pre-primary population (%)</w:t>
      </w:r>
    </w:p>
    <w:p w14:paraId="21EBAEA3" w14:textId="77777777" w:rsidR="00CD6405" w:rsidRPr="00D739A7" w:rsidRDefault="00CD6405" w:rsidP="007E58DA">
      <w:pPr>
        <w:pStyle w:val="Agency-body-text"/>
      </w:pPr>
      <w:r w:rsidRPr="00D739A7">
        <w:t>The gender breakdowns have been calculated as follows:</w:t>
      </w:r>
    </w:p>
    <w:p w14:paraId="69975ED1" w14:textId="7A8CE879" w:rsidR="00CD6405" w:rsidRPr="00D739A7" w:rsidRDefault="00CD6405" w:rsidP="007E58DA">
      <w:pPr>
        <w:pStyle w:val="Agency-body-text"/>
      </w:pPr>
      <w:r w:rsidRPr="00D739A7">
        <w:t>Boys: The number of boys with an official decision of SEN who are educated in separate special pre</w:t>
      </w:r>
      <w:r w:rsidR="000B65D5" w:rsidRPr="00D739A7">
        <w:noBreakHyphen/>
      </w:r>
      <w:r w:rsidRPr="00D739A7">
        <w:t>schools (Q3.4) / The number of children who are enrolled in all formal educational settings (Q1.2) x 100.</w:t>
      </w:r>
    </w:p>
    <w:p w14:paraId="6F1D77F0" w14:textId="0ABF56E8" w:rsidR="00CD6405" w:rsidRPr="00D739A7" w:rsidRDefault="00CD6405" w:rsidP="007E58DA">
      <w:pPr>
        <w:pStyle w:val="Agency-body-text"/>
      </w:pPr>
      <w:r w:rsidRPr="00D739A7">
        <w:t>Girls: The number of girls with an official decision of SEN who are educated in separate special pre</w:t>
      </w:r>
      <w:r w:rsidR="000B65D5" w:rsidRPr="00D739A7">
        <w:noBreakHyphen/>
      </w:r>
      <w:r w:rsidRPr="00D739A7">
        <w:t>schools (Q3.4) / The number of children who are enrolled in all formal educational settings (Q1.2) x 100.</w:t>
      </w:r>
    </w:p>
    <w:p w14:paraId="588F2C05" w14:textId="4CF496EF" w:rsidR="00CD6405" w:rsidRPr="00D739A7" w:rsidRDefault="00CD6405" w:rsidP="007E58DA">
      <w:pPr>
        <w:pStyle w:val="Agency-body-text"/>
        <w:rPr>
          <w:bCs/>
        </w:rPr>
      </w:pPr>
      <w:r w:rsidRPr="00D739A7">
        <w:rPr>
          <w:bCs/>
        </w:rPr>
        <w:t xml:space="preserve">Data is available from </w:t>
      </w:r>
      <w:r w:rsidR="00D328AE" w:rsidRPr="00D739A7">
        <w:rPr>
          <w:bCs/>
        </w:rPr>
        <w:t xml:space="preserve">17 </w:t>
      </w:r>
      <w:r w:rsidRPr="00D739A7">
        <w:rPr>
          <w:bCs/>
        </w:rPr>
        <w:t>countries.</w:t>
      </w:r>
    </w:p>
    <w:p w14:paraId="0798A325" w14:textId="3A769AC4" w:rsidR="00CD6405" w:rsidRPr="00D739A7" w:rsidRDefault="00CD6405" w:rsidP="007E58DA">
      <w:pPr>
        <w:pStyle w:val="Agency-body-text"/>
      </w:pPr>
      <w:r w:rsidRPr="00D739A7">
        <w:t xml:space="preserve">The special </w:t>
      </w:r>
      <w:r w:rsidR="00D328AE" w:rsidRPr="00D739A7">
        <w:t>pre-</w:t>
      </w:r>
      <w:r w:rsidRPr="00D739A7">
        <w:t>school enrolment rates for boys range from 0.0</w:t>
      </w:r>
      <w:r w:rsidR="00D328AE" w:rsidRPr="00D739A7">
        <w:t>1</w:t>
      </w:r>
      <w:r w:rsidRPr="00D739A7">
        <w:t xml:space="preserve">% to </w:t>
      </w:r>
      <w:r w:rsidR="00D328AE" w:rsidRPr="00D739A7">
        <w:t>0.78</w:t>
      </w:r>
      <w:r w:rsidRPr="00D739A7">
        <w:t xml:space="preserve">%; the total average for the </w:t>
      </w:r>
      <w:r w:rsidR="00D328AE" w:rsidRPr="00D739A7">
        <w:t>17</w:t>
      </w:r>
      <w:r w:rsidRPr="00D739A7">
        <w:t xml:space="preserve"> countries is </w:t>
      </w:r>
      <w:r w:rsidR="00D328AE" w:rsidRPr="00D739A7">
        <w:t>0.31</w:t>
      </w:r>
      <w:r w:rsidRPr="00D739A7">
        <w:t>%.</w:t>
      </w:r>
    </w:p>
    <w:p w14:paraId="05B7886E" w14:textId="3BEE66CD" w:rsidR="00CD6405" w:rsidRPr="00D739A7" w:rsidRDefault="00CD6405" w:rsidP="007E58DA">
      <w:pPr>
        <w:pStyle w:val="Agency-body-text"/>
      </w:pPr>
      <w:r w:rsidRPr="00D739A7">
        <w:t xml:space="preserve">The special </w:t>
      </w:r>
      <w:r w:rsidR="00D328AE" w:rsidRPr="00D739A7">
        <w:t>pre-</w:t>
      </w:r>
      <w:r w:rsidRPr="00D739A7">
        <w:t>school enrolment rates for girls range from 0.0</w:t>
      </w:r>
      <w:r w:rsidR="00D328AE" w:rsidRPr="00D739A7">
        <w:t>0</w:t>
      </w:r>
      <w:r w:rsidRPr="00D739A7">
        <w:t xml:space="preserve">% to </w:t>
      </w:r>
      <w:r w:rsidR="00D328AE" w:rsidRPr="00D739A7">
        <w:t>0.43</w:t>
      </w:r>
      <w:r w:rsidRPr="00D739A7">
        <w:t xml:space="preserve">%; the total average for the </w:t>
      </w:r>
      <w:r w:rsidR="00D328AE" w:rsidRPr="00D739A7">
        <w:t>17</w:t>
      </w:r>
      <w:r w:rsidRPr="00D739A7">
        <w:t xml:space="preserve"> countries is 0.</w:t>
      </w:r>
      <w:r w:rsidR="00D328AE" w:rsidRPr="00D739A7">
        <w:t>16</w:t>
      </w:r>
      <w:r w:rsidRPr="00D739A7">
        <w:t>%.</w:t>
      </w:r>
    </w:p>
    <w:p w14:paraId="36A9120E" w14:textId="77777777" w:rsidR="000B65D5" w:rsidRPr="00D739A7" w:rsidRDefault="00D328AE" w:rsidP="004A29D9">
      <w:pPr>
        <w:keepNext/>
        <w:spacing w:before="120" w:after="120" w:line="240" w:lineRule="auto"/>
        <w:rPr>
          <w:lang w:val="en-GB"/>
        </w:rPr>
      </w:pPr>
      <w:r w:rsidRPr="00D739A7">
        <w:rPr>
          <w:rFonts w:ascii="Calibri" w:hAnsi="Calibri" w:cs="Calibri"/>
          <w:noProof/>
          <w:lang w:val="en-GB"/>
        </w:rPr>
        <w:drawing>
          <wp:inline distT="0" distB="0" distL="0" distR="0" wp14:anchorId="1DBBDD19" wp14:editId="0617A380">
            <wp:extent cx="3039110" cy="7492180"/>
            <wp:effectExtent l="0" t="0" r="8890" b="13970"/>
            <wp:docPr id="24" name="Diagram 24" descr="Belgium (Fl) &#10;Boys 0.52 &#10;Girls 0.21&#10;Bulgaria &#10;Boys 0.03 &#10;Girls 0.02&#10;Cyprus &#10;Boys 0.09 &#10;Girls 0.06&#10;Czech Republic &#10;Boys 0.68 &#10;Girls 0.36&#10;Estonia &#10;Boys 0.18 &#10;Girls 0.08&#10;France &#10;Boys 0.54 &#10;Girls 0.31&#10;Greece &#10;Boys 0.28 &#10;Girls 0.13&#10;Italy &#10;Boys 0.01 &#10;Girls 0.00  &#10;Lithuania &#10;Boys 0.59 &#10;Girls 0.26  &#10;Netherlands &#10;Boys 0.76 &#10;Girls 0.29&#10;Poland &#10;Boys 0.33 &#10;Girls 0.15&#10;Slovakia &#10;Boys 0.75 &#10;Girls 0.43&#10;Spain &#10;Boys 0.07 &#10;Girls 0.04&#10;Switzerland &#10;Boys 0.78 &#10;Girls 0.31&#10;UK (England) &#10;Boys 0.15 &#10;Girls 0.06&#10;UK (N. Ireland) &#10;Boys 0.27 &#10;Girls 0.10&#10;UK (Wales) &#10;Boys 0.23 &#10;Girls 0.09&#10;Total average (17) &#10;Boys 0.31 &#10;Girls 0.16">
              <a:extLst xmlns:a="http://schemas.openxmlformats.org/drawingml/2006/main">
                <a:ext uri="{FF2B5EF4-FFF2-40B4-BE49-F238E27FC236}">
                  <a16:creationId xmlns:a16="http://schemas.microsoft.com/office/drawing/2014/main" id="{E9957701-7F54-47C1-AEB7-5829CB10F8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295D680" w14:textId="51FDDCBE" w:rsidR="00CD6405" w:rsidRPr="00D739A7" w:rsidRDefault="000B65D5" w:rsidP="005309A4">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15</w:t>
      </w:r>
      <w:r w:rsidRPr="00D739A7">
        <w:rPr>
          <w:b w:val="0"/>
          <w:bCs w:val="0"/>
        </w:rPr>
        <w:fldChar w:fldCharType="end"/>
      </w:r>
      <w:r w:rsidR="00CD6405" w:rsidRPr="00D739A7">
        <w:t xml:space="preserve">. Gender breakdown of children with an official decision of SEN in special </w:t>
      </w:r>
      <w:r w:rsidR="00D328AE" w:rsidRPr="00D739A7">
        <w:t>pre-</w:t>
      </w:r>
      <w:r w:rsidR="00CD6405" w:rsidRPr="00D739A7">
        <w:t>schools, based on the enrolled pre-primary population (%)</w:t>
      </w:r>
    </w:p>
    <w:p w14:paraId="0952C897" w14:textId="77777777" w:rsidR="00CD6405" w:rsidRPr="00D739A7" w:rsidRDefault="00CD6405">
      <w:pPr>
        <w:pStyle w:val="Agency-caption-report"/>
        <w:rPr>
          <w:rFonts w:cs="Calibri"/>
        </w:rPr>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47E60566" w14:textId="1DA0649C" w:rsidR="00CD6405" w:rsidRPr="00D739A7" w:rsidRDefault="00CD6405" w:rsidP="007E58DA">
      <w:pPr>
        <w:pStyle w:val="Agency-heading-4-report"/>
        <w:sectPr w:rsidR="00CD6405" w:rsidRPr="00D739A7" w:rsidSect="00751B98">
          <w:pgSz w:w="11899" w:h="16838"/>
          <w:pgMar w:top="1134" w:right="1551" w:bottom="1276" w:left="1418" w:header="709" w:footer="709" w:gutter="0"/>
          <w:cols w:space="710"/>
          <w:docGrid w:linePitch="360"/>
        </w:sectPr>
      </w:pPr>
      <w:r w:rsidRPr="00D739A7">
        <w:lastRenderedPageBreak/>
        <w:t xml:space="preserve">Gender distribution of children with an official decision of SEN in special </w:t>
      </w:r>
      <w:r w:rsidR="00D328AE" w:rsidRPr="00D739A7">
        <w:t>pre-</w:t>
      </w:r>
      <w:r w:rsidRPr="00D739A7">
        <w:t>schools, based on the enrolled pre-primary population (%)</w:t>
      </w:r>
    </w:p>
    <w:p w14:paraId="5E69EAE7" w14:textId="77777777" w:rsidR="00CD6405" w:rsidRPr="00D739A7" w:rsidRDefault="00CD6405" w:rsidP="007E58DA">
      <w:pPr>
        <w:pStyle w:val="Agency-body-text"/>
      </w:pPr>
      <w:r w:rsidRPr="00D739A7">
        <w:t>The gender distributions have been calculated as follows:</w:t>
      </w:r>
    </w:p>
    <w:p w14:paraId="359F208A" w14:textId="73A436E9" w:rsidR="00CD6405" w:rsidRPr="00D739A7" w:rsidRDefault="00EF3C3C" w:rsidP="007E58DA">
      <w:pPr>
        <w:pStyle w:val="Agency-body-text"/>
      </w:pPr>
      <w:r w:rsidRPr="00D739A7">
        <w:t>Boys</w:t>
      </w:r>
      <w:r w:rsidR="00CD6405" w:rsidRPr="00D739A7">
        <w:t xml:space="preserve">: The number of boys with an official decision of SEN who are educated in separate special pre-schools (Q3.4) / The number of children with an official decision of SEN who are educated in separate </w:t>
      </w:r>
      <w:r w:rsidR="001D7A50" w:rsidRPr="00D739A7">
        <w:t xml:space="preserve">special </w:t>
      </w:r>
      <w:r w:rsidR="00D328AE" w:rsidRPr="00D739A7">
        <w:t>pre-</w:t>
      </w:r>
      <w:r w:rsidR="00CD6405" w:rsidRPr="00D739A7">
        <w:t>schools (Q3.4) x 100.</w:t>
      </w:r>
    </w:p>
    <w:p w14:paraId="6FEE79CB" w14:textId="7DDB84F2" w:rsidR="00CD6405" w:rsidRPr="00D739A7" w:rsidRDefault="00EF3C3C" w:rsidP="007E58DA">
      <w:pPr>
        <w:pStyle w:val="Agency-body-text"/>
      </w:pPr>
      <w:r w:rsidRPr="00D739A7">
        <w:t>Girls</w:t>
      </w:r>
      <w:r w:rsidR="00CD6405" w:rsidRPr="00D739A7">
        <w:t xml:space="preserve">: The number of girls with an official decision of SEN who are educated in separate special pre-schools (Q3.4) / The number of children with an official decision of SEN who are educated in separate special </w:t>
      </w:r>
      <w:r w:rsidR="00D328AE" w:rsidRPr="00D739A7">
        <w:t>pre-</w:t>
      </w:r>
      <w:r w:rsidR="00CD6405" w:rsidRPr="00D739A7">
        <w:t>schools (Q3.4) x 100.</w:t>
      </w:r>
    </w:p>
    <w:p w14:paraId="2AC34EBE" w14:textId="1FC95221" w:rsidR="00CD6405" w:rsidRPr="00D739A7" w:rsidRDefault="00CD6405" w:rsidP="007E58DA">
      <w:pPr>
        <w:pStyle w:val="Agency-body-text"/>
        <w:rPr>
          <w:bCs/>
        </w:rPr>
      </w:pPr>
      <w:r w:rsidRPr="00D739A7">
        <w:rPr>
          <w:bCs/>
        </w:rPr>
        <w:t xml:space="preserve">Data is available from </w:t>
      </w:r>
      <w:r w:rsidR="00D328AE" w:rsidRPr="00D739A7">
        <w:rPr>
          <w:bCs/>
        </w:rPr>
        <w:t>17</w:t>
      </w:r>
      <w:r w:rsidRPr="00D739A7">
        <w:rPr>
          <w:bCs/>
        </w:rPr>
        <w:t xml:space="preserve"> countries.</w:t>
      </w:r>
    </w:p>
    <w:p w14:paraId="21B09B61" w14:textId="1BC5C239" w:rsidR="00CD6405" w:rsidRPr="00D739A7" w:rsidRDefault="00CD6405" w:rsidP="007E58DA">
      <w:pPr>
        <w:pStyle w:val="Agency-body-text"/>
      </w:pPr>
      <w:r w:rsidRPr="00D739A7">
        <w:rPr>
          <w:bCs/>
        </w:rPr>
        <w:t xml:space="preserve">The proportion of boys with an official decision of SEN in special </w:t>
      </w:r>
      <w:r w:rsidR="00D328AE" w:rsidRPr="00D739A7">
        <w:rPr>
          <w:bCs/>
        </w:rPr>
        <w:t>pre-schools</w:t>
      </w:r>
      <w:r w:rsidRPr="00D739A7">
        <w:rPr>
          <w:bCs/>
        </w:rPr>
        <w:t xml:space="preserve"> ranges from </w:t>
      </w:r>
      <w:r w:rsidR="00D328AE" w:rsidRPr="00D739A7">
        <w:rPr>
          <w:bCs/>
        </w:rPr>
        <w:t>60.00</w:t>
      </w:r>
      <w:r w:rsidRPr="00D739A7">
        <w:t>% to 7</w:t>
      </w:r>
      <w:r w:rsidR="00D328AE" w:rsidRPr="00D739A7">
        <w:t>2.33</w:t>
      </w:r>
      <w:r w:rsidRPr="00D739A7">
        <w:t xml:space="preserve">%; the total average for the </w:t>
      </w:r>
      <w:r w:rsidR="00D328AE" w:rsidRPr="00D739A7">
        <w:t>17</w:t>
      </w:r>
      <w:r w:rsidRPr="00D739A7">
        <w:t xml:space="preserve"> countries is </w:t>
      </w:r>
      <w:r w:rsidR="009B2A44">
        <w:t>66.18</w:t>
      </w:r>
      <w:r w:rsidRPr="00D739A7">
        <w:t>%.</w:t>
      </w:r>
    </w:p>
    <w:p w14:paraId="0F458F3D" w14:textId="27DA5997" w:rsidR="00CD6405" w:rsidRPr="00D739A7" w:rsidRDefault="00CD6405" w:rsidP="007E58DA">
      <w:pPr>
        <w:pStyle w:val="Agency-body-text"/>
      </w:pPr>
      <w:r w:rsidRPr="00D739A7">
        <w:t xml:space="preserve">The proportion of girls with an official decision of SEN in special </w:t>
      </w:r>
      <w:r w:rsidR="00D328AE" w:rsidRPr="00D739A7">
        <w:t>pre-schools</w:t>
      </w:r>
      <w:r w:rsidRPr="00D739A7">
        <w:t xml:space="preserve"> ranges from 2</w:t>
      </w:r>
      <w:r w:rsidR="00D328AE" w:rsidRPr="00D739A7">
        <w:t>7.67</w:t>
      </w:r>
      <w:r w:rsidRPr="00D739A7">
        <w:t>% to 4</w:t>
      </w:r>
      <w:r w:rsidR="00D328AE" w:rsidRPr="00D739A7">
        <w:t>0.00</w:t>
      </w:r>
      <w:r w:rsidRPr="00D739A7">
        <w:t xml:space="preserve">%; the total average for the </w:t>
      </w:r>
      <w:r w:rsidR="00D328AE" w:rsidRPr="00D739A7">
        <w:t>17</w:t>
      </w:r>
      <w:r w:rsidRPr="00D739A7">
        <w:t xml:space="preserve"> countries is </w:t>
      </w:r>
      <w:r w:rsidR="009B2A44">
        <w:t>33.82</w:t>
      </w:r>
      <w:r w:rsidRPr="00D739A7">
        <w:t>%.</w:t>
      </w:r>
    </w:p>
    <w:p w14:paraId="11E863CC" w14:textId="77777777" w:rsidR="001D7A50" w:rsidRPr="00D739A7" w:rsidRDefault="00D328AE" w:rsidP="004A29D9">
      <w:pPr>
        <w:keepNext/>
        <w:spacing w:before="120" w:after="120" w:line="240" w:lineRule="auto"/>
        <w:rPr>
          <w:lang w:val="en-GB"/>
        </w:rPr>
      </w:pPr>
      <w:r w:rsidRPr="00D739A7">
        <w:rPr>
          <w:rFonts w:ascii="Calibri" w:hAnsi="Calibri" w:cs="Calibri"/>
          <w:noProof/>
          <w:lang w:val="en-GB"/>
        </w:rPr>
        <w:drawing>
          <wp:inline distT="0" distB="0" distL="0" distR="0" wp14:anchorId="20F8B342" wp14:editId="0F37DA74">
            <wp:extent cx="3056255" cy="7570838"/>
            <wp:effectExtent l="0" t="0" r="17145" b="11430"/>
            <wp:docPr id="25" name="Diagram 25" descr="Belgium (Fl) &#10;Boys 71.63 &#10;Girls 28.37&#10;Bulgaria &#10;Boys 60.71 &#10;Girls 39.29&#10;Cyprus &#10;Boys 60.00 &#10;Girls 40.00&#10;Czech Republic &#10;Boys 65.54 &#10;Girls 34.46&#10;Estonia &#10;Boys 69.92 &#10;Girls 30.08&#10;France &#10;Boys 63.76 &#10;Girls 36.24&#10;Greece &#10;Boys 68.50 &#10;Girls 31.50&#10;Italy 68.82 &#10;Girls 31.18  &#10;Lithuania &#10;Boys 69.69 &#10;Girls 30.31  &#10;Netherlands &#10;Boys 72.33 &#10;Girls 27.67&#10;Poland &#10;Boys 68.68 &#10;Girls 31.32&#10;Slovakia &#10;Boys 63.66 &#10;Girls 36.34&#10;Spain &#10;Boys 62.54 &#10;Girls 37.46&#10;Switzerland &#10;Boys 71.19 &#10;Girls 28.81&#10;UK (England) &#10;Boys 69.62 &#10;Girls 30.38&#10;UK (N. Ireland) &#10;Boys 71.91 &#10;Girls 28.09&#10;UK (Wales) &#10;Boys 71.63 &#10;Girls 28.37&#10;Total average (17) &#10;Boys 66.18 &#10;Girls 33.82">
              <a:extLst xmlns:a="http://schemas.openxmlformats.org/drawingml/2006/main">
                <a:ext uri="{FF2B5EF4-FFF2-40B4-BE49-F238E27FC236}">
                  <a16:creationId xmlns:a16="http://schemas.microsoft.com/office/drawing/2014/main" id="{CCA2EE87-FDBE-4CCF-A416-0BE3A5E70E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5344395" w14:textId="4E43B8A8" w:rsidR="00CD6405" w:rsidRPr="00D739A7" w:rsidRDefault="001D7A50" w:rsidP="005309A4">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16</w:t>
      </w:r>
      <w:r w:rsidRPr="00D739A7">
        <w:rPr>
          <w:b w:val="0"/>
          <w:bCs w:val="0"/>
        </w:rPr>
        <w:fldChar w:fldCharType="end"/>
      </w:r>
      <w:r w:rsidR="00CD6405" w:rsidRPr="00D739A7">
        <w:t xml:space="preserve">. Gender distribution of children with an official decision of SEN in special </w:t>
      </w:r>
      <w:r w:rsidR="00D328AE" w:rsidRPr="00D739A7">
        <w:t>pre-</w:t>
      </w:r>
      <w:r w:rsidR="00CD6405" w:rsidRPr="00D739A7">
        <w:t>schools, based on the enrolled pre-primary population (%)</w:t>
      </w:r>
    </w:p>
    <w:p w14:paraId="611179E0" w14:textId="77777777" w:rsidR="00CD6405" w:rsidRPr="00D739A7" w:rsidRDefault="00CD6405" w:rsidP="007E58DA">
      <w:pPr>
        <w:pStyle w:val="Agency-caption-report"/>
        <w:rPr>
          <w:rFonts w:cs="Calibri"/>
        </w:rPr>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4FF4457D" w14:textId="2164E270" w:rsidR="00CD6405" w:rsidRPr="00D739A7" w:rsidRDefault="00436B97" w:rsidP="007E58DA">
      <w:pPr>
        <w:pStyle w:val="Agency-heading-3-report"/>
        <w:sectPr w:rsidR="00CD6405" w:rsidRPr="00D739A7" w:rsidSect="00751B98">
          <w:type w:val="continuous"/>
          <w:pgSz w:w="11899" w:h="16838"/>
          <w:pgMar w:top="1134" w:right="1551" w:bottom="1276" w:left="1418" w:header="709" w:footer="709" w:gutter="0"/>
          <w:cols w:space="710"/>
          <w:docGrid w:linePitch="360"/>
        </w:sectPr>
      </w:pPr>
      <w:bookmarkStart w:id="37" w:name="_Toc35943031"/>
      <w:r w:rsidRPr="00D739A7">
        <w:lastRenderedPageBreak/>
        <w:t>Indicator </w:t>
      </w:r>
      <w:r w:rsidR="00903978" w:rsidRPr="00D739A7">
        <w:t>1.</w:t>
      </w:r>
      <w:r w:rsidRPr="00D739A7">
        <w:t>3</w:t>
      </w:r>
      <w:r w:rsidR="00CD6405" w:rsidRPr="00D739A7">
        <w:t>b.5: the percentage of children with an official decision of SEN in fully separate educational settings, based on the enrolled pre-primary population (%)</w:t>
      </w:r>
      <w:bookmarkEnd w:id="37"/>
    </w:p>
    <w:p w14:paraId="691AA486" w14:textId="54C10AFF" w:rsidR="00CD6405" w:rsidRPr="00D739A7" w:rsidRDefault="00CD6405" w:rsidP="007E58DA">
      <w:pPr>
        <w:pStyle w:val="Agency-body-text"/>
        <w:rPr>
          <w:bCs/>
        </w:rPr>
      </w:pPr>
      <w:r w:rsidRPr="00D739A7">
        <w:t>The data focuses on children with an official decision of SEN</w:t>
      </w:r>
      <w:r w:rsidR="00325F71" w:rsidRPr="00D739A7">
        <w:t>,</w:t>
      </w:r>
      <w:r w:rsidRPr="00D739A7">
        <w:t xml:space="preserve"> in line with the EASIE operational definition, who are enrolled in fully separate educational settings, i.e. special classes and special schools</w:t>
      </w:r>
      <w:r w:rsidR="00325F71" w:rsidRPr="00D739A7">
        <w:t>,</w:t>
      </w:r>
      <w:r w:rsidRPr="00D739A7">
        <w:t xml:space="preserve"> </w:t>
      </w:r>
      <w:r w:rsidRPr="00D739A7">
        <w:rPr>
          <w:bCs/>
        </w:rPr>
        <w:t>in line with the 80% placement benchmark (or the most relevant proxy for this benchmark).</w:t>
      </w:r>
    </w:p>
    <w:p w14:paraId="3E2699E6" w14:textId="77777777" w:rsidR="00CD6405" w:rsidRPr="00D739A7" w:rsidRDefault="00CD6405" w:rsidP="007E58DA">
      <w:pPr>
        <w:pStyle w:val="Agency-body-text"/>
      </w:pPr>
      <w:r w:rsidRPr="00D739A7">
        <w:t>This indicator has been calculated as follows: The number of children with an official decision of SEN who are educated in separate special groups in mainstream educational settings (Q3.3) + The number of children with an official decision of SEN who are educated in separate special pre-schools (Q3.4) / The number of children who are enrolled in all formal educational settings (Q1.2) x 100.</w:t>
      </w:r>
    </w:p>
    <w:p w14:paraId="69EAD1A3" w14:textId="5577E55D" w:rsidR="00CD6405" w:rsidRPr="00D739A7" w:rsidRDefault="00CD6405" w:rsidP="007E58DA">
      <w:pPr>
        <w:pStyle w:val="Agency-body-text"/>
      </w:pPr>
      <w:r w:rsidRPr="00D739A7">
        <w:t xml:space="preserve">Data is available from </w:t>
      </w:r>
      <w:r w:rsidR="00496739" w:rsidRPr="00D739A7">
        <w:t>1</w:t>
      </w:r>
      <w:r w:rsidRPr="00D739A7">
        <w:t>4 countries.</w:t>
      </w:r>
    </w:p>
    <w:p w14:paraId="77866F75" w14:textId="6FC15314" w:rsidR="00CD6405" w:rsidRPr="00D739A7" w:rsidRDefault="00CD6405" w:rsidP="007E58DA">
      <w:pPr>
        <w:pStyle w:val="Agency-body-text"/>
      </w:pPr>
      <w:r w:rsidRPr="00D739A7">
        <w:t>The fully separate enrolment rates for children with an official decision of SEN range from 0.</w:t>
      </w:r>
      <w:r w:rsidR="00496739" w:rsidRPr="00D739A7">
        <w:t>1</w:t>
      </w:r>
      <w:r w:rsidRPr="00D739A7">
        <w:t>5% to 5.</w:t>
      </w:r>
      <w:r w:rsidR="00496739" w:rsidRPr="00D739A7">
        <w:t>99</w:t>
      </w:r>
      <w:r w:rsidRPr="00D739A7">
        <w:t xml:space="preserve">%; the total average for the </w:t>
      </w:r>
      <w:r w:rsidR="00496739" w:rsidRPr="00D739A7">
        <w:t>1</w:t>
      </w:r>
      <w:r w:rsidRPr="00D739A7">
        <w:t xml:space="preserve">4 countries is </w:t>
      </w:r>
      <w:r w:rsidR="00496739" w:rsidRPr="00D739A7">
        <w:t>0.86</w:t>
      </w:r>
      <w:r w:rsidRPr="00D739A7">
        <w:t>%.</w:t>
      </w:r>
    </w:p>
    <w:p w14:paraId="0FF5DEA4" w14:textId="77777777" w:rsidR="00325F71" w:rsidRPr="00D739A7" w:rsidRDefault="00496739" w:rsidP="004A29D9">
      <w:pPr>
        <w:keepNext/>
        <w:spacing w:before="120" w:after="120" w:line="240" w:lineRule="auto"/>
        <w:rPr>
          <w:lang w:val="en-GB"/>
        </w:rPr>
      </w:pPr>
      <w:r w:rsidRPr="00D739A7">
        <w:rPr>
          <w:rFonts w:ascii="Calibri" w:hAnsi="Calibri" w:cs="Calibri"/>
          <w:noProof/>
          <w:lang w:val="en-GB"/>
        </w:rPr>
        <w:drawing>
          <wp:inline distT="0" distB="0" distL="0" distR="0" wp14:anchorId="0410B6A7" wp14:editId="04D8677E">
            <wp:extent cx="3056255" cy="7216877"/>
            <wp:effectExtent l="0" t="0" r="17145" b="9525"/>
            <wp:docPr id="27" name="Diagram 27" descr="Bulgaria 0.28&#10;Cyprus 0.58&#10;Czech Republic 3.35&#10;Estonia 2.37&#10;France 1.07&#10;Greece 0.42&#10;Latvia 5.99&#10;Lithuania 1.67&#10;Luxembourg 0.67&#10;Poland 0.57&#10;Slovakia 1.38&#10;Spain 0.15&#10;Switzerland 1.12&#10;UK (England) 0.23&#10;Total average (14) 0.86">
              <a:extLst xmlns:a="http://schemas.openxmlformats.org/drawingml/2006/main">
                <a:ext uri="{FF2B5EF4-FFF2-40B4-BE49-F238E27FC236}">
                  <a16:creationId xmlns:a16="http://schemas.microsoft.com/office/drawing/2014/main" id="{00479737-5C6A-4C32-A4D5-10C59C5559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CC5A4E9" w14:textId="4D7EFC40" w:rsidR="00CD6405" w:rsidRPr="00D739A7" w:rsidRDefault="00325F71" w:rsidP="005309A4">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17</w:t>
      </w:r>
      <w:r w:rsidRPr="00D739A7">
        <w:rPr>
          <w:b w:val="0"/>
          <w:bCs w:val="0"/>
        </w:rPr>
        <w:fldChar w:fldCharType="end"/>
      </w:r>
      <w:r w:rsidR="00CD6405" w:rsidRPr="00D739A7">
        <w:t>. Percentage of children with an official decision of SEN in fully separate educational settings, based on the enrolled pre-primary population (%)</w:t>
      </w:r>
    </w:p>
    <w:p w14:paraId="35544EE5" w14:textId="77777777" w:rsidR="00CD6405" w:rsidRPr="00D739A7" w:rsidRDefault="00CD6405" w:rsidP="00CD6405">
      <w:pPr>
        <w:keepNext/>
        <w:spacing w:before="240" w:after="240" w:line="240" w:lineRule="auto"/>
        <w:rPr>
          <w:rFonts w:ascii="Calibri" w:eastAsia="Times New Roman" w:hAnsi="Calibri" w:cs="Calibri"/>
          <w:b/>
          <w:bCs/>
          <w:color w:val="000000"/>
          <w:szCs w:val="18"/>
          <w:lang w:val="en-GB"/>
        </w:rPr>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7E636F45" w14:textId="77777777" w:rsidR="00CD6405" w:rsidRPr="00D739A7" w:rsidRDefault="00CD6405" w:rsidP="007E58DA">
      <w:pPr>
        <w:pStyle w:val="Agency-heading-4-report"/>
      </w:pPr>
      <w:r w:rsidRPr="00D739A7">
        <w:lastRenderedPageBreak/>
        <w:t>Gender breakdown of children with an official decision of SEN in fully separate educational settings, based on the enrolled pre-primary population (%)</w:t>
      </w:r>
    </w:p>
    <w:p w14:paraId="47B0A03A"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5DFFBC24" w14:textId="77777777" w:rsidR="00CD6405" w:rsidRPr="00D739A7" w:rsidRDefault="00CD6405" w:rsidP="007E58DA">
      <w:pPr>
        <w:pStyle w:val="Agency-body-text"/>
      </w:pPr>
      <w:r w:rsidRPr="00D739A7">
        <w:t>The gender breakdowns have been calculated as follows:</w:t>
      </w:r>
    </w:p>
    <w:p w14:paraId="36E1A093" w14:textId="77777777" w:rsidR="00CD6405" w:rsidRPr="00D739A7" w:rsidRDefault="00CD6405" w:rsidP="007E58DA">
      <w:pPr>
        <w:pStyle w:val="Agency-body-text"/>
      </w:pPr>
      <w:r w:rsidRPr="00D739A7">
        <w:t>Boys: The number of boys with an official decision of SEN who are educated in separate special groups in mainstream educational settings (Q3.3) + The number of boys with an official decision of SEN who are educated in separate special pre-schools (Q3.4) / The number of children who are enrolled in all formal educational settings (Q1.2) x 100.</w:t>
      </w:r>
    </w:p>
    <w:p w14:paraId="08D9E5AC" w14:textId="77777777" w:rsidR="00CD6405" w:rsidRPr="00D739A7" w:rsidRDefault="00CD6405" w:rsidP="007E58DA">
      <w:pPr>
        <w:pStyle w:val="Agency-body-text"/>
      </w:pPr>
      <w:r w:rsidRPr="00D739A7">
        <w:t>Girls: The number of girls with an official decision of SEN who are educated in separate special groups in mainstream educational settings (Q3.3) + The number of girls with an official decision of SEN who are educated in separate special pre-schools (Q3.4) / The number of children who are enrolled in all formal educational settings (Q1.2) x 100.</w:t>
      </w:r>
    </w:p>
    <w:p w14:paraId="2A4CA8CA" w14:textId="4F6D51DD" w:rsidR="00CD6405" w:rsidRPr="00D739A7" w:rsidRDefault="00CD6405" w:rsidP="007E58DA">
      <w:pPr>
        <w:pStyle w:val="Agency-body-text"/>
        <w:rPr>
          <w:bCs/>
        </w:rPr>
      </w:pPr>
      <w:r w:rsidRPr="00D739A7">
        <w:rPr>
          <w:bCs/>
        </w:rPr>
        <w:t>Data is available from 1</w:t>
      </w:r>
      <w:r w:rsidR="00496739" w:rsidRPr="00D739A7">
        <w:rPr>
          <w:bCs/>
        </w:rPr>
        <w:t>2</w:t>
      </w:r>
      <w:r w:rsidRPr="00D739A7">
        <w:rPr>
          <w:bCs/>
        </w:rPr>
        <w:t xml:space="preserve"> countries.</w:t>
      </w:r>
    </w:p>
    <w:p w14:paraId="59F414CA" w14:textId="717B49C4" w:rsidR="00CD6405" w:rsidRPr="00D739A7" w:rsidRDefault="00CD6405" w:rsidP="007E58DA">
      <w:pPr>
        <w:pStyle w:val="Agency-body-text"/>
      </w:pPr>
      <w:r w:rsidRPr="00D739A7">
        <w:t>The fully separate placement enrolment rates for boys with an official decision of SEN range from 0.</w:t>
      </w:r>
      <w:r w:rsidR="00496739" w:rsidRPr="00D739A7">
        <w:t>10</w:t>
      </w:r>
      <w:r w:rsidRPr="00D739A7">
        <w:t xml:space="preserve">% to </w:t>
      </w:r>
      <w:r w:rsidR="00496739" w:rsidRPr="00D739A7">
        <w:t>2.19</w:t>
      </w:r>
      <w:r w:rsidRPr="00D739A7">
        <w:t>%; the total average for the 1</w:t>
      </w:r>
      <w:r w:rsidR="00496739" w:rsidRPr="00D739A7">
        <w:t>2</w:t>
      </w:r>
      <w:r w:rsidRPr="00D739A7">
        <w:t xml:space="preserve"> countries is </w:t>
      </w:r>
      <w:r w:rsidR="00496739" w:rsidRPr="00D739A7">
        <w:t>0.52</w:t>
      </w:r>
      <w:r w:rsidRPr="00D739A7">
        <w:t>%.</w:t>
      </w:r>
    </w:p>
    <w:p w14:paraId="03CE6732" w14:textId="354F9664" w:rsidR="00CD6405" w:rsidRPr="00D739A7" w:rsidRDefault="00CD6405" w:rsidP="007E58DA">
      <w:pPr>
        <w:pStyle w:val="Agency-body-text"/>
      </w:pPr>
      <w:r w:rsidRPr="00D739A7">
        <w:t>The fully separate placement enrolment rates for girls with an official decision of SEN range from 0.</w:t>
      </w:r>
      <w:r w:rsidR="00496739" w:rsidRPr="00D739A7">
        <w:t>06</w:t>
      </w:r>
      <w:r w:rsidRPr="00D739A7">
        <w:t xml:space="preserve">% to </w:t>
      </w:r>
      <w:r w:rsidR="00496739" w:rsidRPr="00D739A7">
        <w:t>1.16</w:t>
      </w:r>
      <w:r w:rsidRPr="00D739A7">
        <w:t>%; the total average for the 1</w:t>
      </w:r>
      <w:r w:rsidR="00496739" w:rsidRPr="00D739A7">
        <w:t>2</w:t>
      </w:r>
      <w:r w:rsidRPr="00D739A7">
        <w:t xml:space="preserve"> countries is 0.</w:t>
      </w:r>
      <w:r w:rsidR="00496739" w:rsidRPr="00D739A7">
        <w:t>27</w:t>
      </w:r>
      <w:r w:rsidRPr="00D739A7">
        <w:t>%.</w:t>
      </w:r>
    </w:p>
    <w:p w14:paraId="72A21888" w14:textId="77777777" w:rsidR="005309A4" w:rsidRPr="00D739A7" w:rsidRDefault="00496739" w:rsidP="004A29D9">
      <w:pPr>
        <w:keepNext/>
        <w:spacing w:before="120" w:after="120" w:line="240" w:lineRule="auto"/>
        <w:rPr>
          <w:lang w:val="en-GB"/>
        </w:rPr>
      </w:pPr>
      <w:r w:rsidRPr="00D739A7">
        <w:rPr>
          <w:rFonts w:ascii="Calibri" w:hAnsi="Calibri" w:cs="Calibri"/>
          <w:noProof/>
          <w:lang w:val="en-GB"/>
        </w:rPr>
        <w:drawing>
          <wp:inline distT="0" distB="0" distL="0" distR="0" wp14:anchorId="68A3183A" wp14:editId="712B30CC">
            <wp:extent cx="3056255" cy="7344696"/>
            <wp:effectExtent l="0" t="0" r="17145" b="8890"/>
            <wp:docPr id="28" name="Diagram 28" descr="Bulgaria &#10;Boys 0.17 &#10;Girls 0.10&#10;Cyprus &#10;Boys 0.42 &#10;Girls 0.16&#10;Czech Republic &#10;Boys 2.19 &#10;Girls 1.16&#10;Estonia &#10;Boys 1.71 &#10;Girls 0.65&#10;France &#10;Boys 0.69 &#10;Girls 0.39&#10;Greece &#10;Boys 0.29 &#10;Girls 0.13  &#10;Lithuania &#10;Boys 1.16 &#10;Girls 0.51  &#10;Poland &#10;Boys 0.40 &#10;Girls 0.18&#10;Slovakia &#10;Boys 0.89 &#10;Girls 0.49&#10;Spain &#10;Boys 0.10 &#10;Girls 0.06&#10;Switzerland &#10;Boys 0.79 &#10;Girls 0.33&#10;UK (England) &#10;Boys 0.16 &#10;Girls 0.07&#10;Total average (12) &#10;Boys 0.53&#10;Girls 0.28">
              <a:extLst xmlns:a="http://schemas.openxmlformats.org/drawingml/2006/main">
                <a:ext uri="{FF2B5EF4-FFF2-40B4-BE49-F238E27FC236}">
                  <a16:creationId xmlns:a16="http://schemas.microsoft.com/office/drawing/2014/main" id="{D01A6F50-2A49-4E67-B0A8-E40D3DBC66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C52D547" w14:textId="6BD70AD5" w:rsidR="00CD6405" w:rsidRPr="00D739A7" w:rsidRDefault="005309A4" w:rsidP="005309A4">
      <w:pPr>
        <w:pStyle w:val="Agency-caption-report"/>
      </w:pPr>
      <w:r w:rsidRPr="00D739A7">
        <w:t xml:space="preserve">Figure </w:t>
      </w:r>
      <w:r w:rsidRPr="00D739A7">
        <w:rPr>
          <w:i/>
          <w:iCs/>
        </w:rPr>
        <w:fldChar w:fldCharType="begin"/>
      </w:r>
      <w:r w:rsidRPr="00D739A7">
        <w:instrText xml:space="preserve"> SEQ Figure \* ARABIC </w:instrText>
      </w:r>
      <w:r w:rsidRPr="00D739A7">
        <w:rPr>
          <w:i/>
          <w:iCs/>
        </w:rPr>
        <w:fldChar w:fldCharType="separate"/>
      </w:r>
      <w:r w:rsidR="00B54F4E" w:rsidRPr="00D739A7">
        <w:t>18</w:t>
      </w:r>
      <w:r w:rsidRPr="00D739A7">
        <w:rPr>
          <w:i/>
          <w:iCs/>
        </w:rPr>
        <w:fldChar w:fldCharType="end"/>
      </w:r>
      <w:r w:rsidR="00CD6405" w:rsidRPr="00D739A7">
        <w:t>. Gender breakdown of children with an official decision of SEN in fully separate educational settings, based on the enrolled pre-primary population (%)</w:t>
      </w:r>
    </w:p>
    <w:p w14:paraId="10CCEEBF" w14:textId="77777777" w:rsidR="00CD6405" w:rsidRPr="00D739A7" w:rsidRDefault="00CD6405" w:rsidP="007E58DA">
      <w:pPr>
        <w:pStyle w:val="Agency-caption-report"/>
        <w:rPr>
          <w:rFonts w:cs="Calibri"/>
        </w:rPr>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20EFC2DF" w14:textId="77777777" w:rsidR="00CD6405" w:rsidRPr="00D739A7" w:rsidRDefault="00CD6405" w:rsidP="007E58DA">
      <w:pPr>
        <w:pStyle w:val="Agency-heading-4-report"/>
      </w:pPr>
      <w:r w:rsidRPr="00D739A7">
        <w:lastRenderedPageBreak/>
        <w:t>Gender distribution of children with an official decision of SEN in fully separate educational settings, based on the enrolled pre-primary population (%)</w:t>
      </w:r>
    </w:p>
    <w:p w14:paraId="2913A24E"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71465423" w14:textId="77777777" w:rsidR="00CD6405" w:rsidRPr="00D739A7" w:rsidRDefault="00CD6405" w:rsidP="007E58DA">
      <w:pPr>
        <w:pStyle w:val="Agency-body-text"/>
      </w:pPr>
      <w:r w:rsidRPr="00D739A7">
        <w:t>The gender distributions have been calculated as follows:</w:t>
      </w:r>
    </w:p>
    <w:p w14:paraId="3216BFB2" w14:textId="6988454D" w:rsidR="00CD6405" w:rsidRPr="00D739A7" w:rsidRDefault="00EF3C3C" w:rsidP="007E58DA">
      <w:pPr>
        <w:pStyle w:val="Agency-body-text"/>
      </w:pPr>
      <w:r w:rsidRPr="00D739A7">
        <w:t>Boys</w:t>
      </w:r>
      <w:r w:rsidR="00CD6405" w:rsidRPr="00D739A7">
        <w:t>: The number of boys with an official decision of SEN who are educated in separate special groups in mainstream educational settings (Q3.3) + The number of boys with an official decision of SEN who are educated in separate special pre-schools (Q3.4) / The number of children with an official decision of SEN who are educated in separate special groups in mainstream educational settings (Q3.3) + The number of children with an official decision of SEN who are educated in separate special pre</w:t>
      </w:r>
      <w:r w:rsidR="005309A4" w:rsidRPr="00D739A7">
        <w:noBreakHyphen/>
      </w:r>
      <w:r w:rsidR="00CD6405" w:rsidRPr="00D739A7">
        <w:t>schools (Q3.4) x 100.</w:t>
      </w:r>
    </w:p>
    <w:p w14:paraId="2DC4E89B" w14:textId="2BD791E3" w:rsidR="00CD6405" w:rsidRPr="00D739A7" w:rsidRDefault="00EF3C3C" w:rsidP="007E58DA">
      <w:pPr>
        <w:pStyle w:val="Agency-body-text"/>
      </w:pPr>
      <w:r w:rsidRPr="00D739A7">
        <w:t>Girls</w:t>
      </w:r>
      <w:r w:rsidR="00CD6405" w:rsidRPr="00D739A7">
        <w:t>: The number of girls with an official decision of SEN who are educated in separate special groups in mainstream educational settings (Q3.3) + The number of girls with an official decision of SEN who are educated in separate special pre-schools (Q3.4) / The number of children with an official decision of SEN who are educated in separate special groups in mainstream educational settings (Q3.3) + The number of children with an official decision of SEN who are educated in separate special pre</w:t>
      </w:r>
      <w:r w:rsidR="005309A4" w:rsidRPr="00D739A7">
        <w:noBreakHyphen/>
      </w:r>
      <w:r w:rsidR="00CD6405" w:rsidRPr="00D739A7">
        <w:t>schools (Q3.4) x 100.</w:t>
      </w:r>
    </w:p>
    <w:p w14:paraId="761C4D16" w14:textId="66CE6A5C" w:rsidR="00CD6405" w:rsidRPr="00D739A7" w:rsidRDefault="00CD6405" w:rsidP="007E58DA">
      <w:pPr>
        <w:pStyle w:val="Agency-body-text"/>
        <w:rPr>
          <w:bCs/>
        </w:rPr>
      </w:pPr>
      <w:r w:rsidRPr="00D739A7">
        <w:rPr>
          <w:bCs/>
        </w:rPr>
        <w:t>Data is available from 1</w:t>
      </w:r>
      <w:r w:rsidR="00496739" w:rsidRPr="00D739A7">
        <w:rPr>
          <w:bCs/>
        </w:rPr>
        <w:t>2</w:t>
      </w:r>
      <w:r w:rsidRPr="00D739A7">
        <w:rPr>
          <w:bCs/>
        </w:rPr>
        <w:t xml:space="preserve"> countries.</w:t>
      </w:r>
    </w:p>
    <w:p w14:paraId="36C62979" w14:textId="0BBE9257" w:rsidR="00CD6405" w:rsidRPr="00D739A7" w:rsidRDefault="00CD6405" w:rsidP="007E58DA">
      <w:pPr>
        <w:pStyle w:val="Agency-body-text"/>
      </w:pPr>
      <w:r w:rsidRPr="00D739A7">
        <w:t>The proportion of boys with an official decision of SEN in fully separate educational settings ranges from</w:t>
      </w:r>
      <w:r w:rsidR="00872CDC" w:rsidRPr="00D739A7">
        <w:t xml:space="preserve"> 62.65%</w:t>
      </w:r>
      <w:r w:rsidR="00680F7F" w:rsidRPr="00D739A7">
        <w:t xml:space="preserve"> </w:t>
      </w:r>
      <w:r w:rsidRPr="00D739A7">
        <w:t>to 7</w:t>
      </w:r>
      <w:r w:rsidR="00496739" w:rsidRPr="00D739A7">
        <w:t>2.39</w:t>
      </w:r>
      <w:r w:rsidRPr="00D739A7">
        <w:t xml:space="preserve">%; </w:t>
      </w:r>
      <w:r w:rsidRPr="00D739A7">
        <w:t>the total average for the 1</w:t>
      </w:r>
      <w:r w:rsidR="00496739" w:rsidRPr="00D739A7">
        <w:t>2</w:t>
      </w:r>
      <w:r w:rsidRPr="00D739A7">
        <w:t xml:space="preserve"> countries is </w:t>
      </w:r>
      <w:r w:rsidR="00680F7F" w:rsidRPr="00D739A7">
        <w:t>65.61</w:t>
      </w:r>
      <w:r w:rsidRPr="00D739A7">
        <w:t>%.</w:t>
      </w:r>
    </w:p>
    <w:p w14:paraId="6B31D0C2" w14:textId="52E9FEE9" w:rsidR="00CD6405" w:rsidRPr="00D739A7" w:rsidRDefault="00CD6405" w:rsidP="007E58DA">
      <w:pPr>
        <w:pStyle w:val="Agency-body-text"/>
      </w:pPr>
      <w:r w:rsidRPr="00D739A7">
        <w:t>The proportion of girls with an official decision of SEN in fully separate educational settings ranges from 2</w:t>
      </w:r>
      <w:r w:rsidR="00496739" w:rsidRPr="00D739A7">
        <w:t>7.61</w:t>
      </w:r>
      <w:r w:rsidRPr="00D739A7">
        <w:t xml:space="preserve">% to </w:t>
      </w:r>
      <w:r w:rsidR="00496739" w:rsidRPr="00D739A7">
        <w:t>37.35</w:t>
      </w:r>
      <w:r w:rsidRPr="00D739A7">
        <w:t>%; the total average for the 1</w:t>
      </w:r>
      <w:r w:rsidR="00496739" w:rsidRPr="00D739A7">
        <w:t>2</w:t>
      </w:r>
      <w:r w:rsidRPr="00D739A7">
        <w:t xml:space="preserve"> countries is 3</w:t>
      </w:r>
      <w:r w:rsidR="00496739" w:rsidRPr="00D739A7">
        <w:t>1.77</w:t>
      </w:r>
      <w:r w:rsidRPr="00D739A7">
        <w:t>%.</w:t>
      </w:r>
    </w:p>
    <w:p w14:paraId="3E5EA928" w14:textId="77777777" w:rsidR="005309A4" w:rsidRPr="00D739A7" w:rsidRDefault="00496739" w:rsidP="004A29D9">
      <w:pPr>
        <w:keepNext/>
        <w:spacing w:before="120" w:after="120" w:line="240" w:lineRule="auto"/>
        <w:rPr>
          <w:lang w:val="en-GB"/>
        </w:rPr>
      </w:pPr>
      <w:r w:rsidRPr="00D739A7">
        <w:rPr>
          <w:rFonts w:ascii="Calibri" w:hAnsi="Calibri" w:cs="Calibri"/>
          <w:noProof/>
          <w:lang w:val="en-GB"/>
        </w:rPr>
        <w:drawing>
          <wp:inline distT="0" distB="0" distL="0" distR="0" wp14:anchorId="42A443F4" wp14:editId="5B011B6E">
            <wp:extent cx="3103880" cy="6253317"/>
            <wp:effectExtent l="0" t="0" r="7620" b="8255"/>
            <wp:docPr id="30" name="Diagram 30" descr="Bulgaria &#10;Boys 62.65 &#10;Girls 37.35&#10;Cyprus &#10;Boys 72.14 &#10;Girls 27.86&#10;Czech Republic &#10;Boys 65.38 &#10;Girls 34.62&#10;Estonia &#10;Boys 72.39 &#10;Girls 27.61&#10;France &#10;Boys 64.11 &#10;Girls 35.89&#10;Greece &#10;Boys 69.02 &#10;Girls 30.98  &#10;Lithuania &#10;Boys 69.35 &#10;Girls 30.65  &#10;Poland &#10;Boys 69.32 &#10;Girls 30.68&#10;Slovakia &#10;Boys 64.71 &#10;Girls 35.29&#10;Spain &#10;Boys 63.74 &#10;Girls 36.26&#10;Switzerland &#10;Boys 70.78 &#10;Girls 29.22&#10;UK (England) &#10;Boys 69.79 &#10;Girls 30.21&#10;Total average (12) &#10;Boys 65.61 &#10;Girls 34.39">
              <a:extLst xmlns:a="http://schemas.openxmlformats.org/drawingml/2006/main">
                <a:ext uri="{FF2B5EF4-FFF2-40B4-BE49-F238E27FC236}">
                  <a16:creationId xmlns:a16="http://schemas.microsoft.com/office/drawing/2014/main" id="{263C600A-4542-40EE-B401-F38A682E83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EE2CB0B" w14:textId="37391EED" w:rsidR="00CD6405" w:rsidRPr="00D739A7" w:rsidRDefault="005309A4" w:rsidP="005309A4">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19</w:t>
      </w:r>
      <w:r w:rsidRPr="00D739A7">
        <w:rPr>
          <w:b w:val="0"/>
          <w:bCs w:val="0"/>
        </w:rPr>
        <w:fldChar w:fldCharType="end"/>
      </w:r>
      <w:r w:rsidR="00CD6405" w:rsidRPr="00D739A7">
        <w:t>. Gender distribution of children with an official decision of SEN in fully separate educational settings, based on the enrolled pre-primary population (%)</w:t>
      </w:r>
    </w:p>
    <w:p w14:paraId="1D9448BA" w14:textId="77777777" w:rsidR="00CD6405" w:rsidRPr="00D739A7" w:rsidRDefault="00CD6405" w:rsidP="007E58DA">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5CB6D857" w14:textId="26D61435" w:rsidR="00CD6405" w:rsidRPr="00D739A7" w:rsidRDefault="00903978" w:rsidP="007E58DA">
      <w:pPr>
        <w:pStyle w:val="Agency-heading-2-report"/>
      </w:pPr>
      <w:bookmarkStart w:id="38" w:name="_Toc35943032"/>
      <w:r w:rsidRPr="00D739A7">
        <w:lastRenderedPageBreak/>
        <w:t>1.</w:t>
      </w:r>
      <w:r w:rsidR="00CD6405" w:rsidRPr="00D739A7">
        <w:t>3c. Distribution of placements, based on the population of children with an official decision of SEN</w:t>
      </w:r>
      <w:bookmarkEnd w:id="38"/>
    </w:p>
    <w:p w14:paraId="6D967A76" w14:textId="450B29F2" w:rsidR="00CD6405" w:rsidRPr="00D739A7" w:rsidRDefault="00CD6405" w:rsidP="006C4E88">
      <w:pPr>
        <w:pStyle w:val="Agency-body-text-report"/>
        <w:keepNext/>
      </w:pPr>
      <w:r w:rsidRPr="00D739A7">
        <w:t xml:space="preserve">As with the indicators in </w:t>
      </w:r>
      <w:hyperlink w:anchor="section3b" w:history="1">
        <w:r w:rsidR="005309A4" w:rsidRPr="00D739A7">
          <w:rPr>
            <w:rStyle w:val="Hyperlink"/>
          </w:rPr>
          <w:t>section </w:t>
        </w:r>
        <w:r w:rsidR="00903978" w:rsidRPr="00D739A7">
          <w:rPr>
            <w:rStyle w:val="Hyperlink"/>
          </w:rPr>
          <w:t>1.</w:t>
        </w:r>
        <w:r w:rsidRPr="00D739A7">
          <w:rPr>
            <w:rStyle w:val="Hyperlink"/>
          </w:rPr>
          <w:t>3b</w:t>
        </w:r>
      </w:hyperlink>
      <w:r w:rsidRPr="00D739A7">
        <w:t>, the indicators presented in this section relate to the distribution of placements of children with an official decision of SEN in:</w:t>
      </w:r>
    </w:p>
    <w:p w14:paraId="40E5008C" w14:textId="77777777" w:rsidR="00CD6405" w:rsidRPr="00D739A7" w:rsidRDefault="00CD6405" w:rsidP="004A29D9">
      <w:pPr>
        <w:pStyle w:val="Agency-body-text-report"/>
        <w:numPr>
          <w:ilvl w:val="0"/>
          <w:numId w:val="61"/>
        </w:numPr>
      </w:pPr>
      <w:r w:rsidRPr="00D739A7">
        <w:t>Inclusive settings</w:t>
      </w:r>
    </w:p>
    <w:p w14:paraId="2C52C21E" w14:textId="284F9A68" w:rsidR="00CD6405" w:rsidRPr="00D739A7" w:rsidRDefault="00CD6405" w:rsidP="004A29D9">
      <w:pPr>
        <w:pStyle w:val="Agency-body-text-report"/>
        <w:numPr>
          <w:ilvl w:val="0"/>
          <w:numId w:val="61"/>
        </w:numPr>
      </w:pPr>
      <w:r w:rsidRPr="00D739A7">
        <w:t xml:space="preserve">Separate special </w:t>
      </w:r>
      <w:r w:rsidR="003B4CB6" w:rsidRPr="00D739A7">
        <w:t>groups</w:t>
      </w:r>
      <w:r w:rsidRPr="00D739A7">
        <w:t xml:space="preserve"> in mainstream </w:t>
      </w:r>
      <w:r w:rsidR="003B4CB6" w:rsidRPr="00D739A7">
        <w:t>pre-</w:t>
      </w:r>
      <w:r w:rsidRPr="00D739A7">
        <w:t>schools</w:t>
      </w:r>
    </w:p>
    <w:p w14:paraId="7DEDC8C5" w14:textId="6746F748" w:rsidR="00CD6405" w:rsidRPr="00D739A7" w:rsidRDefault="00CD6405" w:rsidP="004A29D9">
      <w:pPr>
        <w:pStyle w:val="Agency-body-text-report"/>
        <w:numPr>
          <w:ilvl w:val="0"/>
          <w:numId w:val="61"/>
        </w:numPr>
      </w:pPr>
      <w:r w:rsidRPr="00D739A7">
        <w:t xml:space="preserve">Separate special </w:t>
      </w:r>
      <w:r w:rsidR="003B4CB6" w:rsidRPr="00D739A7">
        <w:t>pre-</w:t>
      </w:r>
      <w:r w:rsidRPr="00D739A7">
        <w:t>schools</w:t>
      </w:r>
    </w:p>
    <w:p w14:paraId="263C1F89" w14:textId="77777777" w:rsidR="00CD6405" w:rsidRPr="00D739A7" w:rsidRDefault="00CD6405" w:rsidP="004A29D9">
      <w:pPr>
        <w:pStyle w:val="Agency-body-text-report"/>
        <w:numPr>
          <w:ilvl w:val="0"/>
          <w:numId w:val="61"/>
        </w:numPr>
      </w:pPr>
      <w:r w:rsidRPr="00D739A7">
        <w:t>Non-formal settings.</w:t>
      </w:r>
    </w:p>
    <w:p w14:paraId="6B9288E2" w14:textId="77777777" w:rsidR="00CD6405" w:rsidRPr="00D739A7" w:rsidRDefault="00CD6405" w:rsidP="004A29D9">
      <w:pPr>
        <w:pStyle w:val="Agency-body-text-report"/>
      </w:pPr>
      <w:r w:rsidRPr="00D739A7">
        <w:t>However, the data focuses on the population of children with an official decision of SEN in different settings in relation to the whole pre-primary population of children with an official decision of SEN.</w:t>
      </w:r>
    </w:p>
    <w:p w14:paraId="6F9A3631" w14:textId="77777777" w:rsidR="00CD6405" w:rsidRPr="00D739A7" w:rsidRDefault="00CD6405" w:rsidP="004A29D9">
      <w:pPr>
        <w:pStyle w:val="Agency-body-text-report"/>
      </w:pPr>
      <w:r w:rsidRPr="00D739A7">
        <w:t>For each of these areas of indicators, gender breakdowns and distributions are presented in separate figures.</w:t>
      </w:r>
    </w:p>
    <w:p w14:paraId="0A1DEBD1" w14:textId="77777777" w:rsidR="00CD6405" w:rsidRPr="00D739A7" w:rsidRDefault="00CD6405" w:rsidP="004A29D9">
      <w:pPr>
        <w:pStyle w:val="Agency-body-text-report"/>
        <w:sectPr w:rsidR="00CD6405" w:rsidRPr="00D739A7" w:rsidSect="00751B98">
          <w:type w:val="continuous"/>
          <w:pgSz w:w="11899" w:h="16838"/>
          <w:pgMar w:top="1134" w:right="1551" w:bottom="1276" w:left="1418" w:header="709" w:footer="709" w:gutter="0"/>
          <w:cols w:space="710"/>
          <w:docGrid w:linePitch="360"/>
        </w:sectPr>
      </w:pPr>
      <w:r w:rsidRPr="00D739A7">
        <w:t xml:space="preserve">All data must be considered in line with the </w:t>
      </w:r>
      <w:hyperlink r:id="rId56" w:history="1">
        <w:r w:rsidRPr="00D739A7">
          <w:rPr>
            <w:color w:val="0000FF"/>
            <w:u w:val="single"/>
          </w:rPr>
          <w:t>Country Background Information</w:t>
        </w:r>
      </w:hyperlink>
      <w:r w:rsidRPr="00D739A7">
        <w:t xml:space="preserve"> relating to the official decision of SEN procedures in the country concerned.</w:t>
      </w:r>
    </w:p>
    <w:p w14:paraId="38EC67B3" w14:textId="7B2A44F6" w:rsidR="00CD6405" w:rsidRPr="00D739A7" w:rsidRDefault="00436B97" w:rsidP="007E58DA">
      <w:pPr>
        <w:pStyle w:val="Agency-heading-3-report"/>
        <w:sectPr w:rsidR="00CD6405" w:rsidRPr="00D739A7" w:rsidSect="00751B98">
          <w:pgSz w:w="11899" w:h="16838"/>
          <w:pgMar w:top="1134" w:right="1551" w:bottom="1276" w:left="1418" w:header="709" w:footer="709" w:gutter="0"/>
          <w:cols w:space="710"/>
          <w:docGrid w:linePitch="360"/>
        </w:sectPr>
      </w:pPr>
      <w:bookmarkStart w:id="39" w:name="_Toc35943033"/>
      <w:r w:rsidRPr="00D739A7">
        <w:lastRenderedPageBreak/>
        <w:t>Indicator </w:t>
      </w:r>
      <w:r w:rsidR="00903978" w:rsidRPr="00D739A7">
        <w:t>1.</w:t>
      </w:r>
      <w:r w:rsidRPr="00D739A7">
        <w:t>3</w:t>
      </w:r>
      <w:r w:rsidR="00CD6405" w:rsidRPr="00D739A7">
        <w:t xml:space="preserve">c.1: the percentage of children with an official decision of SEN in inclusive education, based on the </w:t>
      </w:r>
      <w:r w:rsidR="00652DE6" w:rsidRPr="00D739A7">
        <w:t>pre-</w:t>
      </w:r>
      <w:r w:rsidR="00093C59" w:rsidRPr="00D739A7">
        <w:t>primary</w:t>
      </w:r>
      <w:r w:rsidR="00652DE6" w:rsidRPr="00D739A7">
        <w:t xml:space="preserve"> </w:t>
      </w:r>
      <w:r w:rsidR="00CD6405" w:rsidRPr="00D739A7">
        <w:t>population of children with an official decision of SEN (%)</w:t>
      </w:r>
      <w:bookmarkEnd w:id="39"/>
    </w:p>
    <w:p w14:paraId="60530F66" w14:textId="32F93A68" w:rsidR="00CD6405" w:rsidRPr="00D739A7" w:rsidRDefault="00CD6405" w:rsidP="007E58DA">
      <w:pPr>
        <w:pStyle w:val="Agency-body-text"/>
      </w:pPr>
      <w:r w:rsidRPr="00D739A7">
        <w:t>The data focuses on children with an official decision of SEN</w:t>
      </w:r>
      <w:r w:rsidR="007831A1" w:rsidRPr="00D739A7">
        <w:t>,</w:t>
      </w:r>
      <w:r w:rsidRPr="00D739A7">
        <w:t xml:space="preserve"> in line with the EASIE operational definition, who are enrolled in inclusive education</w:t>
      </w:r>
      <w:r w:rsidR="007831A1" w:rsidRPr="00D739A7">
        <w:t>,</w:t>
      </w:r>
      <w:r w:rsidRPr="00D739A7">
        <w:t xml:space="preserve"> in line with the 80% placement benchmark (or the most relevant proxy for this benchmark)</w:t>
      </w:r>
      <w:r w:rsidR="007831A1" w:rsidRPr="00D739A7">
        <w:t>,</w:t>
      </w:r>
      <w:r w:rsidRPr="00D739A7">
        <w:t xml:space="preserve"> in comparison to the whole population of </w:t>
      </w:r>
      <w:r w:rsidR="00652DE6" w:rsidRPr="00D739A7">
        <w:t>pre-</w:t>
      </w:r>
      <w:r w:rsidR="00093C59" w:rsidRPr="00D739A7">
        <w:t>primary</w:t>
      </w:r>
      <w:r w:rsidR="00652DE6" w:rsidRPr="00D739A7">
        <w:t xml:space="preserve"> </w:t>
      </w:r>
      <w:r w:rsidRPr="00D739A7">
        <w:t>children with an official decision of SEN.</w:t>
      </w:r>
    </w:p>
    <w:p w14:paraId="6D829FEF" w14:textId="77777777" w:rsidR="00CD6405" w:rsidRPr="00D739A7" w:rsidRDefault="00CD6405" w:rsidP="007E58DA">
      <w:pPr>
        <w:pStyle w:val="Agency-body-text"/>
      </w:pPr>
      <w:r w:rsidRPr="00D739A7">
        <w:t>This indicator has been calculated as follows: The number of children with an official decision of SEN who are educated in mainstream groups for at least 80% of the time (Q3.2) / The number of children with an official decision of SEN (Q3.1) x 100.</w:t>
      </w:r>
    </w:p>
    <w:p w14:paraId="473E7289" w14:textId="63D2FD1C" w:rsidR="00CD6405" w:rsidRPr="00D739A7" w:rsidRDefault="00CD6405" w:rsidP="007E58DA">
      <w:pPr>
        <w:pStyle w:val="Agency-body-text"/>
      </w:pPr>
      <w:r w:rsidRPr="00D739A7">
        <w:t xml:space="preserve">Data is available from </w:t>
      </w:r>
      <w:r w:rsidR="003B4CB6" w:rsidRPr="00D739A7">
        <w:t>19</w:t>
      </w:r>
      <w:r w:rsidRPr="00D739A7">
        <w:t xml:space="preserve"> countries.</w:t>
      </w:r>
    </w:p>
    <w:p w14:paraId="52FA3154" w14:textId="7EABB9D0" w:rsidR="003B4CB6" w:rsidRPr="00D739A7" w:rsidRDefault="00CD6405" w:rsidP="007E58DA">
      <w:pPr>
        <w:pStyle w:val="Agency-body-text"/>
      </w:pPr>
      <w:r w:rsidRPr="00D739A7">
        <w:t xml:space="preserve">The inclusive education enrolment rates of children with an official decision of SEN, based on the whole population of children with an official decision of SEN, range from </w:t>
      </w:r>
      <w:r w:rsidR="003B4CB6" w:rsidRPr="00D739A7">
        <w:t>19.74</w:t>
      </w:r>
      <w:r w:rsidRPr="00D739A7">
        <w:t xml:space="preserve">% to </w:t>
      </w:r>
      <w:r w:rsidR="00B86D8A" w:rsidRPr="00D739A7">
        <w:t>100.00%</w:t>
      </w:r>
      <w:r w:rsidRPr="00D739A7">
        <w:t xml:space="preserve">; the total average for the </w:t>
      </w:r>
      <w:r w:rsidR="003B4CB6" w:rsidRPr="00D739A7">
        <w:t>19</w:t>
      </w:r>
      <w:r w:rsidRPr="00D739A7">
        <w:t xml:space="preserve"> countries is </w:t>
      </w:r>
      <w:r w:rsidR="003B4CB6" w:rsidRPr="00D739A7">
        <w:t>70.</w:t>
      </w:r>
      <w:r w:rsidR="007143B6" w:rsidRPr="00D739A7">
        <w:t>6</w:t>
      </w:r>
      <w:r w:rsidR="007143B6">
        <w:t>4</w:t>
      </w:r>
      <w:r w:rsidRPr="00D739A7">
        <w:t>%.</w:t>
      </w:r>
    </w:p>
    <w:p w14:paraId="47107C3F" w14:textId="77777777" w:rsidR="007831A1" w:rsidRPr="00D739A7" w:rsidRDefault="003B4CB6" w:rsidP="004A29D9">
      <w:pPr>
        <w:keepNext/>
        <w:spacing w:before="120" w:after="120" w:line="240" w:lineRule="auto"/>
        <w:rPr>
          <w:lang w:val="en-GB"/>
        </w:rPr>
      </w:pPr>
      <w:r w:rsidRPr="00D739A7">
        <w:rPr>
          <w:rFonts w:ascii="Calibri" w:hAnsi="Calibri" w:cs="Calibri"/>
          <w:noProof/>
          <w:lang w:val="en-GB"/>
        </w:rPr>
        <w:drawing>
          <wp:inline distT="0" distB="0" distL="0" distR="0" wp14:anchorId="6EA09B1A" wp14:editId="7DE25169">
            <wp:extent cx="3048000" cy="7128387"/>
            <wp:effectExtent l="0" t="0" r="12700" b="9525"/>
            <wp:docPr id="31" name="Diagram 31" descr="Belgium (Fl) 47.69&#10;Bulgaria 85.60&#10;Cyprus 80.06&#10;Czech Republic 19.74&#10;Estonia 61.73&#10;France 55.74&#10;Greece 84.12&#10;Hungary 82.18&#10;Italy 99.40&#10;Lithuania 91.48&#10;Malta 100.00&#10;Poland 79.68&#10;Portugal 100.00&#10;Slovakia 64.85&#10;Slovenia 92.88&#10;Spain 86.64&#10;UK (England) 68.38&#10;UK (N. Ireland) 56.51&#10;UK (Wales) 70.47&#10;Total average (19) 70.64">
              <a:extLst xmlns:a="http://schemas.openxmlformats.org/drawingml/2006/main">
                <a:ext uri="{FF2B5EF4-FFF2-40B4-BE49-F238E27FC236}">
                  <a16:creationId xmlns:a16="http://schemas.microsoft.com/office/drawing/2014/main" id="{371BEEF7-2DD2-42EB-B2A8-9BB419DCA7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C039937" w14:textId="11AD6652" w:rsidR="00CD6405" w:rsidRPr="00D739A7" w:rsidRDefault="007831A1">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20</w:t>
      </w:r>
      <w:r w:rsidRPr="00D739A7">
        <w:rPr>
          <w:b w:val="0"/>
          <w:bCs w:val="0"/>
        </w:rPr>
        <w:fldChar w:fldCharType="end"/>
      </w:r>
      <w:r w:rsidR="00CD6405" w:rsidRPr="00D739A7">
        <w:t xml:space="preserve">. Percentage of children with an official decision of SEN in inclusive education, based on the population of children with an official decision of </w:t>
      </w:r>
      <w:r w:rsidRPr="00D739A7">
        <w:t>SEN </w:t>
      </w:r>
      <w:r w:rsidR="00CD6405" w:rsidRPr="00D739A7">
        <w:t>(%)</w:t>
      </w:r>
    </w:p>
    <w:p w14:paraId="51198FAC" w14:textId="77777777" w:rsidR="00CD6405" w:rsidRPr="00D739A7" w:rsidRDefault="00CD6405" w:rsidP="007E58DA">
      <w:pPr>
        <w:pStyle w:val="Agency-caption-report"/>
        <w:rPr>
          <w:rFonts w:cs="Calibri"/>
        </w:rPr>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5CA99844" w14:textId="2B39658E" w:rsidR="00CD6405" w:rsidRPr="00D739A7" w:rsidRDefault="00CD6405" w:rsidP="007E58DA">
      <w:pPr>
        <w:pStyle w:val="Agency-heading-4-report"/>
      </w:pPr>
      <w:r w:rsidRPr="00D739A7">
        <w:lastRenderedPageBreak/>
        <w:t>Gender breakdown of children with an official decision of SEN in inclusive education, based on the</w:t>
      </w:r>
      <w:r w:rsidR="00093C59" w:rsidRPr="00D739A7">
        <w:t xml:space="preserve"> pre-primary</w:t>
      </w:r>
      <w:r w:rsidRPr="00D739A7">
        <w:t xml:space="preserve"> population of children with an official decision of SEN (%)</w:t>
      </w:r>
    </w:p>
    <w:p w14:paraId="71436049"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40D1CCD3" w14:textId="77777777" w:rsidR="00CD6405" w:rsidRPr="00D739A7" w:rsidRDefault="00CD6405" w:rsidP="007E58DA">
      <w:pPr>
        <w:pStyle w:val="Agency-body-text"/>
      </w:pPr>
      <w:r w:rsidRPr="00D739A7">
        <w:t>The gender breakdowns have been calculated as follows:</w:t>
      </w:r>
    </w:p>
    <w:p w14:paraId="4BABA1AE" w14:textId="77777777" w:rsidR="00CD6405" w:rsidRPr="00D739A7" w:rsidRDefault="00CD6405" w:rsidP="007E58DA">
      <w:pPr>
        <w:pStyle w:val="Agency-body-text"/>
      </w:pPr>
      <w:r w:rsidRPr="00D739A7">
        <w:t>Boys: The number of boys with an official decision of SEN who are educated in mainstream groups for at least 80% of the time (Q3.2) / The number of children with an official decision of SEN (Q3.1) x 100.</w:t>
      </w:r>
    </w:p>
    <w:p w14:paraId="126660B0" w14:textId="77777777" w:rsidR="00CD6405" w:rsidRPr="00D739A7" w:rsidRDefault="00CD6405" w:rsidP="007E58DA">
      <w:pPr>
        <w:pStyle w:val="Agency-body-text"/>
      </w:pPr>
      <w:r w:rsidRPr="00D739A7">
        <w:t>Girls: The number of girls with an official decision of SEN who are educated in mainstream groups for at least 80% of the time (Q3.2) / The number of children with an official decision of SEN (Q3.1) x 100.</w:t>
      </w:r>
    </w:p>
    <w:p w14:paraId="7C97F68F" w14:textId="00F3EA2F" w:rsidR="00CD6405" w:rsidRPr="00D739A7" w:rsidRDefault="00CD6405" w:rsidP="007E58DA">
      <w:pPr>
        <w:pStyle w:val="Agency-body-text"/>
      </w:pPr>
      <w:r w:rsidRPr="00D739A7">
        <w:t xml:space="preserve">Data is available from </w:t>
      </w:r>
      <w:r w:rsidR="003B4CB6" w:rsidRPr="00D739A7">
        <w:t>19</w:t>
      </w:r>
      <w:r w:rsidRPr="00D739A7">
        <w:t xml:space="preserve"> countries.</w:t>
      </w:r>
    </w:p>
    <w:p w14:paraId="6CDAB5BF" w14:textId="0E20F90B" w:rsidR="00CD6405" w:rsidRPr="00D739A7" w:rsidRDefault="00CD6405" w:rsidP="007E58DA">
      <w:pPr>
        <w:pStyle w:val="Agency-body-text"/>
      </w:pPr>
      <w:r w:rsidRPr="00D739A7">
        <w:t xml:space="preserve">The inclusive education enrolment rates of </w:t>
      </w:r>
      <w:r w:rsidR="00093C59" w:rsidRPr="00D739A7">
        <w:t xml:space="preserve">boys </w:t>
      </w:r>
      <w:r w:rsidRPr="00D739A7">
        <w:t>with an official decision of SEN, based on the whole population of children with an official decision of SEN</w:t>
      </w:r>
      <w:r w:rsidR="00427C10" w:rsidRPr="00D739A7">
        <w:t>,</w:t>
      </w:r>
      <w:r w:rsidRPr="00D739A7">
        <w:t xml:space="preserve"> range from </w:t>
      </w:r>
      <w:r w:rsidR="003B4CB6" w:rsidRPr="00D739A7">
        <w:t>13.71</w:t>
      </w:r>
      <w:r w:rsidRPr="00D739A7">
        <w:t xml:space="preserve">% to </w:t>
      </w:r>
      <w:r w:rsidR="003B4CB6" w:rsidRPr="00D739A7">
        <w:t>72.30</w:t>
      </w:r>
      <w:r w:rsidRPr="00D739A7">
        <w:t xml:space="preserve">%; the total average for the </w:t>
      </w:r>
      <w:r w:rsidR="003B4CB6" w:rsidRPr="00D739A7">
        <w:t>19</w:t>
      </w:r>
      <w:r w:rsidRPr="00D739A7">
        <w:t xml:space="preserve"> countries is 4</w:t>
      </w:r>
      <w:r w:rsidR="003B4CB6" w:rsidRPr="00D739A7">
        <w:t>8.33</w:t>
      </w:r>
      <w:r w:rsidRPr="00D739A7">
        <w:t>%.</w:t>
      </w:r>
    </w:p>
    <w:p w14:paraId="1D7B4C83" w14:textId="607F4904" w:rsidR="00CD6405" w:rsidRPr="00D739A7" w:rsidRDefault="00CD6405" w:rsidP="007E58DA">
      <w:pPr>
        <w:pStyle w:val="Agency-body-text"/>
      </w:pPr>
      <w:r w:rsidRPr="00D739A7">
        <w:t xml:space="preserve">The inclusive education enrolment rates of </w:t>
      </w:r>
      <w:r w:rsidR="00093C59" w:rsidRPr="00D739A7">
        <w:t xml:space="preserve">girls </w:t>
      </w:r>
      <w:r w:rsidRPr="00D739A7">
        <w:t>with an official decision of SEN, based on the whole population of children with an official decision of SEN</w:t>
      </w:r>
      <w:r w:rsidR="00427C10" w:rsidRPr="00D739A7">
        <w:t>,</w:t>
      </w:r>
      <w:r w:rsidRPr="00D739A7">
        <w:t xml:space="preserve"> range from </w:t>
      </w:r>
      <w:r w:rsidR="003B4CB6" w:rsidRPr="00D739A7">
        <w:t>6.04</w:t>
      </w:r>
      <w:r w:rsidRPr="00D739A7">
        <w:t>% to 3</w:t>
      </w:r>
      <w:r w:rsidR="003B4CB6" w:rsidRPr="00D739A7">
        <w:t>5.89</w:t>
      </w:r>
      <w:r w:rsidRPr="00D739A7">
        <w:t xml:space="preserve">%; the total average for the </w:t>
      </w:r>
      <w:r w:rsidR="003B4CB6" w:rsidRPr="00D739A7">
        <w:t>19</w:t>
      </w:r>
      <w:r w:rsidRPr="00D739A7">
        <w:t xml:space="preserve"> countries is </w:t>
      </w:r>
      <w:r w:rsidR="003B4CB6" w:rsidRPr="00D739A7">
        <w:t>22.31</w:t>
      </w:r>
      <w:r w:rsidRPr="00D739A7">
        <w:t>%.</w:t>
      </w:r>
    </w:p>
    <w:p w14:paraId="31D490B7" w14:textId="77777777" w:rsidR="007F4FED" w:rsidRPr="00D739A7" w:rsidRDefault="003B4CB6" w:rsidP="004A29D9">
      <w:pPr>
        <w:keepNext/>
        <w:spacing w:before="120" w:after="120" w:line="240" w:lineRule="auto"/>
        <w:rPr>
          <w:lang w:val="en-GB"/>
        </w:rPr>
      </w:pPr>
      <w:r w:rsidRPr="00D739A7">
        <w:rPr>
          <w:rFonts w:ascii="Calibri" w:hAnsi="Calibri" w:cs="Calibri"/>
          <w:noProof/>
          <w:lang w:val="en-GB"/>
        </w:rPr>
        <w:drawing>
          <wp:inline distT="0" distB="0" distL="0" distR="0" wp14:anchorId="1D053F38" wp14:editId="38FC905F">
            <wp:extent cx="3103880" cy="7383780"/>
            <wp:effectExtent l="0" t="0" r="7620" b="7620"/>
            <wp:docPr id="33" name="Diagram 33" descr="Belgium (Fl) &#10;Boys 31.81 &#10;Girls 15.88&#10;Bulgaria &#10;Boys 57.33 &#10;Girls 28.27&#10;Cyprus &#10;Boys 53.85 &#10;Girls 26.21&#10;Czech Republic &#10;Boys 13.71 &#10;Girls 6.04&#10;Estonia &#10;Boys 39.79 &#10;Girls 21.94&#10;France &#10;Boys 39.21 &#10;Girls 16.53&#10;Greece &#10;Boys 62.40 &#10;Girls 21.72&#10;Hungary &#10;Boys 56.14 &#10;Girls 26.04&#10;Italy &#10;Boys 72.17 &#10;Girls 27.23&#10;Lithuania &#10;Boys 55.59 &#10;Girls 35.89&#10;Malta &#10;Boys 70.44 &#10;Girls 29.56&#10;Poland &#10;Boys 54.47 &#10;Girls 25.22&#10;Portugal &#10;Boys 72.30 &#10;Girls 27.70&#10;Slovakia &#10;Boys 33.82 &#10;Girls 31.03&#10;Slovenia &#10;Boys 63.42 &#10;Girls 29.45&#10;Spain &#10;Boys 60.04 &#10;Girls 26.60&#10;UK (England) &#10;Boys 46.71 &#10;Girls 21.67&#10;UK (N. Ireland) &#10;Boys 48.33 &#10;Girls 8.18&#10;UK (Wales) &#10;Boys 49.48 &#10;Girls 21.00&#10;Total average (19) &#10;Boys 48.33 &#10;Girls 22.31">
              <a:extLst xmlns:a="http://schemas.openxmlformats.org/drawingml/2006/main">
                <a:ext uri="{FF2B5EF4-FFF2-40B4-BE49-F238E27FC236}">
                  <a16:creationId xmlns:a16="http://schemas.microsoft.com/office/drawing/2014/main" id="{6F0A82C2-0DEA-4B2C-8D12-D4B5E70484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2B908B3" w14:textId="0D8E7E8C" w:rsidR="00CD6405" w:rsidRPr="00D739A7" w:rsidRDefault="007F4FED">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21</w:t>
      </w:r>
      <w:r w:rsidRPr="00D739A7">
        <w:rPr>
          <w:b w:val="0"/>
          <w:bCs w:val="0"/>
        </w:rPr>
        <w:fldChar w:fldCharType="end"/>
      </w:r>
      <w:r w:rsidR="00CD6405" w:rsidRPr="00D739A7">
        <w:t>. Gender breakdown of children with an official decision of SEN in inclusive education, based on the population of children with an official decision of SEN (%)</w:t>
      </w:r>
    </w:p>
    <w:p w14:paraId="3F8FB3E3" w14:textId="77777777" w:rsidR="00CD6405" w:rsidRPr="00D739A7" w:rsidRDefault="00CD6405" w:rsidP="007E58DA">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06F4E4DC" w14:textId="7E854C23" w:rsidR="00CD6405" w:rsidRPr="00D739A7" w:rsidRDefault="00CD6405" w:rsidP="007E58DA">
      <w:pPr>
        <w:pStyle w:val="Agency-heading-4-report"/>
      </w:pPr>
      <w:r w:rsidRPr="00D739A7">
        <w:lastRenderedPageBreak/>
        <w:t>Gender distribution of children with an official decision of SEN in inclusive education, based on the</w:t>
      </w:r>
      <w:r w:rsidR="00093C59" w:rsidRPr="00D739A7">
        <w:t xml:space="preserve"> pre-primary</w:t>
      </w:r>
      <w:r w:rsidRPr="00D739A7">
        <w:t xml:space="preserve"> population of children with an official decision of SEN (%)</w:t>
      </w:r>
    </w:p>
    <w:p w14:paraId="7BFC73C8"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1EF2B1C6" w14:textId="77777777" w:rsidR="00CD6405" w:rsidRPr="00D739A7" w:rsidRDefault="00CD6405" w:rsidP="007E58DA">
      <w:pPr>
        <w:pStyle w:val="Agency-body-text"/>
      </w:pPr>
      <w:r w:rsidRPr="00D739A7">
        <w:t>The gender distributions have been calculated as follows:</w:t>
      </w:r>
    </w:p>
    <w:p w14:paraId="5F9AC4FB" w14:textId="2900C7AF" w:rsidR="00CD6405" w:rsidRPr="00D739A7" w:rsidRDefault="00EF3C3C" w:rsidP="007E58DA">
      <w:pPr>
        <w:pStyle w:val="Agency-body-text"/>
      </w:pPr>
      <w:r w:rsidRPr="00D739A7">
        <w:t>Boys</w:t>
      </w:r>
      <w:r w:rsidR="00CD6405" w:rsidRPr="00D739A7">
        <w:t>: The number of boys with an official decision of SEN who are educated in mainstream groups for at least 80% of the time (Q3.2) / The number of children with an official decision of SEN who are educated in mainstream groups for at least 80% of the time (Q3.2) x 100.</w:t>
      </w:r>
    </w:p>
    <w:p w14:paraId="4F83B909" w14:textId="1DF94145" w:rsidR="00CD6405" w:rsidRPr="00D739A7" w:rsidRDefault="00EF3C3C" w:rsidP="007E58DA">
      <w:pPr>
        <w:pStyle w:val="Agency-body-text"/>
      </w:pPr>
      <w:r w:rsidRPr="00D739A7">
        <w:t>Girls</w:t>
      </w:r>
      <w:r w:rsidR="00CD6405" w:rsidRPr="00D739A7">
        <w:t>: The number of girls with an official decision of SEN who are educated in mainstream groups for at least 80% of the time (Q3.2) / The number of children with an official decision of SEN who are educated in mainstream groups for at least 80% of the time (Q3.2) x 100.</w:t>
      </w:r>
    </w:p>
    <w:p w14:paraId="0B5E5EAC" w14:textId="219143A0" w:rsidR="00CD6405" w:rsidRPr="00D739A7" w:rsidRDefault="00CD6405" w:rsidP="007E58DA">
      <w:pPr>
        <w:pStyle w:val="Agency-body-text"/>
      </w:pPr>
      <w:r w:rsidRPr="00D739A7">
        <w:t xml:space="preserve">Data is available from </w:t>
      </w:r>
      <w:r w:rsidR="003B4CB6" w:rsidRPr="00D739A7">
        <w:t>19</w:t>
      </w:r>
      <w:r w:rsidRPr="00D739A7">
        <w:t xml:space="preserve"> countries.</w:t>
      </w:r>
    </w:p>
    <w:p w14:paraId="3E629C24" w14:textId="4E7B9E9C" w:rsidR="00CD6405" w:rsidRPr="00D739A7" w:rsidRDefault="00CD6405" w:rsidP="007E58DA">
      <w:pPr>
        <w:pStyle w:val="Agency-body-text"/>
        <w:rPr>
          <w:bCs/>
        </w:rPr>
      </w:pPr>
      <w:r w:rsidRPr="00D739A7">
        <w:rPr>
          <w:bCs/>
        </w:rPr>
        <w:t>The proportion of boys with an official decision of SEN in inclusive education, based on the population of children with an official decision of SEN, ranges from 5</w:t>
      </w:r>
      <w:r w:rsidR="00782FDC" w:rsidRPr="00D739A7">
        <w:rPr>
          <w:bCs/>
        </w:rPr>
        <w:t>2.15</w:t>
      </w:r>
      <w:r w:rsidRPr="00D739A7">
        <w:rPr>
          <w:bCs/>
        </w:rPr>
        <w:t xml:space="preserve">% to </w:t>
      </w:r>
      <w:r w:rsidR="007143B6">
        <w:rPr>
          <w:bCs/>
        </w:rPr>
        <w:t>85.53</w:t>
      </w:r>
      <w:r w:rsidRPr="00D739A7">
        <w:rPr>
          <w:bCs/>
        </w:rPr>
        <w:t xml:space="preserve">%; the total average for the </w:t>
      </w:r>
      <w:r w:rsidR="00782FDC" w:rsidRPr="00D739A7">
        <w:rPr>
          <w:bCs/>
        </w:rPr>
        <w:t>19</w:t>
      </w:r>
      <w:r w:rsidRPr="00D739A7">
        <w:rPr>
          <w:bCs/>
        </w:rPr>
        <w:t xml:space="preserve"> countries is 6</w:t>
      </w:r>
      <w:r w:rsidR="00782FDC" w:rsidRPr="00D739A7">
        <w:rPr>
          <w:bCs/>
        </w:rPr>
        <w:t>8.4</w:t>
      </w:r>
      <w:r w:rsidR="007143B6">
        <w:rPr>
          <w:bCs/>
        </w:rPr>
        <w:t>2</w:t>
      </w:r>
      <w:r w:rsidRPr="00D739A7">
        <w:rPr>
          <w:bCs/>
        </w:rPr>
        <w:t>%.</w:t>
      </w:r>
    </w:p>
    <w:p w14:paraId="680CD8A2" w14:textId="7780A90D" w:rsidR="00CD6405" w:rsidRPr="00D739A7" w:rsidRDefault="00CD6405" w:rsidP="007E58DA">
      <w:pPr>
        <w:pStyle w:val="Agency-body-text"/>
        <w:rPr>
          <w:bCs/>
        </w:rPr>
      </w:pPr>
      <w:r w:rsidRPr="00D739A7">
        <w:rPr>
          <w:bCs/>
        </w:rPr>
        <w:t xml:space="preserve">The proportion of girls with an official decision of SEN in inclusive education, based on the population of children with an official decision of SEN, ranges from </w:t>
      </w:r>
      <w:r w:rsidR="007143B6">
        <w:rPr>
          <w:bCs/>
        </w:rPr>
        <w:t>14.47</w:t>
      </w:r>
      <w:r w:rsidRPr="00D739A7">
        <w:rPr>
          <w:bCs/>
        </w:rPr>
        <w:t>% to 4</w:t>
      </w:r>
      <w:r w:rsidR="00782FDC" w:rsidRPr="00D739A7">
        <w:rPr>
          <w:bCs/>
        </w:rPr>
        <w:t>7.85</w:t>
      </w:r>
      <w:r w:rsidRPr="00D739A7">
        <w:rPr>
          <w:bCs/>
        </w:rPr>
        <w:t xml:space="preserve">%; the total average for the </w:t>
      </w:r>
      <w:r w:rsidR="00782FDC" w:rsidRPr="00D739A7">
        <w:rPr>
          <w:bCs/>
        </w:rPr>
        <w:t>19</w:t>
      </w:r>
      <w:r w:rsidRPr="00D739A7">
        <w:rPr>
          <w:bCs/>
        </w:rPr>
        <w:t xml:space="preserve"> countries is 3</w:t>
      </w:r>
      <w:r w:rsidR="00782FDC" w:rsidRPr="00D739A7">
        <w:rPr>
          <w:bCs/>
        </w:rPr>
        <w:t>1.58</w:t>
      </w:r>
      <w:r w:rsidRPr="00D739A7">
        <w:rPr>
          <w:bCs/>
        </w:rPr>
        <w:t>%.</w:t>
      </w:r>
    </w:p>
    <w:p w14:paraId="611F96B1" w14:textId="77777777" w:rsidR="00E76EA0" w:rsidRPr="00D739A7" w:rsidRDefault="003B4CB6" w:rsidP="004A29D9">
      <w:pPr>
        <w:keepNext/>
        <w:spacing w:before="120" w:after="120" w:line="240" w:lineRule="auto"/>
        <w:rPr>
          <w:lang w:val="en-GB"/>
        </w:rPr>
      </w:pPr>
      <w:r w:rsidRPr="00D739A7">
        <w:rPr>
          <w:rFonts w:ascii="Calibri" w:hAnsi="Calibri" w:cs="Calibri"/>
          <w:noProof/>
          <w:lang w:val="en-GB"/>
        </w:rPr>
        <w:drawing>
          <wp:inline distT="0" distB="0" distL="0" distR="0" wp14:anchorId="7260F3D3" wp14:editId="27018F64">
            <wp:extent cx="3030855" cy="7364361"/>
            <wp:effectExtent l="0" t="0" r="17145" b="14605"/>
            <wp:docPr id="34" name="Diagram 34" descr="Belgium (Fl) &#10;Boys 66.70 &#10;Girls 33.30&#10;Bulgaria &#10;Boys 66.97 &#10;Girls 33.03&#10;Cyprus &#10;Boys 67.26 &#10;Girls 32.74&#10;Czech Republic &#10;Boys 69.43 &#10;Girls 30.57&#10;Estonia &#10;Boys 64.46 &#10;Girls 35.54&#10;France &#10;Boys 70.34 &#10;Girls 29.66&#10;Greece &#10;Boys 74.18 &#10;Girls 25.82&#10;Hungary &#10;Boys 68.31 &#10;Girls 31.69&#10;Italy &#10;Boys 72.61 &#10;Girls 27.39&#10;Lithuania &#10;Boys 60.77 &#10;Girls 39.23&#10;Malta &#10;Boys 70.44 &#10;Girls 29.56&#10;Poland &#10;Boys 68.35 &#10;Girls 31.65&#10;Portugal &#10;Boys 72.30 &#10;Girls 27.70&#10;Slovakia &#10;Boys 52.15 &#10;Girls 47.85&#10;Slovenia &#10;Boys 68.29 &#10;Girls 31.71&#10;Spain &#10;Boys 69.30 &#10;Girls 30.70&#10;UK (England) &#10;Boys 68.31 &#10;Girls 31.69&#10;UK (N. Ireland) &#10;Boys 85.53 &#10;Girls 14.47&#10;UK (Wales) &#10;Boys 70.20 &#10;Girls 29.80&#10;Total average (19) &#10;Boys 68.42 &#10;Girls 31.58">
              <a:extLst xmlns:a="http://schemas.openxmlformats.org/drawingml/2006/main">
                <a:ext uri="{FF2B5EF4-FFF2-40B4-BE49-F238E27FC236}">
                  <a16:creationId xmlns:a16="http://schemas.microsoft.com/office/drawing/2014/main" id="{F828BEF6-A5BA-4C6C-86D6-A766262C27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EE71907" w14:textId="69A4080B" w:rsidR="00CD6405" w:rsidRPr="00D739A7" w:rsidRDefault="00E76EA0">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22</w:t>
      </w:r>
      <w:r w:rsidRPr="00D739A7">
        <w:rPr>
          <w:b w:val="0"/>
          <w:bCs w:val="0"/>
        </w:rPr>
        <w:fldChar w:fldCharType="end"/>
      </w:r>
      <w:r w:rsidR="00CD6405" w:rsidRPr="00D739A7">
        <w:t>. Gender distribution of children with an official decision of SEN in inclusive education, based on the population of children with an official decision of SEN (%)</w:t>
      </w:r>
    </w:p>
    <w:p w14:paraId="32B8044D" w14:textId="77777777" w:rsidR="00CD6405" w:rsidRPr="00D739A7" w:rsidRDefault="00CD6405" w:rsidP="007E58DA">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5889C108" w14:textId="06A2691A" w:rsidR="00CD6405" w:rsidRPr="00D739A7" w:rsidRDefault="00436B97" w:rsidP="007E58DA">
      <w:pPr>
        <w:pStyle w:val="Agency-heading-3-report"/>
      </w:pPr>
      <w:bookmarkStart w:id="40" w:name="_Toc35943034"/>
      <w:r w:rsidRPr="00D739A7">
        <w:lastRenderedPageBreak/>
        <w:t>Indicator </w:t>
      </w:r>
      <w:r w:rsidR="00903978" w:rsidRPr="00D739A7">
        <w:t>1.</w:t>
      </w:r>
      <w:r w:rsidRPr="00D739A7">
        <w:t>3</w:t>
      </w:r>
      <w:r w:rsidR="00CD6405" w:rsidRPr="00D739A7">
        <w:t xml:space="preserve">c.2: the percentage of children with an official decision of SEN in special groups, based on the </w:t>
      </w:r>
      <w:r w:rsidR="00093C59" w:rsidRPr="00D739A7">
        <w:t xml:space="preserve">pre-primary </w:t>
      </w:r>
      <w:r w:rsidR="00CD6405" w:rsidRPr="00D739A7">
        <w:t>population of children with an official decision of SEN (%)</w:t>
      </w:r>
      <w:bookmarkEnd w:id="40"/>
    </w:p>
    <w:p w14:paraId="37BF3F8D"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3EF5D06D" w14:textId="0B1BEB20" w:rsidR="00CD6405" w:rsidRPr="00D739A7" w:rsidRDefault="00CD6405" w:rsidP="007E58DA">
      <w:pPr>
        <w:pStyle w:val="Agency-body-text"/>
        <w:rPr>
          <w:bCs/>
        </w:rPr>
      </w:pPr>
      <w:r w:rsidRPr="00D739A7">
        <w:t>The data focuses on children with an official decision of SEN</w:t>
      </w:r>
      <w:r w:rsidR="000F698A" w:rsidRPr="00D739A7">
        <w:t>,</w:t>
      </w:r>
      <w:r w:rsidRPr="00D739A7">
        <w:t xml:space="preserve"> in line with the EASIE operational definition, who are enrolled in fully separate special groups</w:t>
      </w:r>
      <w:r w:rsidR="000F698A" w:rsidRPr="00D739A7">
        <w:t>,</w:t>
      </w:r>
      <w:r w:rsidRPr="00D739A7">
        <w:t xml:space="preserve"> </w:t>
      </w:r>
      <w:r w:rsidRPr="00D739A7">
        <w:rPr>
          <w:bCs/>
        </w:rPr>
        <w:t>in line with the 80% placement benchmark (or the most relevant proxy for this benchmark)</w:t>
      </w:r>
      <w:r w:rsidR="000F698A" w:rsidRPr="00D739A7">
        <w:rPr>
          <w:bCs/>
        </w:rPr>
        <w:t>,</w:t>
      </w:r>
      <w:r w:rsidRPr="00D739A7">
        <w:rPr>
          <w:bCs/>
        </w:rPr>
        <w:t xml:space="preserve"> in relation to the whole population of children with an official decision of SEN.</w:t>
      </w:r>
    </w:p>
    <w:p w14:paraId="7749B505" w14:textId="77777777" w:rsidR="00CD6405" w:rsidRPr="00D739A7" w:rsidRDefault="00CD6405" w:rsidP="007E58DA">
      <w:pPr>
        <w:pStyle w:val="Agency-body-text"/>
      </w:pPr>
      <w:r w:rsidRPr="00D739A7">
        <w:t>This indicator has been calculated as follows: The number of children with an official decision of SEN who are educated in separate special groups in mainstream educational settings (Q3.3) / The number of children with an official decision of SEN (Q3.1) x 100.</w:t>
      </w:r>
    </w:p>
    <w:p w14:paraId="61B26F55" w14:textId="53B82219" w:rsidR="00CD6405" w:rsidRPr="00D739A7" w:rsidRDefault="00CD6405" w:rsidP="007E58DA">
      <w:pPr>
        <w:pStyle w:val="Agency-body-text"/>
      </w:pPr>
      <w:r w:rsidRPr="00D739A7">
        <w:t xml:space="preserve">Data is available from </w:t>
      </w:r>
      <w:r w:rsidR="00DA5043" w:rsidRPr="00D739A7">
        <w:t>17</w:t>
      </w:r>
      <w:r w:rsidRPr="00D739A7">
        <w:t xml:space="preserve"> countries.</w:t>
      </w:r>
    </w:p>
    <w:p w14:paraId="6C494BA1" w14:textId="1BAF5AE3" w:rsidR="00DA5043" w:rsidRPr="00D739A7" w:rsidRDefault="00CD6405" w:rsidP="007E58DA">
      <w:pPr>
        <w:pStyle w:val="Agency-body-text"/>
      </w:pPr>
      <w:r w:rsidRPr="00D739A7">
        <w:t xml:space="preserve">The enrolment rates in special groups for children with an official decision of SEN, based on the whole population of children with an official decision of SEN, range from </w:t>
      </w:r>
      <w:r w:rsidR="00DA5043" w:rsidRPr="00D739A7">
        <w:t>0.59</w:t>
      </w:r>
      <w:r w:rsidRPr="00D739A7">
        <w:t xml:space="preserve">% to </w:t>
      </w:r>
      <w:r w:rsidR="00B86D8A" w:rsidRPr="00D739A7">
        <w:t>100.00%</w:t>
      </w:r>
      <w:r w:rsidRPr="00D739A7">
        <w:t xml:space="preserve">; the total average for the </w:t>
      </w:r>
      <w:r w:rsidR="00DA5043" w:rsidRPr="00D739A7">
        <w:t>17</w:t>
      </w:r>
      <w:r w:rsidRPr="00D739A7">
        <w:t xml:space="preserve"> countries is 1</w:t>
      </w:r>
      <w:r w:rsidR="00DA5043" w:rsidRPr="00D739A7">
        <w:t>2.58</w:t>
      </w:r>
      <w:r w:rsidRPr="00D739A7">
        <w:t>%.</w:t>
      </w:r>
    </w:p>
    <w:p w14:paraId="5B1E7C8E" w14:textId="77777777" w:rsidR="00676A3F" w:rsidRPr="00D739A7" w:rsidRDefault="00DA5043" w:rsidP="004A29D9">
      <w:pPr>
        <w:keepNext/>
        <w:spacing w:before="120" w:after="120" w:line="240" w:lineRule="auto"/>
        <w:rPr>
          <w:lang w:val="en-GB"/>
        </w:rPr>
      </w:pPr>
      <w:r w:rsidRPr="00D739A7">
        <w:rPr>
          <w:rFonts w:ascii="Calibri" w:hAnsi="Calibri" w:cs="Calibri"/>
          <w:noProof/>
          <w:lang w:val="en-GB"/>
        </w:rPr>
        <w:drawing>
          <wp:inline distT="0" distB="0" distL="0" distR="0" wp14:anchorId="39BD05DB" wp14:editId="78B6F754">
            <wp:extent cx="3048000" cy="7207045"/>
            <wp:effectExtent l="0" t="0" r="12700" b="6985"/>
            <wp:docPr id="35" name="Diagram 35" descr="Bulgaria 11.97&#10;Cyprus 14.96&#10;Czech Republic 55.25&#10;Estonia 34.18&#10;France 9.24&#10;Greece 0.59&#10;Hungary 17.82&#10;Ireland 53.25&#10;Lithuania 4.20&#10;Luxembourg 27.69&#10;Poland 3.43&#10;Serbia 100.00&#10;Slovakia 4.93&#10;Slovenia 10.43&#10;Spain 3.42&#10;Switzerland 2.33&#10;UK (England) 2.04&#10;Total average (17) 12.58">
              <a:extLst xmlns:a="http://schemas.openxmlformats.org/drawingml/2006/main">
                <a:ext uri="{FF2B5EF4-FFF2-40B4-BE49-F238E27FC236}">
                  <a16:creationId xmlns:a16="http://schemas.microsoft.com/office/drawing/2014/main" id="{975DF5C6-3BCA-476E-9C07-A266E074DA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C43F943" w14:textId="21BBBB5A" w:rsidR="00CD6405" w:rsidRPr="00D739A7" w:rsidRDefault="00676A3F">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23</w:t>
      </w:r>
      <w:r w:rsidRPr="00D739A7">
        <w:rPr>
          <w:b w:val="0"/>
          <w:bCs w:val="0"/>
        </w:rPr>
        <w:fldChar w:fldCharType="end"/>
      </w:r>
      <w:r w:rsidR="00CD6405" w:rsidRPr="00D739A7">
        <w:t xml:space="preserve">. Percentage of children with an official decision of SEN in special groups, based on the population of children with an official decision of </w:t>
      </w:r>
      <w:r w:rsidRPr="00D739A7">
        <w:t>SEN </w:t>
      </w:r>
      <w:r w:rsidR="00CD6405" w:rsidRPr="00D739A7">
        <w:t>(%)</w:t>
      </w:r>
    </w:p>
    <w:p w14:paraId="06BE7475" w14:textId="77777777" w:rsidR="00CD6405" w:rsidRPr="00D739A7" w:rsidRDefault="00CD6405" w:rsidP="007E58DA">
      <w:pPr>
        <w:pStyle w:val="Agency-caption-report"/>
        <w:sectPr w:rsidR="00CD6405" w:rsidRPr="00D739A7" w:rsidSect="00BB0FBE">
          <w:type w:val="continuous"/>
          <w:pgSz w:w="11899" w:h="16838"/>
          <w:pgMar w:top="1134" w:right="1551" w:bottom="1276" w:left="1418" w:header="709" w:footer="709" w:gutter="0"/>
          <w:cols w:num="2" w:space="710" w:equalWidth="0">
            <w:col w:w="3326" w:space="710"/>
            <w:col w:w="4894"/>
          </w:cols>
          <w:docGrid w:linePitch="360"/>
        </w:sectPr>
      </w:pPr>
    </w:p>
    <w:p w14:paraId="53865C62" w14:textId="77777777" w:rsidR="00CD6405" w:rsidRPr="00D739A7" w:rsidRDefault="00CD6405" w:rsidP="007E58DA">
      <w:pPr>
        <w:pStyle w:val="Agency-heading-4-report"/>
      </w:pPr>
      <w:r w:rsidRPr="00D739A7">
        <w:lastRenderedPageBreak/>
        <w:t>Gender breakdown of children with an official decision of SEN in special groups, based on the population of children with an official decision of SEN (%)</w:t>
      </w:r>
    </w:p>
    <w:p w14:paraId="6492F810"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75435D31" w14:textId="77777777" w:rsidR="00CD6405" w:rsidRPr="00D739A7" w:rsidRDefault="00CD6405" w:rsidP="007E58DA">
      <w:pPr>
        <w:pStyle w:val="Agency-body-text"/>
      </w:pPr>
      <w:r w:rsidRPr="00D739A7">
        <w:t>The gender breakdowns have been calculated as follows:</w:t>
      </w:r>
    </w:p>
    <w:p w14:paraId="345B29C5" w14:textId="77777777" w:rsidR="00CD6405" w:rsidRPr="00D739A7" w:rsidRDefault="00CD6405" w:rsidP="007E58DA">
      <w:pPr>
        <w:pStyle w:val="Agency-body-text"/>
      </w:pPr>
      <w:r w:rsidRPr="00D739A7">
        <w:t>Boys: The number of boys with an official decision of SEN who are educated in separate special groups in mainstream educational settings (Q3.3) / The number of children with an official decision of SEN (Q3.1) x 100.</w:t>
      </w:r>
    </w:p>
    <w:p w14:paraId="285E45E8" w14:textId="77777777" w:rsidR="00CD6405" w:rsidRPr="00D739A7" w:rsidRDefault="00CD6405" w:rsidP="007E58DA">
      <w:pPr>
        <w:pStyle w:val="Agency-body-text"/>
      </w:pPr>
      <w:r w:rsidRPr="00D739A7">
        <w:t>Girls: The number of girls with an official decision of SEN who are educated in separate special groups in mainstream educational settings (Q3.3) / The number of children with an official decision of SEN (Q3.1) x 100.</w:t>
      </w:r>
    </w:p>
    <w:p w14:paraId="43AC98DE" w14:textId="49C16D5D" w:rsidR="00CD6405" w:rsidRPr="00D739A7" w:rsidRDefault="00CD6405" w:rsidP="007E58DA">
      <w:pPr>
        <w:pStyle w:val="Agency-body-text"/>
        <w:rPr>
          <w:bCs/>
        </w:rPr>
      </w:pPr>
      <w:r w:rsidRPr="00D739A7">
        <w:rPr>
          <w:bCs/>
        </w:rPr>
        <w:t>Data is available from 1</w:t>
      </w:r>
      <w:r w:rsidR="00DA5043" w:rsidRPr="00D739A7">
        <w:rPr>
          <w:bCs/>
        </w:rPr>
        <w:t>6</w:t>
      </w:r>
      <w:r w:rsidRPr="00D739A7">
        <w:rPr>
          <w:bCs/>
        </w:rPr>
        <w:t xml:space="preserve"> countries.</w:t>
      </w:r>
    </w:p>
    <w:p w14:paraId="4F715058" w14:textId="3FF64A39" w:rsidR="00CD6405" w:rsidRPr="00D739A7" w:rsidRDefault="00CD6405" w:rsidP="007E58DA">
      <w:pPr>
        <w:pStyle w:val="Agency-body-text"/>
      </w:pPr>
      <w:r w:rsidRPr="00D739A7">
        <w:t xml:space="preserve">The special group enrolment rates of </w:t>
      </w:r>
      <w:r w:rsidR="00093C59" w:rsidRPr="00D739A7">
        <w:t xml:space="preserve">boys </w:t>
      </w:r>
      <w:r w:rsidRPr="00D739A7">
        <w:t>with an official decision of SEN, based on the whole population of children with an official decision of SEN</w:t>
      </w:r>
      <w:r w:rsidR="00427C10" w:rsidRPr="00D739A7">
        <w:t>,</w:t>
      </w:r>
      <w:r w:rsidRPr="00D739A7">
        <w:t xml:space="preserve"> range from </w:t>
      </w:r>
      <w:r w:rsidR="00DA5043" w:rsidRPr="00D739A7">
        <w:t>0.48</w:t>
      </w:r>
      <w:r w:rsidRPr="00D739A7">
        <w:t xml:space="preserve">% to </w:t>
      </w:r>
      <w:r w:rsidR="00DA5043" w:rsidRPr="00D739A7">
        <w:t>59.34</w:t>
      </w:r>
      <w:r w:rsidRPr="00D739A7">
        <w:t>%; the total average for the 1</w:t>
      </w:r>
      <w:r w:rsidR="00DA5043" w:rsidRPr="00D739A7">
        <w:t>6</w:t>
      </w:r>
      <w:r w:rsidRPr="00D739A7">
        <w:t xml:space="preserve"> countries is 8.</w:t>
      </w:r>
      <w:r w:rsidR="00DA5043" w:rsidRPr="00D739A7">
        <w:t>41</w:t>
      </w:r>
      <w:r w:rsidRPr="00D739A7">
        <w:t>%.</w:t>
      </w:r>
    </w:p>
    <w:p w14:paraId="492415B0" w14:textId="668A3E27" w:rsidR="00CD6405" w:rsidRPr="00D739A7" w:rsidRDefault="00CD6405" w:rsidP="007E58DA">
      <w:pPr>
        <w:pStyle w:val="Agency-body-text"/>
      </w:pPr>
      <w:r w:rsidRPr="00D739A7">
        <w:t xml:space="preserve">The special </w:t>
      </w:r>
      <w:r w:rsidR="00676A3F" w:rsidRPr="00D739A7">
        <w:t xml:space="preserve">group </w:t>
      </w:r>
      <w:r w:rsidRPr="00D739A7">
        <w:t xml:space="preserve">enrolment rates of </w:t>
      </w:r>
      <w:r w:rsidR="00093C59" w:rsidRPr="00D739A7">
        <w:t xml:space="preserve">girls </w:t>
      </w:r>
      <w:r w:rsidRPr="00D739A7">
        <w:t>with an official decision of SEN, based on the whole population of children with an official decision of SEN</w:t>
      </w:r>
      <w:r w:rsidR="00427C10" w:rsidRPr="00D739A7">
        <w:t>,</w:t>
      </w:r>
      <w:r w:rsidRPr="00D739A7">
        <w:t xml:space="preserve"> range from 0.</w:t>
      </w:r>
      <w:r w:rsidR="00DA5043" w:rsidRPr="00D739A7">
        <w:t>10</w:t>
      </w:r>
      <w:r w:rsidRPr="00D739A7">
        <w:t xml:space="preserve">% to </w:t>
      </w:r>
      <w:r w:rsidR="00DA5043" w:rsidRPr="00D739A7">
        <w:t>40.66</w:t>
      </w:r>
      <w:r w:rsidRPr="00D739A7">
        <w:t>%; the total average for the 1</w:t>
      </w:r>
      <w:r w:rsidR="00DA5043" w:rsidRPr="00D739A7">
        <w:t>6</w:t>
      </w:r>
      <w:r w:rsidRPr="00D739A7">
        <w:t xml:space="preserve"> countries is 4.</w:t>
      </w:r>
      <w:r w:rsidR="00DA5043" w:rsidRPr="00D739A7">
        <w:t>13</w:t>
      </w:r>
      <w:r w:rsidRPr="00D739A7">
        <w:t>%.</w:t>
      </w:r>
    </w:p>
    <w:p w14:paraId="6E7555A3" w14:textId="77777777" w:rsidR="00676A3F" w:rsidRPr="00D739A7" w:rsidRDefault="00DA5043" w:rsidP="004A29D9">
      <w:pPr>
        <w:keepNext/>
        <w:spacing w:before="120" w:after="120" w:line="240" w:lineRule="auto"/>
        <w:rPr>
          <w:lang w:val="en-GB"/>
        </w:rPr>
      </w:pPr>
      <w:r w:rsidRPr="00D739A7">
        <w:rPr>
          <w:rFonts w:ascii="Calibri" w:hAnsi="Calibri" w:cs="Calibri"/>
          <w:noProof/>
          <w:lang w:val="en-GB"/>
        </w:rPr>
        <w:drawing>
          <wp:inline distT="0" distB="0" distL="0" distR="0" wp14:anchorId="55283A6A" wp14:editId="2E4E5BD8">
            <wp:extent cx="3103880" cy="7344696"/>
            <wp:effectExtent l="0" t="0" r="7620" b="8890"/>
            <wp:docPr id="36" name="Diagram 36" descr="Bulgaria &#10;Boys 7.55 &#10;Girls 4.42&#10;Cyprus &#10;Boys 11.40 &#10;Girls 3.56&#10;Czech Republic &#10;Boys 36.08 &#10;Girls 19.17&#10;Estonia &#10;Boys 24.84 &#10;Girls 9.34&#10;France &#10;Boys 6.05 &#10;Girls 3.19&#10;Greece &#10;Boys 0.48 &#10;Girls 0.10&#10;Hungary &#10;Boys 12.64 &#10;Girls 5.18&#10;Ireland &#10;Boys 44.75 &#10;Girls 8.51&#10;Lithuania &#10;Boys 2.90 &#10;Girls 1.30  &#10;Poland &#10;Boys 2.49 &#10;Girls 0.95&#10;Serbia &#10;Boys 59.34 &#10;Girls 40.66&#10;Slovakia &#10;Boys 3.48 &#10;Girls 1.44&#10;Slovenia &#10;Boys 3.82 &#10;Girls 6.60&#10;Spain &#10;Boys 2.30 &#10;Girls 1.12&#10;Switzerland &#10;Boys 1.24 &#10;Girls 1.09&#10;UK (England) &#10;Boys 1.47 &#10;Girls 0.56&#10;Total average (16) &#10;Boys 8.41 &#10;Girls 4.13">
              <a:extLst xmlns:a="http://schemas.openxmlformats.org/drawingml/2006/main">
                <a:ext uri="{FF2B5EF4-FFF2-40B4-BE49-F238E27FC236}">
                  <a16:creationId xmlns:a16="http://schemas.microsoft.com/office/drawing/2014/main" id="{23F01C00-09E8-48BA-A73F-99022848B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F6D3978" w14:textId="22028C45" w:rsidR="00CD6405" w:rsidRPr="00D739A7" w:rsidRDefault="00676A3F">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24</w:t>
      </w:r>
      <w:r w:rsidRPr="00D739A7">
        <w:rPr>
          <w:b w:val="0"/>
          <w:bCs w:val="0"/>
        </w:rPr>
        <w:fldChar w:fldCharType="end"/>
      </w:r>
      <w:r w:rsidR="00CD6405" w:rsidRPr="00D739A7">
        <w:t>. Gender breakdown of children with an official decision of SEN in special groups, based on the population of children with an official decision of SEN (%)</w:t>
      </w:r>
    </w:p>
    <w:p w14:paraId="6C425EAC" w14:textId="77777777" w:rsidR="00CD6405" w:rsidRPr="00D739A7" w:rsidRDefault="00CD6405" w:rsidP="007E58DA">
      <w:pPr>
        <w:pStyle w:val="Agency-caption-report"/>
        <w:sectPr w:rsidR="00CD6405" w:rsidRPr="00D739A7" w:rsidSect="00BB0FBE">
          <w:type w:val="continuous"/>
          <w:pgSz w:w="11899" w:h="16838"/>
          <w:pgMar w:top="1134" w:right="1551" w:bottom="1276" w:left="1418" w:header="709" w:footer="709" w:gutter="0"/>
          <w:cols w:num="2" w:space="710" w:equalWidth="0">
            <w:col w:w="3333" w:space="710"/>
            <w:col w:w="4887"/>
          </w:cols>
          <w:docGrid w:linePitch="360"/>
        </w:sectPr>
      </w:pPr>
    </w:p>
    <w:p w14:paraId="4936E186" w14:textId="77777777" w:rsidR="00CD6405" w:rsidRPr="00D739A7" w:rsidRDefault="00CD6405" w:rsidP="007E58DA">
      <w:pPr>
        <w:pStyle w:val="Agency-heading-4-report"/>
      </w:pPr>
      <w:r w:rsidRPr="00D739A7">
        <w:lastRenderedPageBreak/>
        <w:t>Gender distribution of children with an official decision of SEN in special groups, based on the population of children with an official decision of SEN (%)</w:t>
      </w:r>
    </w:p>
    <w:p w14:paraId="5976A107"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370C7118" w14:textId="77777777" w:rsidR="00CD6405" w:rsidRPr="00D739A7" w:rsidRDefault="00CD6405" w:rsidP="007E58DA">
      <w:pPr>
        <w:pStyle w:val="Agency-body-text"/>
      </w:pPr>
      <w:r w:rsidRPr="00D739A7">
        <w:t>The gender distributions have been calculated as follows:</w:t>
      </w:r>
    </w:p>
    <w:p w14:paraId="735B809B" w14:textId="56CBF7B3" w:rsidR="00CD6405" w:rsidRPr="00D739A7" w:rsidRDefault="00093C59" w:rsidP="007E58DA">
      <w:pPr>
        <w:pStyle w:val="Agency-body-text"/>
      </w:pPr>
      <w:r w:rsidRPr="00D739A7">
        <w:t>Boys</w:t>
      </w:r>
      <w:r w:rsidR="00CD6405" w:rsidRPr="00D739A7">
        <w:t>: The number of boys with an official decision of SEN who are educated in separate special groups in mainstream educational settings (Q3.3) / The number of children with an official decision of SEN who are educated in separate special groups in mainstream educational settings (Q3.3) x 100.</w:t>
      </w:r>
    </w:p>
    <w:p w14:paraId="1861A0D0" w14:textId="69EA768D" w:rsidR="00CD6405" w:rsidRPr="00D739A7" w:rsidRDefault="00093C59" w:rsidP="007E58DA">
      <w:pPr>
        <w:pStyle w:val="Agency-body-text"/>
      </w:pPr>
      <w:r w:rsidRPr="00D739A7">
        <w:t>Girls</w:t>
      </w:r>
      <w:r w:rsidR="00CD6405" w:rsidRPr="00D739A7">
        <w:t>: The number of girls with an official decision of SEN who are educated in separate special groups in mainstream educational settings (Q3.3) / The number of children with an official decision of SEN who are educated in separate special groups in mainstream educational settings (Q3.3) x 100.</w:t>
      </w:r>
    </w:p>
    <w:p w14:paraId="7463119E" w14:textId="41CE83CA" w:rsidR="00CD6405" w:rsidRPr="00D739A7" w:rsidRDefault="00CD6405" w:rsidP="007E58DA">
      <w:pPr>
        <w:pStyle w:val="Agency-body-text"/>
        <w:rPr>
          <w:bCs/>
        </w:rPr>
      </w:pPr>
      <w:r w:rsidRPr="00D739A7">
        <w:rPr>
          <w:bCs/>
        </w:rPr>
        <w:t>Data is available from 1</w:t>
      </w:r>
      <w:r w:rsidR="00DA5043" w:rsidRPr="00D739A7">
        <w:rPr>
          <w:bCs/>
        </w:rPr>
        <w:t>6</w:t>
      </w:r>
      <w:r w:rsidRPr="00D739A7">
        <w:rPr>
          <w:bCs/>
        </w:rPr>
        <w:t xml:space="preserve"> countries.</w:t>
      </w:r>
    </w:p>
    <w:p w14:paraId="17A7D43C" w14:textId="0C6B7245" w:rsidR="00CD6405" w:rsidRPr="00D739A7" w:rsidRDefault="00CD6405" w:rsidP="007E58DA">
      <w:pPr>
        <w:pStyle w:val="Agency-body-text"/>
        <w:rPr>
          <w:bCs/>
        </w:rPr>
      </w:pPr>
      <w:r w:rsidRPr="00D739A7">
        <w:rPr>
          <w:bCs/>
        </w:rPr>
        <w:t xml:space="preserve">The proportion of boys with an official decision of SEN in special groups, based on the population of children with an official decision of SEN, ranges from </w:t>
      </w:r>
      <w:r w:rsidR="000A7FA7" w:rsidRPr="00D739A7">
        <w:rPr>
          <w:bCs/>
        </w:rPr>
        <w:t>36.67</w:t>
      </w:r>
      <w:r w:rsidRPr="00D739A7">
        <w:rPr>
          <w:bCs/>
        </w:rPr>
        <w:t xml:space="preserve">% to </w:t>
      </w:r>
      <w:r w:rsidR="00DA5043" w:rsidRPr="00D739A7">
        <w:rPr>
          <w:bCs/>
        </w:rPr>
        <w:t>84.03</w:t>
      </w:r>
      <w:r w:rsidRPr="00D739A7">
        <w:rPr>
          <w:bCs/>
        </w:rPr>
        <w:t>%; the total average for the 1</w:t>
      </w:r>
      <w:r w:rsidR="00DA5043" w:rsidRPr="00D739A7">
        <w:rPr>
          <w:bCs/>
        </w:rPr>
        <w:t>6</w:t>
      </w:r>
      <w:r w:rsidRPr="00D739A7">
        <w:rPr>
          <w:bCs/>
        </w:rPr>
        <w:t xml:space="preserve"> countries is </w:t>
      </w:r>
      <w:r w:rsidR="007143B6">
        <w:rPr>
          <w:bCs/>
        </w:rPr>
        <w:t>67.05</w:t>
      </w:r>
      <w:r w:rsidRPr="00D739A7">
        <w:rPr>
          <w:bCs/>
        </w:rPr>
        <w:t>%.</w:t>
      </w:r>
    </w:p>
    <w:p w14:paraId="1C85C2C3" w14:textId="110B6D47" w:rsidR="00CD6405" w:rsidRPr="00D739A7" w:rsidRDefault="00CD6405" w:rsidP="007E58DA">
      <w:pPr>
        <w:pStyle w:val="Agency-body-text"/>
        <w:rPr>
          <w:bCs/>
        </w:rPr>
      </w:pPr>
      <w:r w:rsidRPr="00D739A7">
        <w:rPr>
          <w:bCs/>
        </w:rPr>
        <w:t xml:space="preserve">The proportion of girls with an official decision of SEN in special groups, based on the population of children with an official decision of SEN, ranges from </w:t>
      </w:r>
      <w:r w:rsidR="000A7FA7" w:rsidRPr="00D739A7">
        <w:rPr>
          <w:bCs/>
        </w:rPr>
        <w:t>15</w:t>
      </w:r>
      <w:r w:rsidRPr="00D739A7">
        <w:rPr>
          <w:bCs/>
        </w:rPr>
        <w:t xml:space="preserve">.97% to </w:t>
      </w:r>
      <w:r w:rsidR="000A7FA7" w:rsidRPr="00D739A7">
        <w:rPr>
          <w:bCs/>
        </w:rPr>
        <w:t>63.33</w:t>
      </w:r>
      <w:r w:rsidRPr="00D739A7">
        <w:rPr>
          <w:bCs/>
        </w:rPr>
        <w:t>%; the total average for the 1</w:t>
      </w:r>
      <w:r w:rsidR="00DA5043" w:rsidRPr="00D739A7">
        <w:rPr>
          <w:bCs/>
        </w:rPr>
        <w:t>6</w:t>
      </w:r>
      <w:r w:rsidRPr="00D739A7">
        <w:rPr>
          <w:bCs/>
        </w:rPr>
        <w:t xml:space="preserve"> countries is 3</w:t>
      </w:r>
      <w:r w:rsidR="000A7FA7" w:rsidRPr="00D739A7">
        <w:rPr>
          <w:bCs/>
        </w:rPr>
        <w:t>2.</w:t>
      </w:r>
      <w:r w:rsidR="007143B6">
        <w:rPr>
          <w:bCs/>
        </w:rPr>
        <w:t>95</w:t>
      </w:r>
      <w:r w:rsidRPr="00D739A7">
        <w:rPr>
          <w:bCs/>
        </w:rPr>
        <w:t>%.</w:t>
      </w:r>
    </w:p>
    <w:p w14:paraId="6FD6B443" w14:textId="77777777" w:rsidR="00E91C64" w:rsidRPr="00D739A7" w:rsidRDefault="00DA5043" w:rsidP="004A29D9">
      <w:pPr>
        <w:keepNext/>
        <w:spacing w:before="120" w:after="120" w:line="240" w:lineRule="auto"/>
        <w:rPr>
          <w:lang w:val="en-GB"/>
        </w:rPr>
      </w:pPr>
      <w:r w:rsidRPr="00D739A7">
        <w:rPr>
          <w:rFonts w:ascii="Calibri" w:hAnsi="Calibri" w:cs="Calibri"/>
          <w:noProof/>
          <w:lang w:val="en-GB"/>
        </w:rPr>
        <w:drawing>
          <wp:inline distT="0" distB="0" distL="0" distR="0" wp14:anchorId="4E6B133C" wp14:editId="627B0A95">
            <wp:extent cx="3103880" cy="7393858"/>
            <wp:effectExtent l="0" t="0" r="7620" b="10795"/>
            <wp:docPr id="38" name="Diagram 38" descr="Bulgaria &#10;Boys 63.04 &#10;Girls 36.96&#10;Cyprus &#10;Boys 76.19 &#10;Girls 23.81&#10;Czech Republic &#10;Boys 65.31 &#10;Girls 34.69&#10;Estonia &#10;Boys 72.68 &#10;Girls 27.32&#10;France &#10;Boys 65.45 &#10;Girls 34.55&#10;Greece &#10;Boys 82.61 &#10;Girls 17.39&#10;Hungary &#10;Boys 70.94 &#10;Girls 29.06&#10;Ireland &#10;Boys 84.03 &#10;Girls 15.97&#10;Lithuania &#10;Boys 69.01 &#10;Girls 30.99  &#10;Poland &#10;Boys 72.44 &#10;Girls 27.56&#10;Serbia &#10;Boys 59.34 &#10;Girls 40.66&#10;Slovakia &#10;Boys 70.71 &#10;Girls 29.29&#10;Slovenia &#10;Boys 36.67 &#10;Girls 63.33&#10;Spain &#10;Boys 67.24 &#10;Girls 32.76&#10;Switzerland &#10;Boys 53.33 &#10;Girls 46.67&#10;UK (England) &#10;Boys 72.35 &#10;Girls 27.65&#10;Total average (16) &#10;Boys 67.05&#10;Girls 32.95">
              <a:extLst xmlns:a="http://schemas.openxmlformats.org/drawingml/2006/main">
                <a:ext uri="{FF2B5EF4-FFF2-40B4-BE49-F238E27FC236}">
                  <a16:creationId xmlns:a16="http://schemas.microsoft.com/office/drawing/2014/main" id="{29957201-8AB2-4CCE-987F-38374E47A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E61D2AE" w14:textId="1254AB34" w:rsidR="00CD6405" w:rsidRPr="00D739A7" w:rsidRDefault="00E91C64">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25</w:t>
      </w:r>
      <w:r w:rsidRPr="00D739A7">
        <w:rPr>
          <w:b w:val="0"/>
          <w:bCs w:val="0"/>
        </w:rPr>
        <w:fldChar w:fldCharType="end"/>
      </w:r>
      <w:r w:rsidR="00CD6405" w:rsidRPr="00D739A7">
        <w:t>. Gender distribution of children with an official decision of SEN in special groups, based on the population of children with an official decision of SEN (%)</w:t>
      </w:r>
    </w:p>
    <w:p w14:paraId="69DC339A" w14:textId="77777777" w:rsidR="00CD6405" w:rsidRPr="00D739A7" w:rsidRDefault="00CD6405" w:rsidP="007E58DA">
      <w:pPr>
        <w:pStyle w:val="Agency-caption-report"/>
        <w:sectPr w:rsidR="00CD6405" w:rsidRPr="00D739A7" w:rsidSect="00BB0FBE">
          <w:type w:val="continuous"/>
          <w:pgSz w:w="11899" w:h="16838"/>
          <w:pgMar w:top="1134" w:right="1551" w:bottom="1276" w:left="1418" w:header="709" w:footer="709" w:gutter="0"/>
          <w:cols w:num="2" w:space="710" w:equalWidth="0">
            <w:col w:w="3333" w:space="710"/>
            <w:col w:w="4887"/>
          </w:cols>
          <w:docGrid w:linePitch="360"/>
        </w:sectPr>
      </w:pPr>
    </w:p>
    <w:p w14:paraId="3FB48558" w14:textId="5A43FEBE" w:rsidR="00CD6405" w:rsidRPr="00D739A7" w:rsidRDefault="00436B97" w:rsidP="007E58DA">
      <w:pPr>
        <w:pStyle w:val="Agency-heading-3-report"/>
      </w:pPr>
      <w:bookmarkStart w:id="41" w:name="_Toc35943035"/>
      <w:r w:rsidRPr="00D739A7">
        <w:lastRenderedPageBreak/>
        <w:t>Indicator </w:t>
      </w:r>
      <w:r w:rsidR="00903978" w:rsidRPr="00D739A7">
        <w:t>1.</w:t>
      </w:r>
      <w:r w:rsidRPr="00D739A7">
        <w:t>3</w:t>
      </w:r>
      <w:r w:rsidR="00CD6405" w:rsidRPr="00D739A7">
        <w:t>c.3: the percentage of children with an official decision of SEN in special pre</w:t>
      </w:r>
      <w:r w:rsidR="00E91C64" w:rsidRPr="00D739A7">
        <w:noBreakHyphen/>
      </w:r>
      <w:r w:rsidR="00CD6405" w:rsidRPr="00D739A7">
        <w:t xml:space="preserve">schools, based on the </w:t>
      </w:r>
      <w:r w:rsidR="00E17C65" w:rsidRPr="00D739A7">
        <w:t xml:space="preserve">pre-primary </w:t>
      </w:r>
      <w:r w:rsidR="00CD6405" w:rsidRPr="00D739A7">
        <w:t>population of children with an official decision of SEN (%)</w:t>
      </w:r>
      <w:bookmarkEnd w:id="41"/>
    </w:p>
    <w:p w14:paraId="0B6C581D"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567D0D87" w14:textId="09CA1834" w:rsidR="00CD6405" w:rsidRPr="00D739A7" w:rsidRDefault="00CD6405" w:rsidP="007E58DA">
      <w:pPr>
        <w:pStyle w:val="Agency-body-text"/>
        <w:rPr>
          <w:bCs/>
        </w:rPr>
      </w:pPr>
      <w:r w:rsidRPr="00D739A7">
        <w:t>The data focuses on children with an official decision of SEN</w:t>
      </w:r>
      <w:r w:rsidR="00E91C64" w:rsidRPr="00D739A7">
        <w:t>,</w:t>
      </w:r>
      <w:r w:rsidRPr="00D739A7">
        <w:t xml:space="preserve"> in line with the EASIE operational definition, who are enrolled in fully separate special pre-schools</w:t>
      </w:r>
      <w:r w:rsidR="00E91C64" w:rsidRPr="00D739A7">
        <w:t>,</w:t>
      </w:r>
      <w:r w:rsidRPr="00D739A7">
        <w:t xml:space="preserve"> </w:t>
      </w:r>
      <w:r w:rsidRPr="00D739A7">
        <w:rPr>
          <w:bCs/>
        </w:rPr>
        <w:t>in line with the 80% placement benchmark (or the most relevant proxy for this benchmark)</w:t>
      </w:r>
      <w:r w:rsidR="00E91C64" w:rsidRPr="00D739A7">
        <w:rPr>
          <w:bCs/>
        </w:rPr>
        <w:t>,</w:t>
      </w:r>
      <w:r w:rsidRPr="00D739A7">
        <w:rPr>
          <w:bCs/>
        </w:rPr>
        <w:t xml:space="preserve"> in relation to the whole population of children with an official decision of SEN.</w:t>
      </w:r>
    </w:p>
    <w:p w14:paraId="167CC857" w14:textId="77777777" w:rsidR="00CD6405" w:rsidRPr="00D739A7" w:rsidRDefault="00CD6405" w:rsidP="007E58DA">
      <w:pPr>
        <w:pStyle w:val="Agency-body-text"/>
      </w:pPr>
      <w:r w:rsidRPr="00D739A7">
        <w:t>This indicator has been calculated as follows: The number of children with an official decision of SEN who are educated in separate special pre-schools (Q3.4) / The number of children with an official decision of SEN (Q3.1) x 100.</w:t>
      </w:r>
    </w:p>
    <w:p w14:paraId="4C1E7258" w14:textId="68F0DE84" w:rsidR="00CD6405" w:rsidRPr="00D739A7" w:rsidRDefault="00CD6405" w:rsidP="007E58DA">
      <w:pPr>
        <w:pStyle w:val="Agency-body-text"/>
      </w:pPr>
      <w:r w:rsidRPr="00D739A7">
        <w:t xml:space="preserve">Data is available from </w:t>
      </w:r>
      <w:r w:rsidR="000A7FA7" w:rsidRPr="00D739A7">
        <w:t>19</w:t>
      </w:r>
      <w:r w:rsidRPr="00D739A7">
        <w:t xml:space="preserve"> countries.</w:t>
      </w:r>
    </w:p>
    <w:p w14:paraId="3DE52169" w14:textId="6BBAEEEB" w:rsidR="000A7FA7" w:rsidRPr="00D739A7" w:rsidRDefault="00CD6405" w:rsidP="007E58DA">
      <w:pPr>
        <w:pStyle w:val="Agency-body-text"/>
      </w:pPr>
      <w:r w:rsidRPr="00D739A7">
        <w:t>The enrolment rates in special pre-schools for children with an official decision of SEN, based on the whole population of children with an official decision of SEN, range from 0.</w:t>
      </w:r>
      <w:r w:rsidR="000A7FA7" w:rsidRPr="00D739A7">
        <w:t>60</w:t>
      </w:r>
      <w:r w:rsidRPr="00D739A7">
        <w:t xml:space="preserve">% to 100.00%; the total average for the </w:t>
      </w:r>
      <w:r w:rsidR="000A7FA7" w:rsidRPr="00D739A7">
        <w:t>19</w:t>
      </w:r>
      <w:r w:rsidRPr="00D739A7">
        <w:t xml:space="preserve"> countries is </w:t>
      </w:r>
      <w:r w:rsidR="000A7FA7" w:rsidRPr="00D739A7">
        <w:t>23.14</w:t>
      </w:r>
      <w:r w:rsidRPr="00D739A7">
        <w:t>%.</w:t>
      </w:r>
    </w:p>
    <w:p w14:paraId="3150B1C7" w14:textId="77777777" w:rsidR="00E91C64" w:rsidRPr="00D739A7" w:rsidRDefault="000A7FA7" w:rsidP="004A29D9">
      <w:pPr>
        <w:keepNext/>
        <w:spacing w:before="120" w:after="120" w:line="240" w:lineRule="auto"/>
        <w:rPr>
          <w:lang w:val="en-GB"/>
        </w:rPr>
      </w:pPr>
      <w:r w:rsidRPr="00D739A7">
        <w:rPr>
          <w:rFonts w:ascii="Calibri" w:hAnsi="Calibri" w:cs="Calibri"/>
          <w:noProof/>
          <w:color w:val="000542"/>
          <w:lang w:val="en-GB"/>
        </w:rPr>
        <w:drawing>
          <wp:inline distT="0" distB="0" distL="0" distR="0" wp14:anchorId="23CB663E" wp14:editId="426A6D83">
            <wp:extent cx="3067050" cy="7197213"/>
            <wp:effectExtent l="0" t="0" r="6350" b="16510"/>
            <wp:docPr id="40" name="Diagram 40" descr="Belgium (Fl) 52.31&#10;Bulgaria 2.43&#10;Cyprus 4.99&#10;Czech Republic 25.00&#10;Estonia 4.06&#10;France 35.02&#10;Greece 15.29&#10;Ireland 46.75&#10;Italy 0.60&#10;Lithuania 4.32&#10;Luxembourg 20.25&#10;Netherlands 100.00&#10;Poland 16.88&#10;Slovakia 28.32&#10;Spain 9.94&#10;Switzerland 97.67&#10;UK (England) 29.58&#10;UK (N. Ireland) 33.09&#10;UK (Wales) 28.22&#10;Total average (19) 23.14">
              <a:extLst xmlns:a="http://schemas.openxmlformats.org/drawingml/2006/main">
                <a:ext uri="{FF2B5EF4-FFF2-40B4-BE49-F238E27FC236}">
                  <a16:creationId xmlns:a16="http://schemas.microsoft.com/office/drawing/2014/main" id="{CBE84396-49A9-4EB4-8F2C-A96D003D08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7606DEF" w14:textId="74880598" w:rsidR="00CD6405" w:rsidRPr="00D739A7" w:rsidRDefault="00E91C64">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26</w:t>
      </w:r>
      <w:r w:rsidRPr="00D739A7">
        <w:rPr>
          <w:b w:val="0"/>
          <w:bCs w:val="0"/>
        </w:rPr>
        <w:fldChar w:fldCharType="end"/>
      </w:r>
      <w:r w:rsidR="00CD6405" w:rsidRPr="00D739A7">
        <w:t>. Percentage of children with an official decision of SEN in special pre-schools, based on the population of children with an official decision of SEN (%)</w:t>
      </w:r>
    </w:p>
    <w:p w14:paraId="796651E5" w14:textId="77777777" w:rsidR="00CD6405" w:rsidRPr="00D739A7" w:rsidRDefault="00CD6405" w:rsidP="007E58DA">
      <w:pPr>
        <w:pStyle w:val="Agency-caption-report"/>
        <w:sectPr w:rsidR="00CD6405" w:rsidRPr="00D739A7" w:rsidSect="00BB0FBE">
          <w:type w:val="continuous"/>
          <w:pgSz w:w="11899" w:h="16838"/>
          <w:pgMar w:top="1134" w:right="1551" w:bottom="1276" w:left="1418" w:header="709" w:footer="709" w:gutter="0"/>
          <w:cols w:num="2" w:space="710" w:equalWidth="0">
            <w:col w:w="3333" w:space="710"/>
            <w:col w:w="4887"/>
          </w:cols>
          <w:docGrid w:linePitch="360"/>
        </w:sectPr>
      </w:pPr>
    </w:p>
    <w:p w14:paraId="6560C9DB" w14:textId="77777777" w:rsidR="00CD6405" w:rsidRPr="00D739A7" w:rsidRDefault="00CD6405" w:rsidP="007E58DA">
      <w:pPr>
        <w:pStyle w:val="Agency-heading-4-report"/>
      </w:pPr>
      <w:r w:rsidRPr="00D739A7">
        <w:lastRenderedPageBreak/>
        <w:t>Gender breakdown of children with an official decision of SEN in special pre-schools, based on the population of children with an official decision of SEN (%)</w:t>
      </w:r>
    </w:p>
    <w:p w14:paraId="4D2CC693"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49CAE472" w14:textId="77777777" w:rsidR="00CD6405" w:rsidRPr="00D739A7" w:rsidRDefault="00CD6405" w:rsidP="007E58DA">
      <w:pPr>
        <w:pStyle w:val="Agency-body-text"/>
      </w:pPr>
      <w:r w:rsidRPr="00D739A7">
        <w:t>The gender breakdowns have been calculated as follows:</w:t>
      </w:r>
    </w:p>
    <w:p w14:paraId="07AACA9A" w14:textId="214B8EE8" w:rsidR="00CD6405" w:rsidRPr="00D739A7" w:rsidRDefault="00CD6405" w:rsidP="007E58DA">
      <w:pPr>
        <w:pStyle w:val="Agency-body-text"/>
      </w:pPr>
      <w:r w:rsidRPr="00D739A7">
        <w:t>Boys: The number of boys with an official decision of SEN who are educated in separate special pre</w:t>
      </w:r>
      <w:r w:rsidR="00E91C64" w:rsidRPr="00D739A7">
        <w:noBreakHyphen/>
      </w:r>
      <w:r w:rsidRPr="00D739A7">
        <w:t>schools (Q3.4) / The number of children with an official decision of SEN (Q3.1) x 100.</w:t>
      </w:r>
    </w:p>
    <w:p w14:paraId="3E2B199D" w14:textId="6AB62954" w:rsidR="00CD6405" w:rsidRPr="00D739A7" w:rsidRDefault="00CD6405" w:rsidP="007E58DA">
      <w:pPr>
        <w:pStyle w:val="Agency-body-text"/>
      </w:pPr>
      <w:r w:rsidRPr="00D739A7">
        <w:t>Girls: The number of girls with an official decision of SEN who are educated in separate special pre</w:t>
      </w:r>
      <w:r w:rsidR="00E91C64" w:rsidRPr="00D739A7">
        <w:noBreakHyphen/>
      </w:r>
      <w:r w:rsidRPr="00D739A7">
        <w:t>schools (Q3.4) / The number of children with an official decision of SEN (Q3.1) x 100.</w:t>
      </w:r>
    </w:p>
    <w:p w14:paraId="16826132" w14:textId="7F6AC282" w:rsidR="00CD6405" w:rsidRPr="00D739A7" w:rsidRDefault="00CD6405" w:rsidP="007E58DA">
      <w:pPr>
        <w:pStyle w:val="Agency-body-text"/>
        <w:rPr>
          <w:bCs/>
        </w:rPr>
      </w:pPr>
      <w:r w:rsidRPr="00D739A7">
        <w:rPr>
          <w:bCs/>
        </w:rPr>
        <w:t xml:space="preserve">Data is available from </w:t>
      </w:r>
      <w:r w:rsidR="000A7FA7" w:rsidRPr="00D739A7">
        <w:rPr>
          <w:bCs/>
        </w:rPr>
        <w:t>18</w:t>
      </w:r>
      <w:r w:rsidRPr="00D739A7">
        <w:rPr>
          <w:bCs/>
        </w:rPr>
        <w:t xml:space="preserve"> countries.</w:t>
      </w:r>
    </w:p>
    <w:p w14:paraId="22D787BE" w14:textId="043704CC" w:rsidR="00CD6405" w:rsidRPr="00D739A7" w:rsidRDefault="00CD6405" w:rsidP="007E58DA">
      <w:pPr>
        <w:pStyle w:val="Agency-body-text"/>
      </w:pPr>
      <w:r w:rsidRPr="00D739A7">
        <w:t xml:space="preserve">The enrolment rates in special pre-schools for </w:t>
      </w:r>
      <w:r w:rsidR="00427C10" w:rsidRPr="00D739A7">
        <w:t xml:space="preserve">boys </w:t>
      </w:r>
      <w:r w:rsidRPr="00D739A7">
        <w:t>with an official decision of SEN, based on the whole population of children with an official decision of SEN, range from 0.</w:t>
      </w:r>
      <w:r w:rsidR="000A7FA7" w:rsidRPr="00D739A7">
        <w:t>42</w:t>
      </w:r>
      <w:r w:rsidRPr="00D739A7">
        <w:t>% to 72.</w:t>
      </w:r>
      <w:r w:rsidR="000A7FA7" w:rsidRPr="00D739A7">
        <w:t>3</w:t>
      </w:r>
      <w:r w:rsidRPr="00D739A7">
        <w:t xml:space="preserve">3%; the total average for the </w:t>
      </w:r>
      <w:r w:rsidR="000A7FA7" w:rsidRPr="00D739A7">
        <w:t>18</w:t>
      </w:r>
      <w:r w:rsidRPr="00D739A7">
        <w:t xml:space="preserve"> countries is </w:t>
      </w:r>
      <w:r w:rsidR="000A7FA7" w:rsidRPr="00D739A7">
        <w:t>15.31</w:t>
      </w:r>
      <w:r w:rsidRPr="00D739A7">
        <w:t>%.</w:t>
      </w:r>
    </w:p>
    <w:p w14:paraId="417F4FED" w14:textId="51396A67" w:rsidR="00CD6405" w:rsidRPr="00D739A7" w:rsidRDefault="00CD6405" w:rsidP="007E58DA">
      <w:pPr>
        <w:pStyle w:val="Agency-body-text"/>
      </w:pPr>
      <w:r w:rsidRPr="00D739A7">
        <w:t xml:space="preserve">The enrolment rates in special pre-schools for </w:t>
      </w:r>
      <w:r w:rsidR="00427C10" w:rsidRPr="00D739A7">
        <w:t xml:space="preserve">girls </w:t>
      </w:r>
      <w:r w:rsidRPr="00D739A7">
        <w:t>with an official decision of SEN, based on the whole population of children with an official decision of SEN, range from 0.</w:t>
      </w:r>
      <w:r w:rsidR="000A7FA7" w:rsidRPr="00D739A7">
        <w:t>19</w:t>
      </w:r>
      <w:r w:rsidRPr="00D739A7">
        <w:t xml:space="preserve">% to </w:t>
      </w:r>
      <w:r w:rsidR="000A7FA7" w:rsidRPr="00D739A7">
        <w:t>28.13</w:t>
      </w:r>
      <w:r w:rsidRPr="00D739A7">
        <w:t xml:space="preserve">%; the total average for the </w:t>
      </w:r>
      <w:r w:rsidR="000A7FA7" w:rsidRPr="00D739A7">
        <w:t>18</w:t>
      </w:r>
      <w:r w:rsidRPr="00D739A7">
        <w:t xml:space="preserve"> countries is </w:t>
      </w:r>
      <w:r w:rsidR="000A7FA7" w:rsidRPr="00D739A7">
        <w:t>7.81</w:t>
      </w:r>
      <w:r w:rsidRPr="00D739A7">
        <w:t>%.</w:t>
      </w:r>
    </w:p>
    <w:p w14:paraId="2933D55D" w14:textId="77777777" w:rsidR="00E91C64" w:rsidRPr="00D739A7" w:rsidRDefault="000A7FA7" w:rsidP="004A29D9">
      <w:pPr>
        <w:keepNext/>
        <w:spacing w:before="120" w:after="120" w:line="240" w:lineRule="auto"/>
        <w:rPr>
          <w:lang w:val="en-GB"/>
        </w:rPr>
      </w:pPr>
      <w:r w:rsidRPr="00D739A7">
        <w:rPr>
          <w:rFonts w:ascii="Calibri" w:hAnsi="Calibri" w:cs="Calibri"/>
          <w:noProof/>
          <w:lang w:val="en-GB"/>
        </w:rPr>
        <w:drawing>
          <wp:inline distT="0" distB="0" distL="0" distR="0" wp14:anchorId="14BD9674" wp14:editId="502522A2">
            <wp:extent cx="3067050" cy="7403690"/>
            <wp:effectExtent l="0" t="0" r="6350" b="13335"/>
            <wp:docPr id="41" name="Diagram 41" descr="Belgium (Fl) &#10;Boys 37.47 &#10;Girls 14.84&#10;Bulgaria &#10;Boys 1.47 &#10;Girls 0.95&#10;Cyprus &#10;Boys 2.99 &#10;Girls 1.99&#10;Czech Republic &#10;Boys 16.39 &#10;Girls 8.62&#10;Estonia &#10;Boys 2.84 &#10;Girls 1.22&#10;France &#10;Boys 22.33 &#10;Girls 12.69&#10;Greece &#10;Boys 10.48 &#10;Girls 4.82&#10;Ireland &#10;Boys 31.95 &#10;Girls 14.79&#10;Italy &#10;Boys 0.42 &#10;Girls 0.19&#10;Lithuania &#10;Boys 3.01 &#10;Girls 1.31  &#10;Netherlands &#10;Boys 72.33 &#10;Girls 27.67&#10;Poland &#10;Boys 11.60 &#10;Girls 5.29&#10;Slovakia &#10;Boys 18.03 &#10;Girls 10.29&#10;Spain &#10;Boys 6.22 &#10;Girls 3.73&#10;Switzerland &#10;Boys 69.53 &#10;Girls 28.13&#10;UK (England) &#10;Boys 20.59 &#10;Girls 8.99&#10;UK (N. Ireland) &#10;Boys 23.79 &#10;Girls 9.29&#10;UK (Wales) &#10;Boys 20.21 &#10;Girls 8.01&#10;Total average (18) &#10;Boys 15.31 &#10;Girls 7.81">
              <a:extLst xmlns:a="http://schemas.openxmlformats.org/drawingml/2006/main">
                <a:ext uri="{FF2B5EF4-FFF2-40B4-BE49-F238E27FC236}">
                  <a16:creationId xmlns:a16="http://schemas.microsoft.com/office/drawing/2014/main" id="{F5BDF91A-3FA9-4FD8-A489-F314ECA4D6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822FA64" w14:textId="08DD572E" w:rsidR="00CD6405" w:rsidRPr="00D739A7" w:rsidRDefault="00E91C64">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27</w:t>
      </w:r>
      <w:r w:rsidRPr="00D739A7">
        <w:rPr>
          <w:b w:val="0"/>
          <w:bCs w:val="0"/>
        </w:rPr>
        <w:fldChar w:fldCharType="end"/>
      </w:r>
      <w:r w:rsidR="00CD6405" w:rsidRPr="00D739A7">
        <w:t>. Gender breakdown of children with an official decision of SEN in special pre-schools, based on the population of children with an official decision of SEN (%)</w:t>
      </w:r>
    </w:p>
    <w:p w14:paraId="10EC93DD" w14:textId="77777777" w:rsidR="00CD6405" w:rsidRPr="00D739A7" w:rsidRDefault="00CD6405" w:rsidP="007E58DA">
      <w:pPr>
        <w:pStyle w:val="Agency-caption-report"/>
        <w:sectPr w:rsidR="00CD6405" w:rsidRPr="00D739A7" w:rsidSect="00B42E09">
          <w:type w:val="continuous"/>
          <w:pgSz w:w="11899" w:h="16838"/>
          <w:pgMar w:top="1134" w:right="1551" w:bottom="1276" w:left="1418" w:header="709" w:footer="709" w:gutter="0"/>
          <w:cols w:num="2" w:space="710" w:equalWidth="0">
            <w:col w:w="3333" w:space="710"/>
            <w:col w:w="4887"/>
          </w:cols>
          <w:docGrid w:linePitch="360"/>
        </w:sectPr>
      </w:pPr>
    </w:p>
    <w:p w14:paraId="5EF14E57" w14:textId="5F2E6828" w:rsidR="00CD6405" w:rsidRPr="00D739A7" w:rsidRDefault="00CD6405" w:rsidP="007E58DA">
      <w:pPr>
        <w:pStyle w:val="Agency-heading-4-report"/>
      </w:pPr>
      <w:r w:rsidRPr="00D739A7">
        <w:lastRenderedPageBreak/>
        <w:t>Gender distribution of children with an official decision of SEN in special pre-schools, based on the</w:t>
      </w:r>
      <w:r w:rsidR="00733E74" w:rsidRPr="00D739A7">
        <w:t xml:space="preserve"> pre-school</w:t>
      </w:r>
      <w:r w:rsidRPr="00D739A7">
        <w:t xml:space="preserve"> population of children with an official decision of SEN (%)</w:t>
      </w:r>
    </w:p>
    <w:p w14:paraId="6A573D43"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2FD6357E" w14:textId="77777777" w:rsidR="00CD6405" w:rsidRPr="00D739A7" w:rsidRDefault="00CD6405" w:rsidP="007E58DA">
      <w:pPr>
        <w:pStyle w:val="Agency-body-text"/>
      </w:pPr>
      <w:r w:rsidRPr="00D739A7">
        <w:t>The gender distributions have been calculated as follows:</w:t>
      </w:r>
    </w:p>
    <w:p w14:paraId="47CEE9CE" w14:textId="22B3CE68" w:rsidR="00CD6405" w:rsidRPr="00D739A7" w:rsidRDefault="00EF3C3C" w:rsidP="007E58DA">
      <w:pPr>
        <w:pStyle w:val="Agency-body-text"/>
      </w:pPr>
      <w:r w:rsidRPr="00D739A7">
        <w:t>Boys</w:t>
      </w:r>
      <w:r w:rsidR="00CD6405" w:rsidRPr="00D739A7">
        <w:t>: The number of boys with an official decision of SEN who are educated in separate special pre-schools (Q3.4) / The number of children with an official decision of SEN who are educated in separate special pre-schools (Q3.4) x 100.</w:t>
      </w:r>
    </w:p>
    <w:p w14:paraId="67EC652A" w14:textId="67022F37" w:rsidR="00CD6405" w:rsidRPr="00D739A7" w:rsidRDefault="00EF3C3C" w:rsidP="007E58DA">
      <w:pPr>
        <w:pStyle w:val="Agency-body-text"/>
      </w:pPr>
      <w:r w:rsidRPr="00D739A7">
        <w:t>Girls</w:t>
      </w:r>
      <w:r w:rsidR="00CD6405" w:rsidRPr="00D739A7">
        <w:t>: The number of girls with an official decision of SEN who are educated in separate special pre-schools (Q3.4) / The number of children with an official decision of SEN who are educated in separate special pre-schools (Q3.4) x 100.</w:t>
      </w:r>
    </w:p>
    <w:p w14:paraId="72F1FA96" w14:textId="28E2E4CB" w:rsidR="00CD6405" w:rsidRPr="00D739A7" w:rsidRDefault="00CD6405" w:rsidP="007E58DA">
      <w:pPr>
        <w:pStyle w:val="Agency-body-text"/>
        <w:rPr>
          <w:bCs/>
        </w:rPr>
      </w:pPr>
      <w:r w:rsidRPr="00D739A7">
        <w:rPr>
          <w:bCs/>
        </w:rPr>
        <w:t xml:space="preserve">Data is available from </w:t>
      </w:r>
      <w:r w:rsidR="000A7FA7" w:rsidRPr="00D739A7">
        <w:rPr>
          <w:bCs/>
        </w:rPr>
        <w:t>18</w:t>
      </w:r>
      <w:r w:rsidRPr="00D739A7">
        <w:rPr>
          <w:bCs/>
        </w:rPr>
        <w:t xml:space="preserve"> countries.</w:t>
      </w:r>
    </w:p>
    <w:p w14:paraId="48272FC6" w14:textId="7E6BF6B6" w:rsidR="00CD6405" w:rsidRPr="00D739A7" w:rsidRDefault="00CD6405" w:rsidP="007E58DA">
      <w:pPr>
        <w:pStyle w:val="Agency-body-text"/>
        <w:rPr>
          <w:bCs/>
        </w:rPr>
      </w:pPr>
      <w:r w:rsidRPr="00D739A7">
        <w:rPr>
          <w:bCs/>
        </w:rPr>
        <w:t xml:space="preserve">The proportion of boys with an official decision of SEN in special pre-schools, based on the population of children with an official decision of SEN, ranges from </w:t>
      </w:r>
      <w:r w:rsidR="000A7FA7" w:rsidRPr="00D739A7">
        <w:rPr>
          <w:bCs/>
        </w:rPr>
        <w:t>60.00</w:t>
      </w:r>
      <w:r w:rsidRPr="00D739A7">
        <w:rPr>
          <w:bCs/>
        </w:rPr>
        <w:t>% to 7</w:t>
      </w:r>
      <w:r w:rsidR="000A7FA7" w:rsidRPr="00D739A7">
        <w:rPr>
          <w:bCs/>
        </w:rPr>
        <w:t>2.33</w:t>
      </w:r>
      <w:r w:rsidRPr="00D739A7">
        <w:rPr>
          <w:bCs/>
        </w:rPr>
        <w:t xml:space="preserve">%; the total average for the </w:t>
      </w:r>
      <w:r w:rsidR="000A7FA7" w:rsidRPr="00D739A7">
        <w:rPr>
          <w:bCs/>
        </w:rPr>
        <w:t>18</w:t>
      </w:r>
      <w:r w:rsidRPr="00D739A7">
        <w:rPr>
          <w:bCs/>
        </w:rPr>
        <w:t xml:space="preserve"> countries is 66.</w:t>
      </w:r>
      <w:r w:rsidR="00DC764D">
        <w:rPr>
          <w:bCs/>
        </w:rPr>
        <w:t>21</w:t>
      </w:r>
      <w:r w:rsidRPr="00D739A7">
        <w:rPr>
          <w:bCs/>
        </w:rPr>
        <w:t>%.</w:t>
      </w:r>
    </w:p>
    <w:p w14:paraId="22608C55" w14:textId="0EE48D9F" w:rsidR="00CD6405" w:rsidRPr="00D739A7" w:rsidRDefault="00CD6405" w:rsidP="007E58DA">
      <w:pPr>
        <w:pStyle w:val="Agency-body-text"/>
        <w:rPr>
          <w:bCs/>
        </w:rPr>
      </w:pPr>
      <w:r w:rsidRPr="00D739A7">
        <w:rPr>
          <w:bCs/>
        </w:rPr>
        <w:t>The proportion of girls with an official decision of SEN in special pre-schools, based on the population of children with an official decision of SEN, ranges from 2</w:t>
      </w:r>
      <w:r w:rsidR="000A7FA7" w:rsidRPr="00D739A7">
        <w:rPr>
          <w:bCs/>
        </w:rPr>
        <w:t>7.67</w:t>
      </w:r>
      <w:r w:rsidRPr="00D739A7">
        <w:rPr>
          <w:bCs/>
        </w:rPr>
        <w:t>% to 4</w:t>
      </w:r>
      <w:r w:rsidR="009B5521" w:rsidRPr="00D739A7">
        <w:rPr>
          <w:bCs/>
        </w:rPr>
        <w:t>0.00</w:t>
      </w:r>
      <w:r w:rsidRPr="00D739A7">
        <w:rPr>
          <w:bCs/>
        </w:rPr>
        <w:t xml:space="preserve">%; the total average for the </w:t>
      </w:r>
      <w:r w:rsidR="000A7FA7" w:rsidRPr="00D739A7">
        <w:rPr>
          <w:bCs/>
        </w:rPr>
        <w:t>18</w:t>
      </w:r>
      <w:r w:rsidRPr="00D739A7">
        <w:rPr>
          <w:bCs/>
        </w:rPr>
        <w:t xml:space="preserve"> countries is 33.</w:t>
      </w:r>
      <w:r w:rsidR="009B5521" w:rsidRPr="00D739A7">
        <w:rPr>
          <w:bCs/>
        </w:rPr>
        <w:t>7</w:t>
      </w:r>
      <w:r w:rsidR="00DC764D">
        <w:rPr>
          <w:bCs/>
        </w:rPr>
        <w:t>9</w:t>
      </w:r>
      <w:r w:rsidRPr="00D739A7">
        <w:rPr>
          <w:bCs/>
        </w:rPr>
        <w:t>%.</w:t>
      </w:r>
    </w:p>
    <w:p w14:paraId="7D39FAB5" w14:textId="77777777" w:rsidR="00AF3AF7" w:rsidRPr="00D739A7" w:rsidRDefault="000A7FA7" w:rsidP="004A29D9">
      <w:pPr>
        <w:keepNext/>
        <w:spacing w:before="120" w:after="120" w:line="240" w:lineRule="auto"/>
        <w:rPr>
          <w:lang w:val="en-GB"/>
        </w:rPr>
      </w:pPr>
      <w:r w:rsidRPr="00D739A7">
        <w:rPr>
          <w:rFonts w:ascii="Calibri" w:hAnsi="Calibri" w:cs="Calibri"/>
          <w:noProof/>
          <w:color w:val="000542"/>
          <w:lang w:val="en-GB"/>
        </w:rPr>
        <w:drawing>
          <wp:inline distT="0" distB="0" distL="0" distR="0" wp14:anchorId="322E5824" wp14:editId="16553C59">
            <wp:extent cx="3103880" cy="7393858"/>
            <wp:effectExtent l="0" t="0" r="7620" b="10795"/>
            <wp:docPr id="42" name="Diagram 42" descr="Belgium (Fl) &#10;Boys 71.63 &#10;Girls 28.37&#10;Bulgaria &#10;Boys 60.71 &#10;Girls 39.29&#10;Cyprus &#10;Boys 60.00 &#10;Girls 40.00&#10;Czech Republic &#10;Boys 65.54 &#10;Girls 34.46&#10;Estonia &#10;Boys 69.92 &#10;Girls 30.08&#10;France &#10;Boys 63.76 &#10;Girls 36.24&#10;Greece &#10;Boys 68.50 &#10;Girls 31.50&#10;Ireland &#10;Boys 68.35 &#10;Girls 31.65&#10;Italy &#10;Boys 68.82 &#10;Girls 31.18&#10;Lithuania &#10;Boys 69.69 &#10;Girls 30.31  &#10;Netherlands &#10;Boys 72.33 &#10;Girls 27.67&#10;Poland &#10;Boys 68.68 &#10;Girls 31.32&#10;Slovakia &#10;Boys 63.66 &#10;Girls 36.34&#10;Spain &#10;Boys 62.54 &#10;Girls 37.46&#10;Switzerland &#10;Boys 71.19 &#10;Girls 28.81&#10;UK (England) &#10;Boys 69.62 &#10;Girls 30.38&#10;UK (N. Ireland) &#10;Boys 71.91 &#10;Girls 28.09&#10;UK (Wales) &#10;Boys 71.63 &#10;Girls 28.37&#10;Total average (18) &#10;Boys 66.21 &#10;Girls 33.79">
              <a:extLst xmlns:a="http://schemas.openxmlformats.org/drawingml/2006/main">
                <a:ext uri="{FF2B5EF4-FFF2-40B4-BE49-F238E27FC236}">
                  <a16:creationId xmlns:a16="http://schemas.microsoft.com/office/drawing/2014/main" id="{07932151-2495-4EDA-A369-2EFC2BA7AE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CDDD38B" w14:textId="235E07D2" w:rsidR="00CD6405" w:rsidRPr="00D739A7" w:rsidRDefault="00AF3AF7">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28</w:t>
      </w:r>
      <w:r w:rsidRPr="00D739A7">
        <w:rPr>
          <w:b w:val="0"/>
          <w:bCs w:val="0"/>
        </w:rPr>
        <w:fldChar w:fldCharType="end"/>
      </w:r>
      <w:r w:rsidR="00CD6405" w:rsidRPr="00D739A7">
        <w:t>. Gender distribution of children with an official decision of SEN in special pre-schools, based on the population of children with an official decision of SEN (%)</w:t>
      </w:r>
    </w:p>
    <w:p w14:paraId="3509265B" w14:textId="77777777" w:rsidR="00CD6405" w:rsidRPr="00D739A7" w:rsidRDefault="00CD6405" w:rsidP="007E58DA">
      <w:pPr>
        <w:pStyle w:val="Agency-caption-report"/>
        <w:sectPr w:rsidR="00CD6405" w:rsidRPr="00D739A7" w:rsidSect="00B42E09">
          <w:type w:val="continuous"/>
          <w:pgSz w:w="11899" w:h="16838"/>
          <w:pgMar w:top="1134" w:right="1551" w:bottom="1276" w:left="1418" w:header="709" w:footer="709" w:gutter="0"/>
          <w:cols w:num="2" w:space="710" w:equalWidth="0">
            <w:col w:w="3333" w:space="710"/>
            <w:col w:w="4887"/>
          </w:cols>
          <w:docGrid w:linePitch="360"/>
        </w:sectPr>
      </w:pPr>
    </w:p>
    <w:p w14:paraId="79670D58" w14:textId="30B7F746" w:rsidR="00CD6405" w:rsidRPr="00D739A7" w:rsidRDefault="00436B97" w:rsidP="007E58DA">
      <w:pPr>
        <w:pStyle w:val="Agency-heading-3-report"/>
      </w:pPr>
      <w:bookmarkStart w:id="42" w:name="_Toc35943036"/>
      <w:r w:rsidRPr="00D739A7">
        <w:lastRenderedPageBreak/>
        <w:t>Indicator </w:t>
      </w:r>
      <w:r w:rsidR="00903978" w:rsidRPr="00D739A7">
        <w:t>1.</w:t>
      </w:r>
      <w:r w:rsidRPr="00D739A7">
        <w:t>3</w:t>
      </w:r>
      <w:r w:rsidR="00CD6405" w:rsidRPr="00D739A7">
        <w:t xml:space="preserve">c.5: the percentage of children with an official decision of SEN in fully separate educational settings, based on the </w:t>
      </w:r>
      <w:r w:rsidR="00733E74" w:rsidRPr="00D739A7">
        <w:t xml:space="preserve">pre-school </w:t>
      </w:r>
      <w:r w:rsidR="00CD6405" w:rsidRPr="00D739A7">
        <w:t xml:space="preserve">population of children with an official decision of </w:t>
      </w:r>
      <w:r w:rsidR="00AF3AF7" w:rsidRPr="00D739A7">
        <w:t>SEN </w:t>
      </w:r>
      <w:r w:rsidR="00CD6405" w:rsidRPr="00D739A7">
        <w:t>(%)</w:t>
      </w:r>
      <w:bookmarkEnd w:id="42"/>
    </w:p>
    <w:p w14:paraId="0177D372"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6CF7743C" w14:textId="2B6A3462" w:rsidR="00CD6405" w:rsidRPr="00D739A7" w:rsidRDefault="00CD6405" w:rsidP="007E58DA">
      <w:pPr>
        <w:pStyle w:val="Agency-body-text"/>
        <w:rPr>
          <w:bCs/>
        </w:rPr>
      </w:pPr>
      <w:r w:rsidRPr="00D739A7">
        <w:t>The data focuses on children with an official decision of SEN</w:t>
      </w:r>
      <w:r w:rsidR="00AF3AF7" w:rsidRPr="00D739A7">
        <w:t>,</w:t>
      </w:r>
      <w:r w:rsidRPr="00D739A7">
        <w:t xml:space="preserve"> in line with the EASIE operational definition, who are enrolled in fully separate settings education, i.e. special groups and special pre-schools</w:t>
      </w:r>
      <w:r w:rsidR="00AF3AF7" w:rsidRPr="00D739A7">
        <w:t>,</w:t>
      </w:r>
      <w:r w:rsidRPr="00D739A7">
        <w:t xml:space="preserve"> </w:t>
      </w:r>
      <w:r w:rsidRPr="00D739A7">
        <w:rPr>
          <w:bCs/>
        </w:rPr>
        <w:t>in line with the 80% placement benchmark (or the most relevant proxy for this benchmark)</w:t>
      </w:r>
      <w:r w:rsidR="00AF3AF7" w:rsidRPr="00D739A7">
        <w:rPr>
          <w:bCs/>
        </w:rPr>
        <w:t>,</w:t>
      </w:r>
      <w:r w:rsidRPr="00D739A7">
        <w:rPr>
          <w:bCs/>
        </w:rPr>
        <w:t xml:space="preserve"> in relation to the whole </w:t>
      </w:r>
      <w:r w:rsidR="00733E74" w:rsidRPr="00D739A7">
        <w:rPr>
          <w:bCs/>
        </w:rPr>
        <w:t xml:space="preserve">pre-school </w:t>
      </w:r>
      <w:r w:rsidRPr="00D739A7">
        <w:rPr>
          <w:bCs/>
        </w:rPr>
        <w:t>population of children with an official decision of SEN.</w:t>
      </w:r>
    </w:p>
    <w:p w14:paraId="6C3307FF" w14:textId="77777777" w:rsidR="00CD6405" w:rsidRPr="00D739A7" w:rsidRDefault="00CD6405" w:rsidP="007E58DA">
      <w:pPr>
        <w:pStyle w:val="Agency-body-text"/>
      </w:pPr>
      <w:r w:rsidRPr="00D739A7">
        <w:t>This indicator has been calculated as follows: The number of children with an official decision of SEN who are educated in separate special groups in mainstream educational settings (Q3.3) + The number of children with an official decision of SEN who are educated in separate special pre-schools (Q3.4) / The number of children with an official decision of SEN (Q3.1) x 100.</w:t>
      </w:r>
    </w:p>
    <w:p w14:paraId="7CC6C415" w14:textId="124B83E4" w:rsidR="00CD6405" w:rsidRPr="00D739A7" w:rsidRDefault="00CD6405" w:rsidP="007E58DA">
      <w:pPr>
        <w:pStyle w:val="Agency-body-text"/>
      </w:pPr>
      <w:r w:rsidRPr="00D739A7">
        <w:t xml:space="preserve">Data is available from </w:t>
      </w:r>
      <w:r w:rsidR="009B5521" w:rsidRPr="00D739A7">
        <w:t>1</w:t>
      </w:r>
      <w:r w:rsidRPr="00D739A7">
        <w:t>4 countries.</w:t>
      </w:r>
    </w:p>
    <w:p w14:paraId="705D62F8" w14:textId="723467C2" w:rsidR="00CD6405" w:rsidRPr="00D739A7" w:rsidRDefault="00CD6405" w:rsidP="007E58DA">
      <w:pPr>
        <w:pStyle w:val="Agency-body-text"/>
      </w:pPr>
      <w:r w:rsidRPr="00D739A7">
        <w:t xml:space="preserve">The enrolment rates in fully separate settings for children with an official decision of SEN, based on the whole population of children with an official decision of SEN, range from </w:t>
      </w:r>
      <w:r w:rsidR="009B5521" w:rsidRPr="00D739A7">
        <w:t>8.52</w:t>
      </w:r>
      <w:r w:rsidRPr="00D739A7">
        <w:t xml:space="preserve">% to </w:t>
      </w:r>
      <w:r w:rsidR="00B86D8A" w:rsidRPr="00D739A7">
        <w:t>100.00%</w:t>
      </w:r>
      <w:r w:rsidRPr="00D739A7">
        <w:t xml:space="preserve">; the total average for the </w:t>
      </w:r>
      <w:r w:rsidR="009B5521" w:rsidRPr="00D739A7">
        <w:t>1</w:t>
      </w:r>
      <w:r w:rsidRPr="00D739A7">
        <w:t>4 countries is 3</w:t>
      </w:r>
      <w:r w:rsidR="009B5521" w:rsidRPr="00D739A7">
        <w:t>6.73</w:t>
      </w:r>
      <w:r w:rsidRPr="00D739A7">
        <w:t>%.</w:t>
      </w:r>
    </w:p>
    <w:p w14:paraId="609804B4" w14:textId="77777777" w:rsidR="00AF3AF7" w:rsidRPr="00D739A7" w:rsidRDefault="009B5521" w:rsidP="004A29D9">
      <w:pPr>
        <w:keepNext/>
        <w:spacing w:before="120" w:after="120" w:line="240" w:lineRule="auto"/>
        <w:rPr>
          <w:lang w:val="en-GB"/>
        </w:rPr>
      </w:pPr>
      <w:r w:rsidRPr="00D739A7">
        <w:rPr>
          <w:rFonts w:ascii="Calibri" w:hAnsi="Calibri" w:cs="Calibri"/>
          <w:noProof/>
          <w:lang w:val="en-GB"/>
        </w:rPr>
        <w:drawing>
          <wp:inline distT="0" distB="0" distL="0" distR="0" wp14:anchorId="38039CB7" wp14:editId="6208B234">
            <wp:extent cx="3103880" cy="7187381"/>
            <wp:effectExtent l="0" t="0" r="7620" b="13970"/>
            <wp:docPr id="43" name="Diagram 43" descr="Bulgaria 14.40&#10;Cyprus 19.94&#10;Czech Republic 80.26&#10;Estonia 38.24&#10;France 44.26&#10;Greece 15.88&#10;Ireland 100.00&#10;Lithuania 8.52&#10;Luxembourg 47.93&#10;Poland 20.32&#10;Slovakia 33.25&#10;Spain 13.36&#10;Switzerland 100.00&#10;UK (England) 31.62&#10;Total average (14) 36.73">
              <a:extLst xmlns:a="http://schemas.openxmlformats.org/drawingml/2006/main">
                <a:ext uri="{FF2B5EF4-FFF2-40B4-BE49-F238E27FC236}">
                  <a16:creationId xmlns:a16="http://schemas.microsoft.com/office/drawing/2014/main" id="{E4F529EE-E42F-4034-ABA4-A491FE873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80CD94D" w14:textId="7FE1299E" w:rsidR="00CD6405" w:rsidRPr="00D739A7" w:rsidRDefault="00AF3AF7">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29</w:t>
      </w:r>
      <w:r w:rsidRPr="00D739A7">
        <w:rPr>
          <w:b w:val="0"/>
          <w:bCs w:val="0"/>
        </w:rPr>
        <w:fldChar w:fldCharType="end"/>
      </w:r>
      <w:r w:rsidR="00CD6405" w:rsidRPr="00D739A7">
        <w:t>. Percentage of children with an official decision of SEN in fully separate educational settings, based on the population of children with an official decision of SEN (%)</w:t>
      </w:r>
    </w:p>
    <w:p w14:paraId="6FF91CC9" w14:textId="77777777" w:rsidR="00CD6405" w:rsidRPr="00D739A7" w:rsidRDefault="00CD6405" w:rsidP="007E58DA">
      <w:pPr>
        <w:pStyle w:val="Agency-caption-report"/>
        <w:sectPr w:rsidR="00CD6405" w:rsidRPr="00D739A7" w:rsidSect="00B42E09">
          <w:type w:val="continuous"/>
          <w:pgSz w:w="11899" w:h="16838"/>
          <w:pgMar w:top="1134" w:right="1551" w:bottom="1276" w:left="1418" w:header="709" w:footer="709" w:gutter="0"/>
          <w:cols w:num="2" w:space="710" w:equalWidth="0">
            <w:col w:w="3333" w:space="710"/>
            <w:col w:w="4887"/>
          </w:cols>
          <w:docGrid w:linePitch="360"/>
        </w:sectPr>
      </w:pPr>
    </w:p>
    <w:p w14:paraId="42D2459A" w14:textId="4AF8CEED" w:rsidR="00CD6405" w:rsidRPr="00D739A7" w:rsidRDefault="00CD6405" w:rsidP="007E58DA">
      <w:pPr>
        <w:pStyle w:val="Agency-heading-4-report"/>
      </w:pPr>
      <w:r w:rsidRPr="00D739A7">
        <w:lastRenderedPageBreak/>
        <w:t xml:space="preserve">Gender breakdown of children with an official decision of SEN in fully separate educational settings, based on the </w:t>
      </w:r>
      <w:r w:rsidR="00733E74" w:rsidRPr="00D739A7">
        <w:t xml:space="preserve">pre-school </w:t>
      </w:r>
      <w:r w:rsidRPr="00D739A7">
        <w:t>population of children with an official decision of SEN (%)</w:t>
      </w:r>
    </w:p>
    <w:p w14:paraId="17C50515" w14:textId="77777777" w:rsidR="00CD6405" w:rsidRPr="00D739A7" w:rsidRDefault="00CD6405" w:rsidP="00CD6405">
      <w:pPr>
        <w:spacing w:before="120" w:after="120" w:line="240" w:lineRule="auto"/>
        <w:rPr>
          <w:rFonts w:ascii="Calibri" w:eastAsia="Times New Roman" w:hAnsi="Calibri" w:cs="Calibri"/>
          <w:color w:val="000000"/>
          <w:sz w:val="24"/>
          <w:szCs w:val="24"/>
          <w:lang w:val="en-GB"/>
        </w:rPr>
        <w:sectPr w:rsidR="00CD6405" w:rsidRPr="00D739A7" w:rsidSect="00751B98">
          <w:pgSz w:w="11899" w:h="16838"/>
          <w:pgMar w:top="1134" w:right="1551" w:bottom="1276" w:left="1418" w:header="709" w:footer="709" w:gutter="0"/>
          <w:cols w:space="710"/>
          <w:docGrid w:linePitch="360"/>
        </w:sectPr>
      </w:pPr>
    </w:p>
    <w:p w14:paraId="7C60ABD3" w14:textId="77777777" w:rsidR="00CD6405" w:rsidRPr="00D739A7" w:rsidRDefault="00CD6405" w:rsidP="007E58DA">
      <w:pPr>
        <w:pStyle w:val="Agency-body-text"/>
      </w:pPr>
      <w:r w:rsidRPr="00D739A7">
        <w:t>The gender breakdowns have been calculated as follows:</w:t>
      </w:r>
    </w:p>
    <w:p w14:paraId="23ACBC82" w14:textId="77777777" w:rsidR="00CD6405" w:rsidRPr="00D739A7" w:rsidRDefault="00CD6405" w:rsidP="007E58DA">
      <w:pPr>
        <w:pStyle w:val="Agency-body-text"/>
      </w:pPr>
      <w:r w:rsidRPr="00D739A7">
        <w:t>Boys: The number of boys with an official decision of SEN who are educated in separate special groups in mainstream educational settings (Q3.3) + The number of boys with an official decision of SEN who are educated in separate special pre-schools (Q3.4) / The number of children with an official decision of SEN (Q3.1) x 100.</w:t>
      </w:r>
    </w:p>
    <w:p w14:paraId="34C88EA2" w14:textId="77777777" w:rsidR="00CD6405" w:rsidRPr="00D739A7" w:rsidRDefault="00CD6405" w:rsidP="007E58DA">
      <w:pPr>
        <w:pStyle w:val="Agency-body-text"/>
      </w:pPr>
      <w:r w:rsidRPr="00D739A7">
        <w:t>Girls: The number of girls with an official decision of SEN who are educated in separate special groups in mainstream educational settings (Q3.3) + The number of girls with an official decision of SEN who are educated in separate special pre-schools (Q3.4) / The number of children with an official decision of SEN (Q3.1) x 100.</w:t>
      </w:r>
    </w:p>
    <w:p w14:paraId="0D14BAAA" w14:textId="38F34F92" w:rsidR="00CD6405" w:rsidRPr="00D739A7" w:rsidRDefault="00CD6405" w:rsidP="007E58DA">
      <w:pPr>
        <w:pStyle w:val="Agency-body-text"/>
        <w:rPr>
          <w:bCs/>
        </w:rPr>
      </w:pPr>
      <w:r w:rsidRPr="00D739A7">
        <w:rPr>
          <w:bCs/>
        </w:rPr>
        <w:t>Data is available from 1</w:t>
      </w:r>
      <w:r w:rsidR="009B5521" w:rsidRPr="00D739A7">
        <w:rPr>
          <w:bCs/>
        </w:rPr>
        <w:t>3</w:t>
      </w:r>
      <w:r w:rsidRPr="00D739A7">
        <w:rPr>
          <w:bCs/>
        </w:rPr>
        <w:t xml:space="preserve"> countries.</w:t>
      </w:r>
    </w:p>
    <w:p w14:paraId="6F49CF1E" w14:textId="7C06A208" w:rsidR="00CD6405" w:rsidRPr="00D739A7" w:rsidRDefault="00CD6405" w:rsidP="007E58DA">
      <w:pPr>
        <w:pStyle w:val="Agency-body-text"/>
      </w:pPr>
      <w:r w:rsidRPr="00D739A7">
        <w:t>The fully separate placement enrolment rates</w:t>
      </w:r>
      <w:r w:rsidR="00E25806" w:rsidRPr="00D739A7">
        <w:t xml:space="preserve"> for boys</w:t>
      </w:r>
      <w:r w:rsidRPr="00D739A7">
        <w:t>, based on the whole population of children with an official decision of SEN, range from 5.</w:t>
      </w:r>
      <w:r w:rsidR="009B5521" w:rsidRPr="00D739A7">
        <w:t>91</w:t>
      </w:r>
      <w:r w:rsidRPr="00D739A7">
        <w:t xml:space="preserve">% to </w:t>
      </w:r>
      <w:r w:rsidR="009B5521" w:rsidRPr="00D739A7">
        <w:t>76.70</w:t>
      </w:r>
      <w:r w:rsidRPr="00D739A7">
        <w:t>%; the total average for the 1</w:t>
      </w:r>
      <w:r w:rsidR="009B5521" w:rsidRPr="00D739A7">
        <w:t>3</w:t>
      </w:r>
      <w:r w:rsidRPr="00D739A7">
        <w:t xml:space="preserve"> countries is 2</w:t>
      </w:r>
      <w:r w:rsidR="009B5521" w:rsidRPr="00D739A7">
        <w:t>4.15</w:t>
      </w:r>
      <w:r w:rsidRPr="00D739A7">
        <w:t>%.</w:t>
      </w:r>
    </w:p>
    <w:p w14:paraId="7D9B970C" w14:textId="2CCCB709" w:rsidR="00CD6405" w:rsidRPr="00D739A7" w:rsidRDefault="00CD6405" w:rsidP="007E58DA">
      <w:pPr>
        <w:pStyle w:val="Agency-body-text"/>
      </w:pPr>
      <w:r w:rsidRPr="00D739A7">
        <w:t>The fully separate placement enrolment rates</w:t>
      </w:r>
      <w:r w:rsidR="00E25806" w:rsidRPr="00D739A7">
        <w:t xml:space="preserve"> for girls</w:t>
      </w:r>
      <w:r w:rsidRPr="00D739A7">
        <w:t xml:space="preserve">, based on the whole population of children with an official decision of SEN, range from </w:t>
      </w:r>
      <w:r w:rsidR="009B5521" w:rsidRPr="00D739A7">
        <w:t>2.61</w:t>
      </w:r>
      <w:r w:rsidRPr="00D739A7">
        <w:t xml:space="preserve">% to </w:t>
      </w:r>
      <w:r w:rsidR="00727901" w:rsidRPr="00D739A7">
        <w:t>29.22</w:t>
      </w:r>
      <w:r w:rsidRPr="00D739A7">
        <w:t>%; the total average for the 1</w:t>
      </w:r>
      <w:r w:rsidR="009B5521" w:rsidRPr="00D739A7">
        <w:t>3</w:t>
      </w:r>
      <w:r w:rsidRPr="00D739A7">
        <w:t xml:space="preserve"> countries is 12.</w:t>
      </w:r>
      <w:r w:rsidR="009B5521" w:rsidRPr="00D739A7">
        <w:t>51</w:t>
      </w:r>
      <w:r w:rsidRPr="00D739A7">
        <w:t>%.</w:t>
      </w:r>
    </w:p>
    <w:p w14:paraId="4F4E616A" w14:textId="77777777" w:rsidR="00E25806" w:rsidRPr="00D739A7" w:rsidRDefault="009B5521" w:rsidP="004A29D9">
      <w:pPr>
        <w:keepNext/>
        <w:spacing w:before="120" w:after="120" w:line="240" w:lineRule="auto"/>
        <w:rPr>
          <w:lang w:val="en-GB"/>
        </w:rPr>
      </w:pPr>
      <w:r w:rsidRPr="00D739A7">
        <w:rPr>
          <w:rFonts w:ascii="Calibri" w:hAnsi="Calibri" w:cs="Calibri"/>
          <w:noProof/>
          <w:lang w:val="en-GB"/>
        </w:rPr>
        <w:drawing>
          <wp:inline distT="0" distB="0" distL="0" distR="0" wp14:anchorId="1E5D56EF" wp14:editId="3F2C3E4B">
            <wp:extent cx="3103880" cy="7226709"/>
            <wp:effectExtent l="0" t="0" r="7620" b="12700"/>
            <wp:docPr id="44" name="Diagram 44" descr="Bulgaria &#10;Boys 9.02 &#10;Girls 5.38&#10;Cyprus &#10;Boys 14.39 &#10;Girls 5.56&#10;Czech Republic &#10;Boys 52.47 &#10;Girls 27.79&#10;Estonia &#10;Boys 27.68 &#10;Girls 10.56&#10;France &#10;Boys 28.38 &#10;Girls 15.88&#10;Greece &#10;Boys 10.96 &#10;Girls 4.92&#10;Ireland &#10;Boys 76.70 &#10;Girls 23.30&#10;Lithuania &#10;Boys 5.91 &#10;Girls 2.61  &#10;Poland &#10;Boys 14.08 &#10;Girls 6.23&#10;Slovakia &#10;Boys 21.52 &#10;Girls 11.73&#10;Spain &#10;Boys 8.52 &#10;Girls 4.84&#10;Switzerland &#10;Boys 70.78 &#10;Girls 29.22&#10;UK (England) &#10;Boys 22.07 &#10;Girls 9.55&#10;Total average (13) &#10;Boys 24.15 &#10;Girls 12.51">
              <a:extLst xmlns:a="http://schemas.openxmlformats.org/drawingml/2006/main">
                <a:ext uri="{FF2B5EF4-FFF2-40B4-BE49-F238E27FC236}">
                  <a16:creationId xmlns:a16="http://schemas.microsoft.com/office/drawing/2014/main" id="{A4C2B9D5-B826-4FA7-8DDE-A0C010EACE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90BC142" w14:textId="5B503360" w:rsidR="00CD6405" w:rsidRPr="00D739A7" w:rsidRDefault="00E25806">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30</w:t>
      </w:r>
      <w:r w:rsidRPr="00D739A7">
        <w:rPr>
          <w:b w:val="0"/>
          <w:bCs w:val="0"/>
        </w:rPr>
        <w:fldChar w:fldCharType="end"/>
      </w:r>
      <w:r w:rsidR="00CD6405" w:rsidRPr="00D739A7">
        <w:t>. Gender breakdown of children with an official decision of SEN in fully separate educational settings, based on the population of children with an official decision of SEN (%)</w:t>
      </w:r>
    </w:p>
    <w:p w14:paraId="4301B880" w14:textId="77777777" w:rsidR="00CD6405" w:rsidRPr="00D739A7" w:rsidRDefault="00CD6405" w:rsidP="007E58DA">
      <w:pPr>
        <w:pStyle w:val="Agency-caption-report"/>
        <w:sectPr w:rsidR="00CD6405" w:rsidRPr="00D739A7" w:rsidSect="00B42E09">
          <w:type w:val="continuous"/>
          <w:pgSz w:w="11899" w:h="16838"/>
          <w:pgMar w:top="1134" w:right="1551" w:bottom="1276" w:left="1418" w:header="709" w:footer="709" w:gutter="0"/>
          <w:cols w:num="2" w:space="710" w:equalWidth="0">
            <w:col w:w="3333" w:space="710"/>
            <w:col w:w="4887"/>
          </w:cols>
          <w:docGrid w:linePitch="360"/>
        </w:sectPr>
      </w:pPr>
    </w:p>
    <w:p w14:paraId="340FD0D4" w14:textId="72EBFED9" w:rsidR="00CD6405" w:rsidRPr="00D739A7" w:rsidRDefault="00CD6405" w:rsidP="007E58DA">
      <w:pPr>
        <w:pStyle w:val="Agency-heading-4-report"/>
      </w:pPr>
      <w:r w:rsidRPr="00D739A7">
        <w:lastRenderedPageBreak/>
        <w:t xml:space="preserve">Gender distribution of children with an official decision of SEN in fully separate educational settings, based on the </w:t>
      </w:r>
      <w:r w:rsidR="00733E74" w:rsidRPr="00D739A7">
        <w:t xml:space="preserve">pre-school </w:t>
      </w:r>
      <w:r w:rsidRPr="00D739A7">
        <w:t>population of children with an official decision of SEN (%)</w:t>
      </w:r>
    </w:p>
    <w:p w14:paraId="5DCB360C" w14:textId="77777777" w:rsidR="00CD6405" w:rsidRPr="00D739A7" w:rsidRDefault="00CD6405" w:rsidP="007E58DA">
      <w:pPr>
        <w:pStyle w:val="Agency-heading-4-report"/>
        <w:rPr>
          <w:rFonts w:cs="Calibri"/>
        </w:rPr>
        <w:sectPr w:rsidR="00CD6405" w:rsidRPr="00D739A7" w:rsidSect="00751B98">
          <w:pgSz w:w="11899" w:h="16838"/>
          <w:pgMar w:top="1134" w:right="1551" w:bottom="1276" w:left="1418" w:header="709" w:footer="709" w:gutter="0"/>
          <w:cols w:space="710"/>
          <w:docGrid w:linePitch="360"/>
        </w:sectPr>
      </w:pPr>
    </w:p>
    <w:p w14:paraId="57E54CD0" w14:textId="77777777" w:rsidR="00CD6405" w:rsidRPr="00D739A7" w:rsidRDefault="00CD6405" w:rsidP="007E58DA">
      <w:pPr>
        <w:pStyle w:val="Agency-body-text"/>
      </w:pPr>
      <w:r w:rsidRPr="00D739A7">
        <w:t>The gender distributions have been calculated as follows:</w:t>
      </w:r>
    </w:p>
    <w:p w14:paraId="12C0BB54" w14:textId="59DA3D1A" w:rsidR="00CD6405" w:rsidRPr="00D739A7" w:rsidRDefault="00EF3C3C" w:rsidP="007E58DA">
      <w:pPr>
        <w:pStyle w:val="Agency-body-text"/>
      </w:pPr>
      <w:r w:rsidRPr="00D739A7">
        <w:t>Boys</w:t>
      </w:r>
      <w:r w:rsidR="00CD6405" w:rsidRPr="00D739A7">
        <w:t>: The number of boys with an official decision of SEN who are educated in separate special groups in mainstream educational settings (Q3.3) + The number of boys with an official decision of SEN who are educated in separate special pre</w:t>
      </w:r>
      <w:r w:rsidR="00E25806" w:rsidRPr="00D739A7">
        <w:noBreakHyphen/>
      </w:r>
      <w:r w:rsidR="00CD6405" w:rsidRPr="00D739A7">
        <w:t>schools (Q3.4) / The number of children with an official decision of SEN who are educated in separate special groups in mainstream educational settings (Q3.3) + The number of children with an official decision of SEN who are educated in separate special pre-schools (Q3.4) x 100.</w:t>
      </w:r>
    </w:p>
    <w:p w14:paraId="06DF5159" w14:textId="2466EC68" w:rsidR="00CD6405" w:rsidRPr="00D739A7" w:rsidRDefault="00EF3C3C" w:rsidP="007E58DA">
      <w:pPr>
        <w:pStyle w:val="Agency-body-text"/>
      </w:pPr>
      <w:r w:rsidRPr="00D739A7">
        <w:t>Girls</w:t>
      </w:r>
      <w:r w:rsidR="00CD6405" w:rsidRPr="00D739A7">
        <w:t>: The number of girls with an official decision of SEN who are educated in separate special groups in mainstream educational settings (Q3.3) + The number of girls with an official decision of SEN who are educated in separate special pre</w:t>
      </w:r>
      <w:r w:rsidR="00E25806" w:rsidRPr="00D739A7">
        <w:noBreakHyphen/>
      </w:r>
      <w:r w:rsidR="00CD6405" w:rsidRPr="00D739A7">
        <w:t>schools (Q3.4) / The number of children with an official decision of SEN who are educated in separate special groups in mainstream educational settings (Q3.3) + The number of children with an official decision of SEN who are educated in separate special pre-schools (Q3.4) x 100.</w:t>
      </w:r>
    </w:p>
    <w:p w14:paraId="40406FEA" w14:textId="2F1D5A43" w:rsidR="00CD6405" w:rsidRPr="00D739A7" w:rsidRDefault="00CD6405" w:rsidP="007E58DA">
      <w:pPr>
        <w:pStyle w:val="Agency-body-text"/>
        <w:rPr>
          <w:bCs/>
        </w:rPr>
      </w:pPr>
      <w:r w:rsidRPr="00D739A7">
        <w:rPr>
          <w:bCs/>
        </w:rPr>
        <w:t>Data is available from 1</w:t>
      </w:r>
      <w:r w:rsidR="00205D79" w:rsidRPr="00D739A7">
        <w:rPr>
          <w:bCs/>
        </w:rPr>
        <w:t>3</w:t>
      </w:r>
      <w:r w:rsidRPr="00D739A7">
        <w:rPr>
          <w:bCs/>
        </w:rPr>
        <w:t xml:space="preserve"> countries.</w:t>
      </w:r>
    </w:p>
    <w:p w14:paraId="031240C6" w14:textId="7119B6A5" w:rsidR="00CD6405" w:rsidRPr="00D739A7" w:rsidRDefault="00CD6405" w:rsidP="007E58DA">
      <w:pPr>
        <w:pStyle w:val="Agency-body-text"/>
      </w:pPr>
      <w:r w:rsidRPr="00D739A7">
        <w:t xml:space="preserve">The proportion of boys with an official decision of SEN in fully separate educational settings, based on the population of children with an official decision of SEN, ranges from </w:t>
      </w:r>
      <w:r w:rsidR="00205D79" w:rsidRPr="00D739A7">
        <w:t>62.65</w:t>
      </w:r>
      <w:r w:rsidRPr="00D739A7">
        <w:t>% to 7</w:t>
      </w:r>
      <w:r w:rsidR="00205D79" w:rsidRPr="00D739A7">
        <w:t>6.70</w:t>
      </w:r>
      <w:r w:rsidRPr="00D739A7">
        <w:t>%; the total average for the 1</w:t>
      </w:r>
      <w:r w:rsidR="00205D79" w:rsidRPr="00D739A7">
        <w:t>3</w:t>
      </w:r>
      <w:r w:rsidRPr="00D739A7">
        <w:t xml:space="preserve"> countries is 65.</w:t>
      </w:r>
      <w:r w:rsidR="00DC764D">
        <w:t>88</w:t>
      </w:r>
      <w:r w:rsidRPr="00D739A7">
        <w:t>%.</w:t>
      </w:r>
    </w:p>
    <w:p w14:paraId="6E4B9A75" w14:textId="0280C664" w:rsidR="00CD6405" w:rsidRPr="00D739A7" w:rsidRDefault="00CD6405" w:rsidP="007E58DA">
      <w:pPr>
        <w:pStyle w:val="Agency-body-text"/>
        <w:rPr>
          <w:rFonts w:cs="Calibri"/>
          <w:color w:val="000000"/>
          <w:szCs w:val="24"/>
        </w:rPr>
      </w:pPr>
      <w:r w:rsidRPr="00D739A7">
        <w:rPr>
          <w:rFonts w:cs="Calibri"/>
          <w:color w:val="000000"/>
          <w:szCs w:val="24"/>
        </w:rPr>
        <w:t>The proportion of girls with an official decision of SEN in fully separate educational settings, based on the population of children with an official decision of SEN, ranges from 2</w:t>
      </w:r>
      <w:r w:rsidR="00205D79" w:rsidRPr="00D739A7">
        <w:rPr>
          <w:rFonts w:cs="Calibri"/>
          <w:color w:val="000000"/>
          <w:szCs w:val="24"/>
        </w:rPr>
        <w:t>3.30</w:t>
      </w:r>
      <w:r w:rsidRPr="00D739A7">
        <w:rPr>
          <w:rFonts w:cs="Calibri"/>
          <w:color w:val="000000"/>
          <w:szCs w:val="24"/>
        </w:rPr>
        <w:t xml:space="preserve">% to </w:t>
      </w:r>
      <w:r w:rsidR="00205D79" w:rsidRPr="00D739A7">
        <w:rPr>
          <w:rFonts w:cs="Calibri"/>
          <w:color w:val="000000"/>
          <w:szCs w:val="24"/>
        </w:rPr>
        <w:t>37.35</w:t>
      </w:r>
      <w:r w:rsidRPr="00D739A7">
        <w:rPr>
          <w:rFonts w:cs="Calibri"/>
          <w:color w:val="000000"/>
          <w:szCs w:val="24"/>
        </w:rPr>
        <w:t>%; the total average for the 1</w:t>
      </w:r>
      <w:r w:rsidR="00205D79" w:rsidRPr="00D739A7">
        <w:rPr>
          <w:rFonts w:cs="Calibri"/>
          <w:color w:val="000000"/>
          <w:szCs w:val="24"/>
        </w:rPr>
        <w:t>3</w:t>
      </w:r>
      <w:r w:rsidRPr="00D739A7">
        <w:rPr>
          <w:rFonts w:cs="Calibri"/>
          <w:color w:val="000000"/>
          <w:szCs w:val="24"/>
        </w:rPr>
        <w:t xml:space="preserve"> countries is 34.</w:t>
      </w:r>
      <w:r w:rsidR="00DC764D">
        <w:rPr>
          <w:rFonts w:cs="Calibri"/>
          <w:color w:val="000000"/>
          <w:szCs w:val="24"/>
        </w:rPr>
        <w:t>12</w:t>
      </w:r>
      <w:r w:rsidRPr="00D739A7">
        <w:rPr>
          <w:rFonts w:cs="Calibri"/>
          <w:color w:val="000000"/>
          <w:szCs w:val="24"/>
        </w:rPr>
        <w:t>%.</w:t>
      </w:r>
    </w:p>
    <w:p w14:paraId="1074B3E1" w14:textId="77777777" w:rsidR="004F524A" w:rsidRPr="00D739A7" w:rsidRDefault="00205D79" w:rsidP="004A29D9">
      <w:pPr>
        <w:keepNext/>
        <w:spacing w:before="120" w:after="120" w:line="240" w:lineRule="auto"/>
        <w:rPr>
          <w:lang w:val="en-GB"/>
        </w:rPr>
      </w:pPr>
      <w:r w:rsidRPr="00D739A7">
        <w:rPr>
          <w:rFonts w:ascii="Calibri" w:hAnsi="Calibri" w:cs="Calibri"/>
          <w:noProof/>
          <w:lang w:val="en-GB"/>
        </w:rPr>
        <w:drawing>
          <wp:inline distT="0" distB="0" distL="0" distR="0" wp14:anchorId="190FE9A5" wp14:editId="35A5DD50">
            <wp:extent cx="2876550" cy="5948516"/>
            <wp:effectExtent l="0" t="0" r="6350" b="8255"/>
            <wp:docPr id="45" name="Diagram 45" descr="Bulgaria &#10;Boys 62.65 &#10;Girls 37.35&#10;Cyprus &#10;Boys 72.14 &#10;Girls 27.86&#10;Czech Republic &#10;Boys 65.38 &#10;Girls 34.62&#10;Estonia &#10;Boys 72.39 &#10;Girls 27.61&#10;France &#10;Boys 64.11 &#10;Girls 35.89&#10;Greece &#10;Boys 69.02 &#10;Girls 30.98&#10;Ireland &#10;Boys 76.70 &#10;Girls 23.30&#10;Lithuania &#10;Boys 69.35 &#10;Girls 30.65  &#10;Poland &#10;Boys 69.32 &#10;Girls 30.68&#10;Slovakia &#10;Boys 64.71 &#10;Girls 35.29&#10;Spain &#10;Boys 63.74 &#10;Girls 36.26&#10;Switzerland &#10;Boys 70.78 &#10;Girls 29.22&#10;UK (England) &#10;Boys 69.79 &#10;Girls 30.21&#10;Total average (13) &#10;Boys 65.88 &#10;Girls 34.12">
              <a:extLst xmlns:a="http://schemas.openxmlformats.org/drawingml/2006/main">
                <a:ext uri="{FF2B5EF4-FFF2-40B4-BE49-F238E27FC236}">
                  <a16:creationId xmlns:a16="http://schemas.microsoft.com/office/drawing/2014/main" id="{26CB3FBA-7957-49B0-BB86-D0E5322438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1FEE064" w14:textId="6D33E070" w:rsidR="00CD6405" w:rsidRPr="00D739A7" w:rsidRDefault="004F524A">
      <w:pPr>
        <w:pStyle w:val="Agency-caption-report"/>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31</w:t>
      </w:r>
      <w:r w:rsidRPr="00D739A7">
        <w:rPr>
          <w:b w:val="0"/>
          <w:bCs w:val="0"/>
        </w:rPr>
        <w:fldChar w:fldCharType="end"/>
      </w:r>
      <w:r w:rsidR="00CD6405" w:rsidRPr="00D739A7">
        <w:t>. Gender distribution of children with an official decision of SEN in fully separate educational settings, based on the population of children with an official decision of SEN (%)</w:t>
      </w:r>
    </w:p>
    <w:p w14:paraId="29F30B29" w14:textId="77777777" w:rsidR="00CD6405" w:rsidRPr="00D739A7" w:rsidRDefault="00CD6405" w:rsidP="007E58DA">
      <w:pPr>
        <w:pStyle w:val="Agency-caption-report"/>
        <w:sectPr w:rsidR="00CD6405" w:rsidRPr="00D739A7" w:rsidSect="00DC764D">
          <w:type w:val="continuous"/>
          <w:pgSz w:w="11899" w:h="16838"/>
          <w:pgMar w:top="1134" w:right="1551" w:bottom="1276" w:left="1418" w:header="709" w:footer="709" w:gutter="0"/>
          <w:cols w:num="2" w:space="710" w:equalWidth="0">
            <w:col w:w="3693" w:space="633"/>
            <w:col w:w="4604"/>
          </w:cols>
          <w:docGrid w:linePitch="360"/>
        </w:sectPr>
      </w:pPr>
    </w:p>
    <w:p w14:paraId="4FC54579" w14:textId="0739082F" w:rsidR="009F2D7A" w:rsidRPr="00D739A7" w:rsidRDefault="009908E4" w:rsidP="007E58DA">
      <w:pPr>
        <w:pStyle w:val="Agency-heading-1-report"/>
      </w:pPr>
      <w:bookmarkStart w:id="43" w:name="section2"/>
      <w:bookmarkStart w:id="44" w:name="_Toc35943037"/>
      <w:bookmarkStart w:id="45" w:name="_Hlk26426025"/>
      <w:bookmarkEnd w:id="43"/>
      <w:r w:rsidRPr="00D739A7">
        <w:lastRenderedPageBreak/>
        <w:t>Chapter </w:t>
      </w:r>
      <w:r w:rsidR="009F2D7A" w:rsidRPr="00D739A7">
        <w:t xml:space="preserve">2: Primary and </w:t>
      </w:r>
      <w:r w:rsidR="00B62A55" w:rsidRPr="00D739A7">
        <w:t>lower</w:t>
      </w:r>
      <w:r w:rsidR="009F2D7A" w:rsidRPr="00D739A7">
        <w:t>-</w:t>
      </w:r>
      <w:r w:rsidRPr="00D739A7">
        <w:t xml:space="preserve">secondary </w:t>
      </w:r>
      <w:r w:rsidR="00B62A55" w:rsidRPr="00D739A7">
        <w:t xml:space="preserve">education </w:t>
      </w:r>
      <w:r w:rsidR="009F2D7A" w:rsidRPr="00D739A7">
        <w:t>(ISCED Levels 1 and 2)</w:t>
      </w:r>
      <w:bookmarkEnd w:id="44"/>
    </w:p>
    <w:p w14:paraId="679F7047" w14:textId="77777777" w:rsidR="00BD52DE" w:rsidRPr="00D739A7" w:rsidRDefault="00BD52DE" w:rsidP="00BD52DE">
      <w:pPr>
        <w:pStyle w:val="Agency-body-text-report"/>
        <w:sectPr w:rsidR="00BD52DE" w:rsidRPr="00D739A7" w:rsidSect="00751B98">
          <w:pgSz w:w="11899" w:h="16838"/>
          <w:pgMar w:top="1134" w:right="1551" w:bottom="1276" w:left="1418" w:header="709" w:footer="709" w:gutter="0"/>
          <w:cols w:space="708"/>
          <w:docGrid w:linePitch="360"/>
        </w:sectPr>
      </w:pPr>
    </w:p>
    <w:p w14:paraId="3EC3F003" w14:textId="4E85CCBC" w:rsidR="00BD52DE" w:rsidRPr="00D739A7" w:rsidRDefault="00903978" w:rsidP="00BD52DE">
      <w:pPr>
        <w:pStyle w:val="Agency-heading-1-report"/>
      </w:pPr>
      <w:bookmarkStart w:id="46" w:name="_Toc35943038"/>
      <w:r w:rsidRPr="00D739A7">
        <w:lastRenderedPageBreak/>
        <w:t>2.</w:t>
      </w:r>
      <w:r w:rsidR="00BD52DE" w:rsidRPr="00D739A7">
        <w:t>1. Population and Enrolment</w:t>
      </w:r>
      <w:bookmarkEnd w:id="46"/>
    </w:p>
    <w:p w14:paraId="720DA088" w14:textId="77777777" w:rsidR="00550DA8" w:rsidRPr="00D739A7" w:rsidRDefault="009F2D7A" w:rsidP="004A29D9">
      <w:pPr>
        <w:pStyle w:val="Agency-body-text-report"/>
      </w:pPr>
      <w:bookmarkStart w:id="47" w:name="_Hlk26433596"/>
      <w:r w:rsidRPr="00D739A7">
        <w:t>There are two agreed indicators for this area, both based on the enrolled school population (i.e. the data presented for each country in relation to Q1.2).</w:t>
      </w:r>
    </w:p>
    <w:p w14:paraId="532099E8" w14:textId="0B846B1B" w:rsidR="009F2D7A" w:rsidRPr="00D739A7" w:rsidRDefault="009F2D7A" w:rsidP="004A29D9">
      <w:pPr>
        <w:pStyle w:val="Agency-body-text-report"/>
        <w:keepNext/>
      </w:pPr>
      <w:r w:rsidRPr="00D739A7">
        <w:t>The data presented focuses on:</w:t>
      </w:r>
    </w:p>
    <w:p w14:paraId="24BD46FA" w14:textId="77777777" w:rsidR="009F2D7A" w:rsidRPr="00D739A7" w:rsidRDefault="009F2D7A" w:rsidP="004A29D9">
      <w:pPr>
        <w:pStyle w:val="Agency-body-text-report"/>
        <w:numPr>
          <w:ilvl w:val="0"/>
          <w:numId w:val="59"/>
        </w:numPr>
      </w:pPr>
      <w:r w:rsidRPr="00D739A7">
        <w:t>who is in formal education and who is not;</w:t>
      </w:r>
    </w:p>
    <w:p w14:paraId="0C58BBAA" w14:textId="77777777" w:rsidR="009F2D7A" w:rsidRPr="00D739A7" w:rsidRDefault="009F2D7A" w:rsidP="004A29D9">
      <w:pPr>
        <w:pStyle w:val="Agency-body-text-report"/>
        <w:numPr>
          <w:ilvl w:val="0"/>
          <w:numId w:val="59"/>
        </w:numPr>
      </w:pPr>
      <w:r w:rsidRPr="00D739A7">
        <w:t>who is educated in an inclusive setting and who is not.</w:t>
      </w:r>
    </w:p>
    <w:p w14:paraId="4324303D" w14:textId="77777777" w:rsidR="009F2D7A" w:rsidRPr="00D739A7" w:rsidRDefault="009F2D7A" w:rsidP="004A29D9">
      <w:pPr>
        <w:pStyle w:val="Agency-body-text-report"/>
        <w:keepNext/>
      </w:pPr>
      <w:r w:rsidRPr="00D739A7">
        <w:t>The data collected provides information on:</w:t>
      </w:r>
    </w:p>
    <w:p w14:paraId="5E5B78F0" w14:textId="77777777" w:rsidR="009F2D7A" w:rsidRPr="00D739A7" w:rsidRDefault="009F2D7A" w:rsidP="004A29D9">
      <w:pPr>
        <w:pStyle w:val="Agency-body-text-report"/>
        <w:numPr>
          <w:ilvl w:val="0"/>
          <w:numId w:val="60"/>
        </w:numPr>
      </w:pPr>
      <w:r w:rsidRPr="00D739A7">
        <w:t>access to education;</w:t>
      </w:r>
    </w:p>
    <w:p w14:paraId="763B74CA" w14:textId="77777777" w:rsidR="009F2D7A" w:rsidRPr="00D739A7" w:rsidRDefault="009F2D7A" w:rsidP="004A29D9">
      <w:pPr>
        <w:pStyle w:val="Agency-body-text-report"/>
        <w:numPr>
          <w:ilvl w:val="0"/>
          <w:numId w:val="60"/>
        </w:numPr>
      </w:pPr>
      <w:r w:rsidRPr="00D739A7">
        <w:t>the placement of learners in inclusive settings or otherwise.</w:t>
      </w:r>
    </w:p>
    <w:p w14:paraId="61FC4EE9" w14:textId="77777777" w:rsidR="009F2D7A" w:rsidRPr="00D739A7" w:rsidRDefault="009F2D7A" w:rsidP="004A29D9">
      <w:pPr>
        <w:pStyle w:val="Agency-body-text-report"/>
      </w:pPr>
      <w:r w:rsidRPr="00D739A7">
        <w:t>The indicators focus on mainstream and inclusive education in the broadest sense. They are calculated based on data on all learners eligible to be in education, not just those recognised as having SEN.</w:t>
      </w:r>
    </w:p>
    <w:p w14:paraId="276C1F48" w14:textId="77777777" w:rsidR="009F2D7A" w:rsidRPr="00D739A7" w:rsidRDefault="009F2D7A" w:rsidP="009F2D7A">
      <w:pPr>
        <w:spacing w:before="120" w:after="120" w:line="240" w:lineRule="auto"/>
        <w:rPr>
          <w:rFonts w:ascii="Calibri" w:eastAsia="Times New Roman" w:hAnsi="Calibri" w:cs="Calibri"/>
          <w:color w:val="000000"/>
          <w:lang w:val="en-GB"/>
        </w:rPr>
      </w:pPr>
      <w:r w:rsidRPr="00D739A7">
        <w:rPr>
          <w:rFonts w:ascii="Calibri" w:eastAsia="Times New Roman" w:hAnsi="Calibri" w:cs="Calibri"/>
          <w:color w:val="000000"/>
          <w:lang w:val="en-GB"/>
        </w:rPr>
        <w:br w:type="page"/>
      </w:r>
    </w:p>
    <w:p w14:paraId="79F8D070"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08"/>
          <w:docGrid w:linePitch="360"/>
        </w:sectPr>
      </w:pPr>
    </w:p>
    <w:p w14:paraId="59615D3C" w14:textId="34C55086" w:rsidR="009F2D7A" w:rsidRPr="00D739A7" w:rsidRDefault="00436B97" w:rsidP="004A29D9">
      <w:pPr>
        <w:pStyle w:val="Agency-heading-2-report"/>
      </w:pPr>
      <w:bookmarkStart w:id="48" w:name="_Toc35943039"/>
      <w:r w:rsidRPr="00D739A7">
        <w:lastRenderedPageBreak/>
        <w:t>Indicator </w:t>
      </w:r>
      <w:r w:rsidR="00903978" w:rsidRPr="00D739A7">
        <w:t>2.</w:t>
      </w:r>
      <w:r w:rsidRPr="00D739A7">
        <w:t>1</w:t>
      </w:r>
      <w:r w:rsidR="009F2D7A" w:rsidRPr="00D739A7">
        <w:t>.1: the enrolment rate in mainstream education, based on the enrolled school population (%)</w:t>
      </w:r>
      <w:bookmarkEnd w:id="48"/>
    </w:p>
    <w:p w14:paraId="0742AD14"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type w:val="continuous"/>
          <w:pgSz w:w="11899" w:h="16838"/>
          <w:pgMar w:top="1134" w:right="1551" w:bottom="1276" w:left="1418" w:header="709" w:footer="709" w:gutter="0"/>
          <w:cols w:space="708"/>
          <w:docGrid w:linePitch="360"/>
        </w:sectPr>
      </w:pPr>
    </w:p>
    <w:p w14:paraId="23F6896C" w14:textId="77777777" w:rsidR="009F2D7A" w:rsidRPr="00D739A7" w:rsidRDefault="009F2D7A" w:rsidP="00F01E04">
      <w:pPr>
        <w:pStyle w:val="Agency-body-text-report"/>
      </w:pPr>
      <w:r w:rsidRPr="00D739A7">
        <w:t>The data shows learners who are or are not in mainstream education.</w:t>
      </w:r>
    </w:p>
    <w:p w14:paraId="4402ADB4" w14:textId="1258A564" w:rsidR="009F2D7A" w:rsidRPr="00D739A7" w:rsidRDefault="009F2D7A" w:rsidP="00F01E04">
      <w:pPr>
        <w:pStyle w:val="Agency-body-text-report"/>
      </w:pPr>
      <w:r w:rsidRPr="00D739A7">
        <w:t>In most countries, enrolment in mainstream education implies placement in a mainstream class, or placement in a separate special class within a mainstream school. Those learners who are not in mainstream settings are in fully separate special schools, non</w:t>
      </w:r>
      <w:r w:rsidR="00242267" w:rsidRPr="00D739A7">
        <w:noBreakHyphen/>
      </w:r>
      <w:r w:rsidRPr="00D739A7">
        <w:t>formal education run by health or social services, etc., or are out-of-school learners.</w:t>
      </w:r>
    </w:p>
    <w:p w14:paraId="35CEB872" w14:textId="77777777" w:rsidR="009F2D7A" w:rsidRPr="00D739A7" w:rsidRDefault="009F2D7A" w:rsidP="00F01E04">
      <w:pPr>
        <w:pStyle w:val="Agency-body-text-report"/>
      </w:pPr>
      <w:r w:rsidRPr="00D739A7">
        <w:t>This indicator has been calculated as follows: The number of learners who are enrolled in mainstream formal educational settings (Q1.4) / The number of learners who are enrolled in all formal educational settings (Q1.2) x 100.</w:t>
      </w:r>
    </w:p>
    <w:p w14:paraId="5686B006" w14:textId="4BC4A9EE" w:rsidR="009F2D7A" w:rsidRPr="00D739A7" w:rsidRDefault="009F2D7A" w:rsidP="00F01E04">
      <w:pPr>
        <w:pStyle w:val="Agency-body-text-report"/>
      </w:pPr>
      <w:r w:rsidRPr="00D739A7">
        <w:t xml:space="preserve">Data is available from </w:t>
      </w:r>
      <w:r w:rsidR="00797F56" w:rsidRPr="00D739A7">
        <w:t>31</w:t>
      </w:r>
      <w:r w:rsidRPr="00D739A7">
        <w:t xml:space="preserve"> countries.</w:t>
      </w:r>
    </w:p>
    <w:p w14:paraId="081BC261" w14:textId="67A3F05E" w:rsidR="009F2D7A" w:rsidRPr="00D739A7" w:rsidRDefault="009F2D7A" w:rsidP="00F01E04">
      <w:pPr>
        <w:pStyle w:val="Agency-body-text-report"/>
      </w:pPr>
      <w:r w:rsidRPr="00D739A7">
        <w:t xml:space="preserve">Across the </w:t>
      </w:r>
      <w:r w:rsidR="00B31A59" w:rsidRPr="00D739A7">
        <w:t xml:space="preserve">31 </w:t>
      </w:r>
      <w:r w:rsidRPr="00D739A7">
        <w:t xml:space="preserve">countries, the enrolment rate in mainstream education ranges from </w:t>
      </w:r>
      <w:r w:rsidR="00797F56" w:rsidRPr="00D739A7">
        <w:t>80.72</w:t>
      </w:r>
      <w:r w:rsidRPr="00D739A7">
        <w:t xml:space="preserve">% to </w:t>
      </w:r>
      <w:r w:rsidR="00727901" w:rsidRPr="00D739A7">
        <w:t>99.95</w:t>
      </w:r>
      <w:r w:rsidRPr="00D739A7">
        <w:t xml:space="preserve">%; the total average for the </w:t>
      </w:r>
      <w:r w:rsidR="00797F56" w:rsidRPr="00D739A7">
        <w:t>31</w:t>
      </w:r>
      <w:r w:rsidRPr="00D739A7">
        <w:t xml:space="preserve"> countries is 98.</w:t>
      </w:r>
      <w:r w:rsidR="00797F56" w:rsidRPr="00D739A7">
        <w:t>49</w:t>
      </w:r>
      <w:r w:rsidRPr="00D739A7">
        <w:t>%.</w:t>
      </w:r>
    </w:p>
    <w:p w14:paraId="31789C9A" w14:textId="77777777" w:rsidR="00C009B2" w:rsidRPr="00D739A7" w:rsidRDefault="00797F56" w:rsidP="004A29D9">
      <w:pPr>
        <w:keepNext/>
        <w:spacing w:before="120" w:after="120" w:line="240" w:lineRule="auto"/>
        <w:rPr>
          <w:lang w:val="en-GB"/>
        </w:rPr>
      </w:pPr>
      <w:r w:rsidRPr="00D739A7">
        <w:rPr>
          <w:rFonts w:ascii="Calibri" w:hAnsi="Calibri" w:cs="Calibri"/>
          <w:noProof/>
          <w:lang w:val="en-GB"/>
        </w:rPr>
        <w:drawing>
          <wp:inline distT="0" distB="0" distL="0" distR="0" wp14:anchorId="428B6DD1" wp14:editId="7EF5BE72">
            <wp:extent cx="3103880" cy="6953250"/>
            <wp:effectExtent l="0" t="0" r="7620" b="6350"/>
            <wp:docPr id="46" name="Diagram 46" descr="Austria 98.96&#10;Belgium (Fl) 80.72&#10;Bulgaria 99.47&#10;Cyprus 99.85&#10;Czech Republic 97.39&#10;Estonia 97.37&#10;Finland 99.27&#10;France 99.42&#10;Greece 99.05&#10;Hungary 91.95&#10;Iceland  99.63&#10;Ireland 97.70&#10;Italy 99.95&#10;Latvia 96.51&#10;Lithuania 98.90&#10;Luxembourg 99.64&#10;Malta 99.47&#10;Netherlands 96.80&#10;Norway 99.78&#10;Poland 98.41&#10;Portugal 99.89&#10;Serbia 99.19&#10;Slovakia 95.78&#10;Slovenia 97.73&#10;Spain 99.43&#10;Sweden 99.09&#10;Switzerland 98.04&#10;UK (England) 98.66&#10;UK (N. Ireland) 99.80&#10;UK (Scotland) 99.14&#10;UK (Wales) 97.34&#10;Total average (31) 98.49">
              <a:extLst xmlns:a="http://schemas.openxmlformats.org/drawingml/2006/main">
                <a:ext uri="{FF2B5EF4-FFF2-40B4-BE49-F238E27FC236}">
                  <a16:creationId xmlns:a16="http://schemas.microsoft.com/office/drawing/2014/main" id="{44008C60-D2D8-4110-AF5C-FC6562BC1C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C410130" w14:textId="074C75AC" w:rsidR="009F2D7A" w:rsidRPr="00D739A7" w:rsidRDefault="00C009B2"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32</w:t>
      </w:r>
      <w:r w:rsidRPr="00D739A7">
        <w:fldChar w:fldCharType="end"/>
      </w:r>
      <w:r w:rsidR="009F2D7A" w:rsidRPr="00D739A7">
        <w:t>. Enrolment rate in mainstream education, based on the enrolled school population (%)</w:t>
      </w:r>
    </w:p>
    <w:p w14:paraId="74D759F6" w14:textId="77777777" w:rsidR="009F2D7A" w:rsidRPr="00D739A7" w:rsidRDefault="009F2D7A" w:rsidP="004A29D9">
      <w:pPr>
        <w:pStyle w:val="Agency-caption-report"/>
        <w:rPr>
          <w:rFonts w:cs="Calibri"/>
        </w:rPr>
        <w:sectPr w:rsidR="009F2D7A" w:rsidRPr="00D739A7" w:rsidSect="00B42E09">
          <w:type w:val="continuous"/>
          <w:pgSz w:w="11899" w:h="16838"/>
          <w:pgMar w:top="1134" w:right="1551" w:bottom="1276" w:left="1418" w:header="709" w:footer="709" w:gutter="0"/>
          <w:cols w:num="2" w:space="710" w:equalWidth="0">
            <w:col w:w="3333" w:space="710"/>
            <w:col w:w="4887"/>
          </w:cols>
          <w:docGrid w:linePitch="360"/>
        </w:sectPr>
      </w:pPr>
    </w:p>
    <w:p w14:paraId="04A3362C" w14:textId="2192A695" w:rsidR="009F2D7A" w:rsidRPr="00D739A7" w:rsidRDefault="00436B97" w:rsidP="004A29D9">
      <w:pPr>
        <w:pStyle w:val="Agency-heading-2-report"/>
        <w:rPr>
          <w:b w:val="0"/>
        </w:rPr>
        <w:sectPr w:rsidR="009F2D7A" w:rsidRPr="00D739A7" w:rsidSect="00751B98">
          <w:pgSz w:w="11899" w:h="16838"/>
          <w:pgMar w:top="1134" w:right="1551" w:bottom="1276" w:left="1418" w:header="709" w:footer="709" w:gutter="0"/>
          <w:cols w:space="708"/>
          <w:docGrid w:linePitch="360"/>
        </w:sectPr>
      </w:pPr>
      <w:bookmarkStart w:id="49" w:name="_Toc35943040"/>
      <w:r w:rsidRPr="00D739A7">
        <w:lastRenderedPageBreak/>
        <w:t>Indicator </w:t>
      </w:r>
      <w:r w:rsidR="00903978" w:rsidRPr="00D739A7">
        <w:t>2.</w:t>
      </w:r>
      <w:r w:rsidRPr="00D739A7">
        <w:t>1</w:t>
      </w:r>
      <w:r w:rsidR="009F2D7A" w:rsidRPr="00D739A7">
        <w:t>.2: the enrolment rate in inclusive education, based on the enrolled school population (%)</w:t>
      </w:r>
      <w:bookmarkEnd w:id="49"/>
    </w:p>
    <w:p w14:paraId="0461D695" w14:textId="77777777" w:rsidR="009F2D7A" w:rsidRPr="00D739A7" w:rsidRDefault="009F2D7A" w:rsidP="00F01E04">
      <w:pPr>
        <w:pStyle w:val="Agency-body-text-report"/>
      </w:pPr>
      <w:r w:rsidRPr="00D739A7">
        <w:t>The data shows learners who are or are not in inclusive education.</w:t>
      </w:r>
    </w:p>
    <w:p w14:paraId="3871C621" w14:textId="5FF21961" w:rsidR="009F2D7A" w:rsidRPr="00D739A7" w:rsidRDefault="009F2D7A" w:rsidP="00F01E04">
      <w:pPr>
        <w:pStyle w:val="Agency-body-text-report"/>
      </w:pPr>
      <w:r w:rsidRPr="00D739A7">
        <w:t>In most countries, enrolment in inclusive education implies placement in a mainstream class in line with the 80% time placement benchmark, or the various proxies for this benchmark.</w:t>
      </w:r>
    </w:p>
    <w:p w14:paraId="7FCABC12" w14:textId="77777777" w:rsidR="009F2D7A" w:rsidRPr="00D739A7" w:rsidRDefault="009F2D7A" w:rsidP="00F01E04">
      <w:pPr>
        <w:pStyle w:val="Agency-body-text-report"/>
      </w:pPr>
      <w:r w:rsidRPr="00D739A7">
        <w:t>Those learners who are not in inclusive settings are in separate classes in mainstream schools, fully separate special schools, non-formal education run by health or social services, etc., or are out-of-school learners.</w:t>
      </w:r>
    </w:p>
    <w:p w14:paraId="1F9E07CF" w14:textId="77777777" w:rsidR="009F2D7A" w:rsidRPr="00D739A7" w:rsidRDefault="009F2D7A" w:rsidP="00F01E04">
      <w:pPr>
        <w:pStyle w:val="Agency-body-text-report"/>
      </w:pPr>
      <w:r w:rsidRPr="00D739A7">
        <w:t>This indicator has been calculated as follows: The number of learners who are enrolled in mainstream classes for at least 80% of the time (Q1.5) / The number of learners who are enrolled in all formal educational settings (Q1.2) x 100.</w:t>
      </w:r>
    </w:p>
    <w:p w14:paraId="0C9E610D" w14:textId="554A01F6" w:rsidR="009F2D7A" w:rsidRPr="00D739A7" w:rsidRDefault="009F2D7A" w:rsidP="00F01E04">
      <w:pPr>
        <w:pStyle w:val="Agency-body-text-report"/>
      </w:pPr>
      <w:r w:rsidRPr="00D739A7">
        <w:t xml:space="preserve">Data is available from </w:t>
      </w:r>
      <w:r w:rsidR="00797F56" w:rsidRPr="00D739A7">
        <w:t>31</w:t>
      </w:r>
      <w:r w:rsidRPr="00D739A7">
        <w:t xml:space="preserve"> countries.</w:t>
      </w:r>
    </w:p>
    <w:p w14:paraId="32FDE2D3" w14:textId="21FD4FDF" w:rsidR="009F2D7A" w:rsidRPr="00D739A7" w:rsidRDefault="009F2D7A" w:rsidP="00F01E04">
      <w:pPr>
        <w:pStyle w:val="Agency-body-text-report"/>
      </w:pPr>
      <w:r w:rsidRPr="00D739A7">
        <w:t xml:space="preserve">The inclusive enrolment rates range from </w:t>
      </w:r>
      <w:r w:rsidR="00797F56" w:rsidRPr="00D739A7">
        <w:t>80.72</w:t>
      </w:r>
      <w:r w:rsidRPr="00D739A7">
        <w:t>% to</w:t>
      </w:r>
      <w:r w:rsidR="006F226B" w:rsidRPr="00D739A7">
        <w:t xml:space="preserve"> 99.95</w:t>
      </w:r>
      <w:r w:rsidRPr="00D739A7">
        <w:t xml:space="preserve">%; the total average for the </w:t>
      </w:r>
      <w:r w:rsidR="00797F56" w:rsidRPr="00D739A7">
        <w:t>31</w:t>
      </w:r>
      <w:r w:rsidRPr="00D739A7">
        <w:t xml:space="preserve"> countries is 9</w:t>
      </w:r>
      <w:r w:rsidR="00797F56" w:rsidRPr="00D739A7">
        <w:t>7.83</w:t>
      </w:r>
      <w:r w:rsidRPr="00D739A7">
        <w:t>%.</w:t>
      </w:r>
    </w:p>
    <w:p w14:paraId="21A72D95" w14:textId="77777777" w:rsidR="00797F56" w:rsidRPr="00D739A7" w:rsidRDefault="00797F56" w:rsidP="00797F56">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46A1A2C1" wp14:editId="38594902">
            <wp:extent cx="3108960" cy="7134131"/>
            <wp:effectExtent l="0" t="0" r="15240" b="16510"/>
            <wp:docPr id="47" name="Diagram 47" descr="Austria 98.96&#10;Belgium (Fl) 80.72&#10;Bulgaria 99.45&#10;Cyprus 98.58&#10;Czech Republic 96.76&#10;Estonia 95.38&#10;Finland 95.46&#10;Germany 96.91&#10;France 98.61&#10;Greece 97.94&#10;Hungary 89.47&#10;Iceland  98.74&#10;Ireland 97.04&#10;Italy 99.95&#10;Latvia 96.14&#10;Lithuania 98.57&#10;Luxembourg 99.25&#10;Malta 99.47&#10;Netherlands 96.80&#10;Norway 99.36&#10;Poland 98.41&#10;Portugal 98.88&#10;Serbia 99.19&#10;Slovakia 93.81&#10;Slovenia 97.46&#10;Spain 99.28&#10;Sweden 99.09&#10;Switzerland 96.14&#10;UK (England) 98.43&#10;UK (N. Ireland) 98.98&#10;UK (Scotland) 98.62&#10;Total average (31) 97.83">
              <a:extLst xmlns:a="http://schemas.openxmlformats.org/drawingml/2006/main">
                <a:ext uri="{FF2B5EF4-FFF2-40B4-BE49-F238E27FC236}">
                  <a16:creationId xmlns:a16="http://schemas.microsoft.com/office/drawing/2014/main" id="{282E7627-9774-4548-8D8B-6DC14B6769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1E0E9C4" w14:textId="24EC93AA" w:rsidR="009F2D7A" w:rsidRPr="00D739A7" w:rsidRDefault="00C009B2" w:rsidP="00783F38">
      <w:pPr>
        <w:pStyle w:val="Agency-caption-report"/>
        <w:rPr>
          <w:b w:val="0"/>
          <w:bCs w:val="0"/>
        </w:rPr>
        <w:sectPr w:rsidR="009F2D7A" w:rsidRPr="00D739A7" w:rsidSect="00211CA1">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33</w:t>
      </w:r>
      <w:r w:rsidRPr="00D739A7">
        <w:fldChar w:fldCharType="end"/>
      </w:r>
      <w:r w:rsidR="009F2D7A" w:rsidRPr="00D739A7">
        <w:t>. Enrolment rate in inclusive education, based on the enrolled school population (%)</w:t>
      </w:r>
    </w:p>
    <w:p w14:paraId="1C74BFED" w14:textId="2E6EE8CA" w:rsidR="009F2D7A" w:rsidRPr="00D739A7" w:rsidRDefault="001B58C9" w:rsidP="00F01E04">
      <w:pPr>
        <w:pStyle w:val="Agency-heading-1-report"/>
      </w:pPr>
      <w:bookmarkStart w:id="50" w:name="_Toc35943041"/>
      <w:r w:rsidRPr="00D739A7">
        <w:lastRenderedPageBreak/>
        <w:t>2.</w:t>
      </w:r>
      <w:r w:rsidR="009F2D7A" w:rsidRPr="00D739A7">
        <w:t>2. Age Samples</w:t>
      </w:r>
      <w:bookmarkEnd w:id="50"/>
    </w:p>
    <w:p w14:paraId="45F3A8A9" w14:textId="17CB397A" w:rsidR="009F2D7A" w:rsidRPr="00D739A7" w:rsidRDefault="009F2D7A" w:rsidP="004A29D9">
      <w:pPr>
        <w:pStyle w:val="Agency-body-text-report"/>
      </w:pPr>
      <w:r w:rsidRPr="00D739A7">
        <w:t>There are four agreed indicators for this area, all based on the enrolled school population of 9- and 15-year-olds. There are two indicators for each of the age samples.</w:t>
      </w:r>
    </w:p>
    <w:p w14:paraId="2F9A32C3" w14:textId="22E9A5C5" w:rsidR="009F2D7A" w:rsidRPr="00D739A7" w:rsidRDefault="009F2D7A" w:rsidP="004A29D9">
      <w:pPr>
        <w:pStyle w:val="Agency-body-text-report"/>
      </w:pPr>
      <w:r w:rsidRPr="00D739A7">
        <w:t xml:space="preserve">The data focuses on age samples in line with the two indicators presented in the previous section – learners aged 9 and 15 </w:t>
      </w:r>
      <w:r w:rsidR="00C009B2" w:rsidRPr="00D739A7">
        <w:t xml:space="preserve">who are </w:t>
      </w:r>
      <w:r w:rsidRPr="00D739A7">
        <w:t>educated in mainstream and inclusive settings.</w:t>
      </w:r>
    </w:p>
    <w:p w14:paraId="499A34BC" w14:textId="77777777" w:rsidR="009F2D7A" w:rsidRPr="00D739A7" w:rsidRDefault="009F2D7A" w:rsidP="004A29D9">
      <w:pPr>
        <w:pStyle w:val="Agency-body-text-report"/>
      </w:pPr>
      <w:r w:rsidRPr="00D739A7">
        <w:t>The age sample indicators also focus on mainstream and inclusive education in the broadest sense. They are calculated based on data for all learners aged 9 and 15 who are eligible to be in education.</w:t>
      </w:r>
    </w:p>
    <w:p w14:paraId="3BE5FE98" w14:textId="77777777" w:rsidR="009F2D7A" w:rsidRPr="00D739A7" w:rsidRDefault="009F2D7A" w:rsidP="004A29D9">
      <w:pPr>
        <w:pStyle w:val="Agency-body-text-report"/>
        <w:keepNext/>
      </w:pPr>
      <w:r w:rsidRPr="00D739A7">
        <w:t>The indicators focus on the populations of learners of specific ages:</w:t>
      </w:r>
    </w:p>
    <w:p w14:paraId="0164CF16" w14:textId="77777777" w:rsidR="009F2D7A" w:rsidRPr="00D739A7" w:rsidRDefault="009F2D7A" w:rsidP="004A29D9">
      <w:pPr>
        <w:pStyle w:val="Agency-body-text-report"/>
        <w:numPr>
          <w:ilvl w:val="0"/>
          <w:numId w:val="62"/>
        </w:numPr>
      </w:pPr>
      <w:r w:rsidRPr="00D739A7">
        <w:t>Age 9, as this age corresponds with the typical ISCED 1 age range for most countries</w:t>
      </w:r>
    </w:p>
    <w:p w14:paraId="13692582" w14:textId="77777777" w:rsidR="009F2D7A" w:rsidRPr="00D739A7" w:rsidRDefault="009F2D7A" w:rsidP="004A29D9">
      <w:pPr>
        <w:pStyle w:val="Agency-body-text-report"/>
        <w:numPr>
          <w:ilvl w:val="0"/>
          <w:numId w:val="62"/>
        </w:numPr>
      </w:pPr>
      <w:r w:rsidRPr="00D739A7">
        <w:t>Age 15, as this age corresponds with the typical ISCED 2 age range for most countries, as well as corresponding with EU-level data collection on school drop-out rates.</w:t>
      </w:r>
    </w:p>
    <w:p w14:paraId="43D0ADA4" w14:textId="77777777" w:rsidR="009F2D7A" w:rsidRPr="00D739A7" w:rsidRDefault="009F2D7A" w:rsidP="004A29D9">
      <w:pPr>
        <w:pStyle w:val="Agency-body-text-report"/>
        <w:keepNext/>
      </w:pPr>
      <w:r w:rsidRPr="00D739A7">
        <w:t>The data provided within this table focuses on age-based samples. Within these samples, it explores:</w:t>
      </w:r>
    </w:p>
    <w:p w14:paraId="37A24183" w14:textId="77777777" w:rsidR="009F2D7A" w:rsidRPr="00D739A7" w:rsidRDefault="009F2D7A" w:rsidP="004A29D9">
      <w:pPr>
        <w:pStyle w:val="Agency-body-text-report"/>
        <w:numPr>
          <w:ilvl w:val="0"/>
          <w:numId w:val="63"/>
        </w:numPr>
      </w:pPr>
      <w:r w:rsidRPr="00D739A7">
        <w:t>9- and 15-year-olds who are in mainstream education or not;</w:t>
      </w:r>
    </w:p>
    <w:p w14:paraId="66B800F9" w14:textId="78893534" w:rsidR="009F2D7A" w:rsidRPr="00D739A7" w:rsidRDefault="009F2D7A" w:rsidP="004A29D9">
      <w:pPr>
        <w:pStyle w:val="Agency-body-text-report"/>
        <w:numPr>
          <w:ilvl w:val="0"/>
          <w:numId w:val="63"/>
        </w:numPr>
      </w:pPr>
      <w:r w:rsidRPr="00D739A7">
        <w:t>9- and 15-year-olds who are in inclusive setting</w:t>
      </w:r>
      <w:r w:rsidR="00C009B2" w:rsidRPr="00D739A7">
        <w:t>s</w:t>
      </w:r>
      <w:r w:rsidRPr="00D739A7">
        <w:t xml:space="preserve"> or not.</w:t>
      </w:r>
    </w:p>
    <w:p w14:paraId="3C0A4E1D" w14:textId="77777777" w:rsidR="009F2D7A" w:rsidRPr="00D739A7" w:rsidRDefault="009F2D7A" w:rsidP="004A29D9">
      <w:pPr>
        <w:pStyle w:val="Agency-body-text-report"/>
        <w:keepNext/>
      </w:pPr>
      <w:r w:rsidRPr="00D739A7">
        <w:t>The data collected provides age sample information on:</w:t>
      </w:r>
    </w:p>
    <w:p w14:paraId="72637976" w14:textId="77777777" w:rsidR="009F2D7A" w:rsidRPr="00D739A7" w:rsidRDefault="009F2D7A" w:rsidP="004A29D9">
      <w:pPr>
        <w:pStyle w:val="Agency-body-text-report"/>
        <w:numPr>
          <w:ilvl w:val="0"/>
          <w:numId w:val="64"/>
        </w:numPr>
      </w:pPr>
      <w:r w:rsidRPr="00D739A7">
        <w:t>access to education;</w:t>
      </w:r>
    </w:p>
    <w:p w14:paraId="6D379648" w14:textId="77777777" w:rsidR="009F2D7A" w:rsidRPr="00D739A7" w:rsidRDefault="009F2D7A" w:rsidP="004A29D9">
      <w:pPr>
        <w:pStyle w:val="Agency-body-text-report"/>
        <w:numPr>
          <w:ilvl w:val="0"/>
          <w:numId w:val="64"/>
        </w:numPr>
      </w:pPr>
      <w:r w:rsidRPr="00D739A7">
        <w:t>the placement of learners in inclusive settings or elsewhere.</w:t>
      </w:r>
    </w:p>
    <w:p w14:paraId="088D3016" w14:textId="77777777" w:rsidR="009F2D7A" w:rsidRPr="00D739A7" w:rsidRDefault="009F2D7A" w:rsidP="004A29D9">
      <w:pPr>
        <w:pStyle w:val="Agency-body-text-report"/>
      </w:pPr>
      <w:r w:rsidRPr="00D739A7">
        <w:t>The provision of age sample data has the potential to highlight issues emerging from the practice of learners repeating school years. The sample age of 15 has the potential for cross-referencing with the Organisation for Economic Co-operation and Development’s (OECD) Programme for International Student Assessment (PISA) analyses, as well as data relating to the ET 2020 targets on school drop-out, etc.</w:t>
      </w:r>
      <w:r w:rsidRPr="00D739A7">
        <w:br w:type="page"/>
      </w:r>
    </w:p>
    <w:p w14:paraId="2B7A6D12" w14:textId="24F0291A" w:rsidR="009F2D7A" w:rsidRPr="00D739A7" w:rsidRDefault="00436B97" w:rsidP="004A29D9">
      <w:pPr>
        <w:pStyle w:val="Agency-heading-2-report"/>
      </w:pPr>
      <w:bookmarkStart w:id="51" w:name="_Toc35943042"/>
      <w:r w:rsidRPr="00D739A7">
        <w:lastRenderedPageBreak/>
        <w:t>Indicator </w:t>
      </w:r>
      <w:r w:rsidR="00903978" w:rsidRPr="00D739A7">
        <w:t>2.</w:t>
      </w:r>
      <w:r w:rsidRPr="00D739A7">
        <w:t>2</w:t>
      </w:r>
      <w:r w:rsidR="009F2D7A" w:rsidRPr="00D739A7">
        <w:t>.1: the age sample enrolment rate in mainstream education for 9-year-olds, based on the enrolled school population of 9-year-olds (%)</w:t>
      </w:r>
      <w:bookmarkEnd w:id="51"/>
    </w:p>
    <w:p w14:paraId="12B72468"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type w:val="continuous"/>
          <w:pgSz w:w="11899" w:h="16838"/>
          <w:pgMar w:top="1134" w:right="1551" w:bottom="1276" w:left="1418" w:header="709" w:footer="709" w:gutter="0"/>
          <w:cols w:space="708"/>
          <w:docGrid w:linePitch="360"/>
        </w:sectPr>
      </w:pPr>
    </w:p>
    <w:p w14:paraId="16FC6D98" w14:textId="77777777" w:rsidR="009F2D7A" w:rsidRPr="00D739A7" w:rsidRDefault="009F2D7A" w:rsidP="004A29D9">
      <w:pPr>
        <w:pStyle w:val="Agency-body-text-report"/>
      </w:pPr>
      <w:r w:rsidRPr="00D739A7">
        <w:t>The data shows 9-year-old learners who are or are not in mainstream education.</w:t>
      </w:r>
    </w:p>
    <w:p w14:paraId="6D052274" w14:textId="42CB0666" w:rsidR="009F2D7A" w:rsidRPr="00D739A7" w:rsidRDefault="009F2D7A" w:rsidP="004A29D9">
      <w:pPr>
        <w:pStyle w:val="Agency-body-text-report"/>
      </w:pPr>
      <w:r w:rsidRPr="00D739A7">
        <w:t>In most countries, enrolment in mainstream education implies placement in a mainstream class, or placement in a separate special class within a mainstream school. Those learners who are not in mainstream settings are in fully separate special schools, non</w:t>
      </w:r>
      <w:r w:rsidR="00BF1A79" w:rsidRPr="00D739A7">
        <w:noBreakHyphen/>
      </w:r>
      <w:r w:rsidRPr="00D739A7">
        <w:t>formal education run by health or social services, etc., or are out-of-school learners.</w:t>
      </w:r>
    </w:p>
    <w:p w14:paraId="7907ABDB" w14:textId="0372593A" w:rsidR="009F2D7A" w:rsidRPr="00D739A7" w:rsidRDefault="009F2D7A" w:rsidP="004A29D9">
      <w:pPr>
        <w:pStyle w:val="Agency-body-text-report"/>
      </w:pPr>
      <w:r w:rsidRPr="00D739A7">
        <w:t xml:space="preserve">This indicator has been calculated as follows: The number of </w:t>
      </w:r>
      <w:r w:rsidR="00A0655C" w:rsidRPr="00D739A7">
        <w:t>9</w:t>
      </w:r>
      <w:r w:rsidR="000D5630" w:rsidRPr="00D739A7">
        <w:noBreakHyphen/>
      </w:r>
      <w:r w:rsidRPr="00D739A7">
        <w:t>year</w:t>
      </w:r>
      <w:r w:rsidR="000D5630" w:rsidRPr="00D739A7">
        <w:noBreakHyphen/>
      </w:r>
      <w:r w:rsidRPr="00D739A7">
        <w:t xml:space="preserve">olds who are enrolled in mainstream formal educational settings (Q2.4) / The number of </w:t>
      </w:r>
      <w:r w:rsidR="00A0655C" w:rsidRPr="00D739A7">
        <w:t>9</w:t>
      </w:r>
      <w:r w:rsidR="000D5630" w:rsidRPr="00D739A7">
        <w:noBreakHyphen/>
      </w:r>
      <w:r w:rsidRPr="00D739A7">
        <w:t>year-olds who are enrolled in all formal educational settings (Q2.2) x 100.</w:t>
      </w:r>
    </w:p>
    <w:p w14:paraId="3658EA2B" w14:textId="3C1B527D" w:rsidR="009F2D7A" w:rsidRPr="00D739A7" w:rsidRDefault="009F2D7A" w:rsidP="004A29D9">
      <w:pPr>
        <w:pStyle w:val="Agency-body-text-report"/>
      </w:pPr>
      <w:r w:rsidRPr="00D739A7">
        <w:t>Data is available from 2</w:t>
      </w:r>
      <w:r w:rsidR="003113CB" w:rsidRPr="00D739A7">
        <w:t>6</w:t>
      </w:r>
      <w:r w:rsidRPr="00D739A7">
        <w:t xml:space="preserve"> countries.</w:t>
      </w:r>
    </w:p>
    <w:p w14:paraId="0C1C45F9" w14:textId="703233E5" w:rsidR="009F2D7A" w:rsidRPr="00D739A7" w:rsidRDefault="009F2D7A" w:rsidP="004A29D9">
      <w:pPr>
        <w:pStyle w:val="Agency-body-text-report"/>
      </w:pPr>
      <w:r w:rsidRPr="00D739A7">
        <w:t>Across the 2</w:t>
      </w:r>
      <w:r w:rsidR="003113CB" w:rsidRPr="00D739A7">
        <w:t>6</w:t>
      </w:r>
      <w:r w:rsidRPr="00D739A7">
        <w:t xml:space="preserve"> countries, the enrolment rate in mainstream education for 9-year-olds ranges from 9</w:t>
      </w:r>
      <w:r w:rsidR="003113CB" w:rsidRPr="00D739A7">
        <w:t>4.77</w:t>
      </w:r>
      <w:r w:rsidRPr="00D739A7">
        <w:t xml:space="preserve">% to </w:t>
      </w:r>
      <w:r w:rsidR="00B86D8A" w:rsidRPr="00D739A7">
        <w:t>100.00%</w:t>
      </w:r>
      <w:r w:rsidRPr="00D739A7">
        <w:t>; the total average for the 2</w:t>
      </w:r>
      <w:r w:rsidR="003113CB" w:rsidRPr="00D739A7">
        <w:t>6</w:t>
      </w:r>
      <w:r w:rsidRPr="00D739A7">
        <w:t xml:space="preserve"> countries is 98.</w:t>
      </w:r>
      <w:r w:rsidR="003113CB" w:rsidRPr="00D739A7">
        <w:t>91</w:t>
      </w:r>
      <w:r w:rsidRPr="00D739A7">
        <w:t>%.</w:t>
      </w:r>
    </w:p>
    <w:p w14:paraId="2C45A3D4" w14:textId="5D8516EB" w:rsidR="009F2D7A" w:rsidRPr="00D739A7" w:rsidRDefault="003113CB" w:rsidP="003113CB">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4104686D" wp14:editId="423A514A">
            <wp:extent cx="3041650" cy="6953061"/>
            <wp:effectExtent l="0" t="0" r="6350" b="6985"/>
            <wp:docPr id="48" name="Diagram 48" descr="Austria 99.09&#10;Belgium (Fl) 94.85&#10;Bulgaria 99.57&#10;Cyprus 99.81&#10;Czech Republic 98.08&#10;Estonia 97.99&#10;Greece 99.52&#10;Hungary 94.77&#10;Iceland  99.62&#10;Ireland 97.84&#10;Italy 99.96&#10;Latvia 97.48&#10;Lithuania 99.11&#10;Luxembourg 99.71&#10;Malta 99.90&#10;Netherlands 97.86&#10;Poland 99.20&#10;Portugal 100.00&#10;Slovakia 96.86&#10;Slovenia 99.70&#10;Spain 99.72&#10;Switzerland 98.33&#10;UK (England) 98.81&#10;UK (N. Ireland) 98.50&#10;UK (Scotland) 99.20&#10;UK (Wales) 98.05&#10;Total average (26) 98.91">
              <a:extLst xmlns:a="http://schemas.openxmlformats.org/drawingml/2006/main">
                <a:ext uri="{FF2B5EF4-FFF2-40B4-BE49-F238E27FC236}">
                  <a16:creationId xmlns:a16="http://schemas.microsoft.com/office/drawing/2014/main" id="{BCEE7CEB-619E-4E6E-B2E1-6250B8927B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6AAB830" w14:textId="34834D74" w:rsidR="009F2D7A" w:rsidRPr="00D739A7" w:rsidRDefault="00697942" w:rsidP="00783F38">
      <w:pPr>
        <w:pStyle w:val="Agency-caption-report"/>
        <w:sectPr w:rsidR="009F2D7A" w:rsidRPr="00D739A7" w:rsidSect="00211CA1">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34</w:t>
      </w:r>
      <w:r w:rsidRPr="00D739A7">
        <w:fldChar w:fldCharType="end"/>
      </w:r>
      <w:r w:rsidR="009F2D7A" w:rsidRPr="00D739A7">
        <w:t>. Age sample enrolment rate in mainstream education for 9-year-olds, based on the enrolled school population of 9-year-olds (%)</w:t>
      </w:r>
    </w:p>
    <w:p w14:paraId="5E68B771" w14:textId="510365B6" w:rsidR="009F2D7A" w:rsidRPr="00D739A7" w:rsidRDefault="00436B97" w:rsidP="004A29D9">
      <w:pPr>
        <w:pStyle w:val="Agency-heading-2-report"/>
      </w:pPr>
      <w:bookmarkStart w:id="52" w:name="_Toc35943043"/>
      <w:r w:rsidRPr="00D739A7">
        <w:lastRenderedPageBreak/>
        <w:t>Indicator </w:t>
      </w:r>
      <w:r w:rsidR="00903978" w:rsidRPr="00D739A7">
        <w:t>2.</w:t>
      </w:r>
      <w:r w:rsidRPr="00D739A7">
        <w:t>2</w:t>
      </w:r>
      <w:r w:rsidR="009F2D7A" w:rsidRPr="00D739A7">
        <w:t>.2: the age sample enrolment rate in mainstream education for 15-year-olds, based on the enrolled school population of 15-year-olds (%)</w:t>
      </w:r>
      <w:bookmarkEnd w:id="52"/>
    </w:p>
    <w:p w14:paraId="7252581E"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5C0B7095" w14:textId="77777777" w:rsidR="009F2D7A" w:rsidRPr="00D739A7" w:rsidRDefault="009F2D7A" w:rsidP="004A29D9">
      <w:pPr>
        <w:pStyle w:val="Agency-body-text-report"/>
      </w:pPr>
      <w:r w:rsidRPr="00D739A7">
        <w:t>The data shows 15-year-old learners who are or are not in mainstream education.</w:t>
      </w:r>
    </w:p>
    <w:p w14:paraId="3DEADD5E" w14:textId="2C3F3A00" w:rsidR="009F2D7A" w:rsidRPr="00D739A7" w:rsidRDefault="009F2D7A" w:rsidP="004A29D9">
      <w:pPr>
        <w:pStyle w:val="Agency-body-text-report"/>
      </w:pPr>
      <w:r w:rsidRPr="00D739A7">
        <w:t>In most countries, enrolment in mainstream education implies placement in a mainstream class, or placement in a separate special class within a mainstream school. Those learners who are not in mainstream settings are in fully separate special schools, non</w:t>
      </w:r>
      <w:r w:rsidR="00BF1A79" w:rsidRPr="00D739A7">
        <w:noBreakHyphen/>
      </w:r>
      <w:r w:rsidRPr="00D739A7">
        <w:t>formal education run by health or social services, etc., or are out-of-school learners.</w:t>
      </w:r>
    </w:p>
    <w:p w14:paraId="763B45CC" w14:textId="53923ABB" w:rsidR="009F2D7A" w:rsidRPr="00D739A7" w:rsidRDefault="009F2D7A" w:rsidP="004A29D9">
      <w:pPr>
        <w:pStyle w:val="Agency-body-text-report"/>
      </w:pPr>
      <w:r w:rsidRPr="00D739A7">
        <w:t xml:space="preserve">This indicator has been calculated as follows: The number of </w:t>
      </w:r>
      <w:r w:rsidR="00A0655C" w:rsidRPr="00D739A7">
        <w:t>15</w:t>
      </w:r>
      <w:r w:rsidR="000D5630" w:rsidRPr="00D739A7">
        <w:noBreakHyphen/>
      </w:r>
      <w:r w:rsidRPr="00D739A7">
        <w:t xml:space="preserve">year-olds who are enrolled in mainstream formal educational settings (Q2.4) / The number of </w:t>
      </w:r>
      <w:r w:rsidR="00A0655C" w:rsidRPr="00D739A7">
        <w:t>15</w:t>
      </w:r>
      <w:r w:rsidRPr="00D739A7">
        <w:t>-year-olds who are enrolled in all formal educational settings (Q2.2) x 100.</w:t>
      </w:r>
    </w:p>
    <w:p w14:paraId="5AF19D77" w14:textId="77777777" w:rsidR="009F2D7A" w:rsidRPr="00D739A7" w:rsidRDefault="009F2D7A" w:rsidP="004A29D9">
      <w:pPr>
        <w:pStyle w:val="Agency-body-text-report"/>
      </w:pPr>
      <w:r w:rsidRPr="00D739A7">
        <w:t>Data is available from 26 countries.</w:t>
      </w:r>
    </w:p>
    <w:p w14:paraId="0232CFE7" w14:textId="4E971181" w:rsidR="009F2D7A" w:rsidRPr="00D739A7" w:rsidRDefault="009F2D7A" w:rsidP="004A29D9">
      <w:pPr>
        <w:pStyle w:val="Agency-body-text-report"/>
      </w:pPr>
      <w:r w:rsidRPr="00D739A7">
        <w:t>Across the 26 countries, the enrolment rate in mainstream education for 15-year-olds ranges from 8</w:t>
      </w:r>
      <w:r w:rsidR="003113CB" w:rsidRPr="00D739A7">
        <w:t>2.12</w:t>
      </w:r>
      <w:r w:rsidRPr="00D739A7">
        <w:t>% to 99.9</w:t>
      </w:r>
      <w:r w:rsidR="001518B3" w:rsidRPr="00D739A7">
        <w:t>5</w:t>
      </w:r>
      <w:r w:rsidRPr="00D739A7">
        <w:t>%; the total average for the 26 countries is 97.</w:t>
      </w:r>
      <w:r w:rsidR="001518B3" w:rsidRPr="00D739A7">
        <w:t>35</w:t>
      </w:r>
      <w:r w:rsidRPr="00D739A7">
        <w:t>%.</w:t>
      </w:r>
    </w:p>
    <w:p w14:paraId="18711918" w14:textId="21AB3A6D" w:rsidR="009F2D7A" w:rsidRPr="00D739A7" w:rsidRDefault="003113CB" w:rsidP="003113CB">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7F054A4B" wp14:editId="5CEDBB9B">
            <wp:extent cx="3103880" cy="6708618"/>
            <wp:effectExtent l="0" t="0" r="7620" b="10160"/>
            <wp:docPr id="49" name="Diagram 49" descr="Austria 98.42&#10;Belgium (Fl) 95.10&#10;Bulgaria 99.25&#10;Cyprus 99.72&#10;Czech Republic 96.92&#10;Estonia 96.86&#10;Greece 99.08&#10;Hungary 82.12&#10;Iceland  99.74&#10;Ireland 98.76&#10;Italy 99.95&#10;Latvia 94.04&#10;Lithuania 98.77&#10;Luxembourg 99.47&#10;Malta 99.78&#10;Netherlands 96.43&#10;Poland 95.47&#10;Portugal 99.85&#10;Slovakia 95.28&#10;Slovenia 90.55&#10;Spain 99.44&#10;Switzerland 98.04&#10;UK (England) 96.65&#10;UK (N. Ireland) 98.32&#10;UK (Scotland) 98.53&#10;UK (Wales) 95.61&#10;Total average (26) 97.35">
              <a:extLst xmlns:a="http://schemas.openxmlformats.org/drawingml/2006/main">
                <a:ext uri="{FF2B5EF4-FFF2-40B4-BE49-F238E27FC236}">
                  <a16:creationId xmlns:a16="http://schemas.microsoft.com/office/drawing/2014/main" id="{B558E118-8B2F-43C1-8583-06CFA32C4F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5DC5F19" w14:textId="08452BA0" w:rsidR="009F2D7A" w:rsidRPr="00D739A7" w:rsidRDefault="00182DB8" w:rsidP="00783F38">
      <w:pPr>
        <w:pStyle w:val="Agency-caption-report"/>
        <w:sectPr w:rsidR="009F2D7A" w:rsidRPr="00D739A7" w:rsidSect="00211CA1">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35</w:t>
      </w:r>
      <w:r w:rsidRPr="00D739A7">
        <w:fldChar w:fldCharType="end"/>
      </w:r>
      <w:r w:rsidR="009F2D7A" w:rsidRPr="00D739A7">
        <w:t>. Age sample enrolment rate in mainstream education for 15-year-olds, based on the enrolled school population of 15-year-olds (%)</w:t>
      </w:r>
    </w:p>
    <w:p w14:paraId="32392776" w14:textId="64E7E0B1" w:rsidR="009F2D7A" w:rsidRPr="00D739A7" w:rsidRDefault="00436B97" w:rsidP="004A29D9">
      <w:pPr>
        <w:pStyle w:val="Agency-heading-2-report"/>
        <w:rPr>
          <w:b w:val="0"/>
        </w:rPr>
        <w:sectPr w:rsidR="009F2D7A" w:rsidRPr="00D739A7" w:rsidSect="00751B98">
          <w:pgSz w:w="11899" w:h="16838"/>
          <w:pgMar w:top="1134" w:right="1551" w:bottom="1276" w:left="1418" w:header="709" w:footer="709" w:gutter="0"/>
          <w:cols w:space="710"/>
          <w:docGrid w:linePitch="360"/>
        </w:sectPr>
      </w:pPr>
      <w:bookmarkStart w:id="53" w:name="_Toc35943044"/>
      <w:r w:rsidRPr="00D739A7">
        <w:lastRenderedPageBreak/>
        <w:t>Indicator </w:t>
      </w:r>
      <w:r w:rsidR="00903978" w:rsidRPr="00D739A7">
        <w:t>2.</w:t>
      </w:r>
      <w:r w:rsidRPr="00D739A7">
        <w:t>2</w:t>
      </w:r>
      <w:r w:rsidR="009F2D7A" w:rsidRPr="00D739A7">
        <w:t>.3: the age sample enrolment rate in inclusive education for 9-year-olds, based on the enrolled school population of 9-year-olds (%)</w:t>
      </w:r>
      <w:bookmarkEnd w:id="53"/>
    </w:p>
    <w:p w14:paraId="55ABAA7D" w14:textId="77777777" w:rsidR="009F2D7A" w:rsidRPr="00D739A7" w:rsidRDefault="009F2D7A" w:rsidP="004A29D9">
      <w:pPr>
        <w:pStyle w:val="Agency-body-text-report"/>
      </w:pPr>
      <w:r w:rsidRPr="00D739A7">
        <w:t>The data shows 9-year-old learners who are or are not in inclusive education.</w:t>
      </w:r>
    </w:p>
    <w:p w14:paraId="35B86855" w14:textId="77777777" w:rsidR="009F2D7A" w:rsidRPr="00D739A7" w:rsidRDefault="009F2D7A" w:rsidP="004A29D9">
      <w:pPr>
        <w:pStyle w:val="Agency-body-text-report"/>
      </w:pPr>
      <w:r w:rsidRPr="00D739A7">
        <w:t>In most countries, enrolment in inclusive education implies placement in a mainstream class in line with the 80% time placement benchmark, or the various proxies for this benchmark.</w:t>
      </w:r>
    </w:p>
    <w:p w14:paraId="7E87666F" w14:textId="77777777" w:rsidR="009F2D7A" w:rsidRPr="00D739A7" w:rsidRDefault="009F2D7A" w:rsidP="004A29D9">
      <w:pPr>
        <w:pStyle w:val="Agency-body-text-report"/>
      </w:pPr>
      <w:r w:rsidRPr="00D739A7">
        <w:t>Those 9-year-old learners who are not in inclusive settings are in separate classes in mainstream schools, fully separate special schools, non-formal education run by health or social services, etc., or are out-of-school learners.</w:t>
      </w:r>
    </w:p>
    <w:p w14:paraId="2B719D32" w14:textId="7D14D778" w:rsidR="009F2D7A" w:rsidRPr="00D739A7" w:rsidRDefault="009F2D7A" w:rsidP="004A29D9">
      <w:pPr>
        <w:pStyle w:val="Agency-body-text-report"/>
      </w:pPr>
      <w:r w:rsidRPr="00D739A7">
        <w:t xml:space="preserve">This indicator has been calculated as follows: The number of </w:t>
      </w:r>
      <w:r w:rsidR="00A0655C" w:rsidRPr="00D739A7">
        <w:t>9</w:t>
      </w:r>
      <w:r w:rsidR="000D5630" w:rsidRPr="00D739A7">
        <w:noBreakHyphen/>
      </w:r>
      <w:r w:rsidRPr="00D739A7">
        <w:t>year</w:t>
      </w:r>
      <w:r w:rsidR="000D5630" w:rsidRPr="00D739A7">
        <w:noBreakHyphen/>
      </w:r>
      <w:r w:rsidRPr="00D739A7">
        <w:t xml:space="preserve">olds who are enrolled and educated in mainstream classes for at least 80% of the time (Q2.5) / The number of </w:t>
      </w:r>
      <w:r w:rsidR="00A0655C" w:rsidRPr="00D739A7">
        <w:t>9</w:t>
      </w:r>
      <w:r w:rsidRPr="00D739A7">
        <w:t>-year-olds who are enrolled in all formal educational settings (Q2.2) x 100.</w:t>
      </w:r>
    </w:p>
    <w:p w14:paraId="40A85E28" w14:textId="5E3D369A" w:rsidR="009F2D7A" w:rsidRPr="00D739A7" w:rsidRDefault="009F2D7A" w:rsidP="004A29D9">
      <w:pPr>
        <w:pStyle w:val="Agency-body-text-report"/>
      </w:pPr>
      <w:r w:rsidRPr="00D739A7">
        <w:t>Data is available from 2</w:t>
      </w:r>
      <w:r w:rsidR="001518B3" w:rsidRPr="00D739A7">
        <w:t>3</w:t>
      </w:r>
      <w:r w:rsidRPr="00D739A7">
        <w:t xml:space="preserve"> countries.</w:t>
      </w:r>
    </w:p>
    <w:p w14:paraId="01F8CC22" w14:textId="471202BC" w:rsidR="001518B3" w:rsidRPr="00D739A7" w:rsidRDefault="009F2D7A" w:rsidP="004A29D9">
      <w:pPr>
        <w:pStyle w:val="Agency-body-text-report"/>
      </w:pPr>
      <w:r w:rsidRPr="00D739A7">
        <w:t xml:space="preserve">The inclusive enrolment rates range from </w:t>
      </w:r>
      <w:r w:rsidR="001518B3" w:rsidRPr="00D739A7">
        <w:t>55.55</w:t>
      </w:r>
      <w:r w:rsidRPr="00D739A7">
        <w:t>% to 99.9</w:t>
      </w:r>
      <w:r w:rsidR="001518B3" w:rsidRPr="00D739A7">
        <w:t>6</w:t>
      </w:r>
      <w:r w:rsidRPr="00D739A7">
        <w:t>%; the total average for the 2</w:t>
      </w:r>
      <w:r w:rsidR="001518B3" w:rsidRPr="00D739A7">
        <w:t>3</w:t>
      </w:r>
      <w:r w:rsidRPr="00D739A7">
        <w:t xml:space="preserve"> countries is 9</w:t>
      </w:r>
      <w:r w:rsidR="001518B3" w:rsidRPr="00D739A7">
        <w:t>7.84</w:t>
      </w:r>
      <w:r w:rsidRPr="00D739A7">
        <w:t>%.</w:t>
      </w:r>
    </w:p>
    <w:p w14:paraId="137448C8" w14:textId="01C6283D" w:rsidR="009F2D7A" w:rsidRPr="00D739A7" w:rsidRDefault="001518B3" w:rsidP="001518B3">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476D2CFC" wp14:editId="09AB8D85">
            <wp:extent cx="3103880" cy="6699564"/>
            <wp:effectExtent l="0" t="0" r="7620" b="6350"/>
            <wp:docPr id="50" name="Diagram 50" descr="Austria 99.09&#10;Belgium (Fl) 94.85&#10;Bulgaria 99.57&#10;Cyprus 95.41&#10;Czech Republic 97.61&#10;Germany 96.36&#10;Estonia 95.95&#10;Greece 98.77&#10;Iceland  98.84&#10;Italy 99.96&#10;Lithuania 96.60&#10;Luxembourg 99.32&#10;Malta 99.90&#10;Netherlands 97.86&#10;Portugal 99.55&#10;Slovakia 94.92&#10;Slovenia 99.56&#10;Spain 99.64&#10;Switzerland 97.42&#10;UK (England) 98.61&#10;UK (N. Ireland) 97.71&#10;UK (Scotland) 97.84&#10;UK (Wales) 55.55&#10;Total average (23) 97.84">
              <a:extLst xmlns:a="http://schemas.openxmlformats.org/drawingml/2006/main">
                <a:ext uri="{FF2B5EF4-FFF2-40B4-BE49-F238E27FC236}">
                  <a16:creationId xmlns:a16="http://schemas.microsoft.com/office/drawing/2014/main" id="{10D44FC1-3466-40EB-80AA-D5D7AE4D6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F18CF09" w14:textId="26529233" w:rsidR="009F2D7A" w:rsidRPr="00D739A7" w:rsidRDefault="00182DB8" w:rsidP="00783F38">
      <w:pPr>
        <w:pStyle w:val="Agency-caption-report"/>
        <w:sectPr w:rsidR="009F2D7A" w:rsidRPr="00D739A7" w:rsidSect="00702BFA">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36</w:t>
      </w:r>
      <w:r w:rsidRPr="00D739A7">
        <w:fldChar w:fldCharType="end"/>
      </w:r>
      <w:r w:rsidR="009F2D7A" w:rsidRPr="00D739A7">
        <w:t>. Age sample enrolment rate in inclusive education for 9-year-olds, based on the enrolled school population of 9-year-olds (%)</w:t>
      </w:r>
    </w:p>
    <w:p w14:paraId="25CB76D2" w14:textId="5EC94BD0" w:rsidR="009F2D7A" w:rsidRPr="00D739A7" w:rsidRDefault="00436B97" w:rsidP="004A29D9">
      <w:pPr>
        <w:pStyle w:val="Agency-heading-2-report"/>
        <w:rPr>
          <w:b w:val="0"/>
        </w:rPr>
        <w:sectPr w:rsidR="009F2D7A" w:rsidRPr="00D739A7" w:rsidSect="00751B98">
          <w:pgSz w:w="11899" w:h="16838"/>
          <w:pgMar w:top="1134" w:right="1551" w:bottom="1276" w:left="1418" w:header="709" w:footer="709" w:gutter="0"/>
          <w:cols w:space="710"/>
          <w:docGrid w:linePitch="360"/>
        </w:sectPr>
      </w:pPr>
      <w:bookmarkStart w:id="54" w:name="_Toc35943045"/>
      <w:r w:rsidRPr="00D739A7">
        <w:lastRenderedPageBreak/>
        <w:t>Indicator </w:t>
      </w:r>
      <w:r w:rsidR="00903978" w:rsidRPr="00D739A7">
        <w:t>2.</w:t>
      </w:r>
      <w:r w:rsidRPr="00D739A7">
        <w:t>2</w:t>
      </w:r>
      <w:r w:rsidR="009F2D7A" w:rsidRPr="00D739A7">
        <w:t>.4: the age sample enrolment rate in inclusive education for 15-year-olds, based on the enrolled school population of 15-year-olds (%)</w:t>
      </w:r>
      <w:bookmarkEnd w:id="54"/>
    </w:p>
    <w:p w14:paraId="099A1528" w14:textId="77777777" w:rsidR="009F2D7A" w:rsidRPr="00D739A7" w:rsidRDefault="009F2D7A" w:rsidP="00182DB8">
      <w:pPr>
        <w:pStyle w:val="Agency-body-text-report"/>
      </w:pPr>
      <w:r w:rsidRPr="00D739A7">
        <w:t>The data shows 15-year-old learners who are or are not in inclusive education.</w:t>
      </w:r>
    </w:p>
    <w:p w14:paraId="772A6237" w14:textId="77777777" w:rsidR="009F2D7A" w:rsidRPr="00D739A7" w:rsidRDefault="009F2D7A" w:rsidP="00182DB8">
      <w:pPr>
        <w:pStyle w:val="Agency-body-text-report"/>
      </w:pPr>
      <w:r w:rsidRPr="00D739A7">
        <w:t>In most countries, enrolment in inclusive education implies placement in a mainstream class in line with the 80% time placement benchmark, or the various proxies for this benchmark.</w:t>
      </w:r>
    </w:p>
    <w:p w14:paraId="3006CB26" w14:textId="77777777" w:rsidR="009F2D7A" w:rsidRPr="00D739A7" w:rsidRDefault="009F2D7A" w:rsidP="00182DB8">
      <w:pPr>
        <w:pStyle w:val="Agency-body-text-report"/>
      </w:pPr>
      <w:r w:rsidRPr="00D739A7">
        <w:t>Those 15-year-old learners who are not in inclusive settings are in separate classes in mainstream schools, fully separate special schools, non-formal education run by health or social services, etc., or are out-of-school learners.</w:t>
      </w:r>
    </w:p>
    <w:p w14:paraId="0FAC2B54" w14:textId="767D84A4" w:rsidR="009F2D7A" w:rsidRPr="00D739A7" w:rsidRDefault="009F2D7A" w:rsidP="00182DB8">
      <w:pPr>
        <w:pStyle w:val="Agency-body-text-report"/>
      </w:pPr>
      <w:r w:rsidRPr="00D739A7">
        <w:t xml:space="preserve">This indicator has been calculated as follows: The number of </w:t>
      </w:r>
      <w:r w:rsidR="00A0655C" w:rsidRPr="00D739A7">
        <w:t>15</w:t>
      </w:r>
      <w:r w:rsidR="000D5630" w:rsidRPr="00D739A7">
        <w:noBreakHyphen/>
      </w:r>
      <w:r w:rsidRPr="00D739A7">
        <w:t xml:space="preserve">year-olds who are enrolled and educated in mainstream classes for at least 80% of the time (Q2.5) / The number of </w:t>
      </w:r>
      <w:r w:rsidR="00A0655C" w:rsidRPr="00D739A7">
        <w:t>15</w:t>
      </w:r>
      <w:r w:rsidR="000D5630" w:rsidRPr="00D739A7">
        <w:noBreakHyphen/>
      </w:r>
      <w:r w:rsidRPr="00D739A7">
        <w:t>year-olds who are enrolled in all formal educational settings (Q2.2) x 100.</w:t>
      </w:r>
    </w:p>
    <w:p w14:paraId="5B06E3AC" w14:textId="3646DAD1" w:rsidR="009F2D7A" w:rsidRPr="00D739A7" w:rsidRDefault="009F2D7A" w:rsidP="00182DB8">
      <w:pPr>
        <w:pStyle w:val="Agency-body-text-report"/>
      </w:pPr>
      <w:r w:rsidRPr="00D739A7">
        <w:t>Data is available from 2</w:t>
      </w:r>
      <w:r w:rsidR="001518B3" w:rsidRPr="00D739A7">
        <w:t>2</w:t>
      </w:r>
      <w:r w:rsidRPr="00D739A7">
        <w:t xml:space="preserve"> countries.</w:t>
      </w:r>
    </w:p>
    <w:p w14:paraId="2A53006E" w14:textId="25ED5026" w:rsidR="001518B3" w:rsidRPr="00D739A7" w:rsidRDefault="009F2D7A" w:rsidP="00182DB8">
      <w:pPr>
        <w:pStyle w:val="Agency-body-text-report"/>
      </w:pPr>
      <w:r w:rsidRPr="00D739A7">
        <w:t xml:space="preserve">The inclusive enrolment rates range from </w:t>
      </w:r>
      <w:r w:rsidR="001518B3" w:rsidRPr="00D739A7">
        <w:t>90.55</w:t>
      </w:r>
      <w:r w:rsidRPr="00D739A7">
        <w:t>% to 99.9</w:t>
      </w:r>
      <w:r w:rsidR="001518B3" w:rsidRPr="00D739A7">
        <w:t>7</w:t>
      </w:r>
      <w:r w:rsidRPr="00D739A7">
        <w:t>%; the total average for the 2</w:t>
      </w:r>
      <w:r w:rsidR="001518B3" w:rsidRPr="00D739A7">
        <w:t>2</w:t>
      </w:r>
      <w:r w:rsidRPr="00D739A7">
        <w:t xml:space="preserve"> countries is 9</w:t>
      </w:r>
      <w:r w:rsidR="001518B3" w:rsidRPr="00D739A7">
        <w:t>7.29</w:t>
      </w:r>
      <w:r w:rsidRPr="00D739A7">
        <w:t>%.</w:t>
      </w:r>
    </w:p>
    <w:p w14:paraId="2CA8B475" w14:textId="1372BF28" w:rsidR="009F2D7A" w:rsidRPr="00D739A7" w:rsidRDefault="001518B3" w:rsidP="001518B3">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02CF5334" wp14:editId="0CE2E179">
            <wp:extent cx="3107055" cy="6690511"/>
            <wp:effectExtent l="0" t="0" r="17145" b="15240"/>
            <wp:docPr id="51" name="Diagram 51" descr="Austria 98.42&#10;Belgium (Fl) 95.10&#10;Bulgaria 99.25&#10;Cyprus 99.28&#10;Czech Republic 96.07&#10;Germany 95.74&#10;Estonia 94.81&#10;Greece 98.84&#10;Iceland  98.37&#10;Italy 99.97&#10;Lithuania 94.72&#10;Luxembourg 99.02&#10;Malta 99.78&#10;Netherlands 96.43&#10;Portugal 98.29&#10;Slovakia 93.30&#10;Slovenia 90.55&#10;Spain 99.26&#10;Switzerland 96.14&#10;UK (England) 96.24&#10;UK (N. Ireland) 97.10&#10;UK (Scotland) 96.53&#10;Total average (22) 97.29">
              <a:extLst xmlns:a="http://schemas.openxmlformats.org/drawingml/2006/main">
                <a:ext uri="{FF2B5EF4-FFF2-40B4-BE49-F238E27FC236}">
                  <a16:creationId xmlns:a16="http://schemas.microsoft.com/office/drawing/2014/main" id="{2FE2D35D-9850-4A40-BAD4-378A952D8A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F1FA6A6" w14:textId="73F3F171" w:rsidR="009F2D7A" w:rsidRPr="00D739A7" w:rsidRDefault="00182DB8"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37</w:t>
      </w:r>
      <w:r w:rsidRPr="00D739A7">
        <w:fldChar w:fldCharType="end"/>
      </w:r>
      <w:r w:rsidR="009F2D7A" w:rsidRPr="00D739A7">
        <w:t>. Age sample enrolment rate in inclusive education for 15-year-olds, based on the enrolled school population of 15-year-olds (%)</w:t>
      </w:r>
    </w:p>
    <w:p w14:paraId="5C490658"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95456D">
          <w:type w:val="continuous"/>
          <w:pgSz w:w="11899" w:h="16838"/>
          <w:pgMar w:top="1134" w:right="1551" w:bottom="1276" w:left="1418" w:header="709" w:footer="709" w:gutter="0"/>
          <w:cols w:num="2" w:space="710" w:equalWidth="0">
            <w:col w:w="3333" w:space="710"/>
            <w:col w:w="4887"/>
          </w:cols>
          <w:docGrid w:linePitch="360"/>
        </w:sectPr>
      </w:pPr>
    </w:p>
    <w:p w14:paraId="78854837" w14:textId="02201FA0" w:rsidR="009F2D7A" w:rsidRPr="00D739A7" w:rsidRDefault="00903978" w:rsidP="004A29D9">
      <w:pPr>
        <w:pStyle w:val="Agency-heading-1-report"/>
      </w:pPr>
      <w:bookmarkStart w:id="55" w:name="_Toc35943046"/>
      <w:r w:rsidRPr="00D739A7">
        <w:lastRenderedPageBreak/>
        <w:t>2.</w:t>
      </w:r>
      <w:r w:rsidR="009F2D7A" w:rsidRPr="00D739A7">
        <w:t xml:space="preserve">3. Learners with an </w:t>
      </w:r>
      <w:r w:rsidR="007E5357" w:rsidRPr="00D739A7">
        <w:t xml:space="preserve">official decision </w:t>
      </w:r>
      <w:r w:rsidR="009F2D7A" w:rsidRPr="00D739A7">
        <w:t>of SEN</w:t>
      </w:r>
      <w:bookmarkEnd w:id="55"/>
    </w:p>
    <w:p w14:paraId="449B245E" w14:textId="77777777" w:rsidR="00550DA8" w:rsidRPr="00D739A7" w:rsidRDefault="009F2D7A" w:rsidP="003005BB">
      <w:pPr>
        <w:pStyle w:val="Agency-body-text-report"/>
        <w:keepNext/>
      </w:pPr>
      <w:r w:rsidRPr="00D739A7">
        <w:t>There are three groups of indicators for this area, relating to:</w:t>
      </w:r>
    </w:p>
    <w:p w14:paraId="554EC788" w14:textId="7936C11B" w:rsidR="009F2D7A" w:rsidRPr="00D739A7" w:rsidRDefault="009F2D7A" w:rsidP="004A29D9">
      <w:pPr>
        <w:pStyle w:val="Agency-body-text-report"/>
        <w:numPr>
          <w:ilvl w:val="0"/>
          <w:numId w:val="49"/>
        </w:numPr>
      </w:pPr>
      <w:r w:rsidRPr="00D739A7">
        <w:t>Identification rates</w:t>
      </w:r>
    </w:p>
    <w:p w14:paraId="4A4986EB" w14:textId="77777777" w:rsidR="009F2D7A" w:rsidRPr="00D739A7" w:rsidRDefault="009F2D7A" w:rsidP="004A29D9">
      <w:pPr>
        <w:pStyle w:val="Agency-body-text-report"/>
        <w:numPr>
          <w:ilvl w:val="0"/>
          <w:numId w:val="49"/>
        </w:numPr>
      </w:pPr>
      <w:r w:rsidRPr="00D739A7">
        <w:t>Distribution of placements of learners with an official decision of SEN, based on the enrolled school population</w:t>
      </w:r>
    </w:p>
    <w:p w14:paraId="01C9CF66" w14:textId="77777777" w:rsidR="009F2D7A" w:rsidRPr="00D739A7" w:rsidRDefault="009F2D7A" w:rsidP="004A29D9">
      <w:pPr>
        <w:pStyle w:val="Agency-body-text-report"/>
        <w:numPr>
          <w:ilvl w:val="0"/>
          <w:numId w:val="49"/>
        </w:numPr>
      </w:pPr>
      <w:r w:rsidRPr="00D739A7">
        <w:t>Distribution of placements of learners with an official decision of SEN, based on the population of learners with an official decision of SEN.</w:t>
      </w:r>
    </w:p>
    <w:p w14:paraId="3626305B" w14:textId="77777777" w:rsidR="009F2D7A" w:rsidRPr="00D739A7" w:rsidRDefault="009F2D7A" w:rsidP="004A29D9">
      <w:pPr>
        <w:pStyle w:val="Agency-body-text-report"/>
      </w:pPr>
      <w:r w:rsidRPr="00D739A7">
        <w:t>For each of these areas, gender and ISCED level breakdowns and distributions are presented in separate figures.</w:t>
      </w:r>
    </w:p>
    <w:p w14:paraId="7219E4A8" w14:textId="77777777" w:rsidR="009F2D7A" w:rsidRPr="00D739A7" w:rsidRDefault="009F2D7A" w:rsidP="004A29D9">
      <w:pPr>
        <w:pStyle w:val="Agency-body-text-report"/>
        <w:sectPr w:rsidR="009F2D7A" w:rsidRPr="00D739A7" w:rsidSect="00751B98">
          <w:type w:val="continuous"/>
          <w:pgSz w:w="11899" w:h="16838"/>
          <w:pgMar w:top="1134" w:right="1551" w:bottom="1276" w:left="1418" w:header="709" w:footer="709" w:gutter="0"/>
          <w:cols w:space="710"/>
          <w:docGrid w:linePitch="360"/>
        </w:sectPr>
      </w:pPr>
      <w:r w:rsidRPr="00D739A7">
        <w:t>The data presented focuses on learners with an official decision of SEN that is in line with the agreed operational definition of an official decision used in the EASIE data collection work.</w:t>
      </w:r>
    </w:p>
    <w:p w14:paraId="6665EA74" w14:textId="6D260B45" w:rsidR="009F2D7A" w:rsidRPr="00D739A7" w:rsidRDefault="00903978" w:rsidP="004A29D9">
      <w:pPr>
        <w:pStyle w:val="Agency-heading-2-report"/>
      </w:pPr>
      <w:bookmarkStart w:id="56" w:name="_Toc35943047"/>
      <w:r w:rsidRPr="00D739A7">
        <w:lastRenderedPageBreak/>
        <w:t>2.</w:t>
      </w:r>
      <w:r w:rsidR="009F2D7A" w:rsidRPr="00D739A7">
        <w:t>3a. Identification rates</w:t>
      </w:r>
      <w:bookmarkEnd w:id="56"/>
    </w:p>
    <w:p w14:paraId="6EE053DB" w14:textId="6770C720" w:rsidR="009F2D7A" w:rsidRPr="00D739A7" w:rsidRDefault="00436B97" w:rsidP="004A29D9">
      <w:pPr>
        <w:pStyle w:val="Agency-heading-3-report"/>
        <w:rPr>
          <w:b w:val="0"/>
        </w:rPr>
        <w:sectPr w:rsidR="009F2D7A" w:rsidRPr="00D739A7" w:rsidSect="00751B98">
          <w:pgSz w:w="11899" w:h="16838"/>
          <w:pgMar w:top="1134" w:right="1551" w:bottom="1276" w:left="1418" w:header="709" w:footer="709" w:gutter="0"/>
          <w:cols w:space="710"/>
          <w:docGrid w:linePitch="360"/>
        </w:sectPr>
      </w:pPr>
      <w:bookmarkStart w:id="57" w:name="_Toc35943048"/>
      <w:r w:rsidRPr="00D739A7">
        <w:t>Indicator </w:t>
      </w:r>
      <w:r w:rsidR="00903978" w:rsidRPr="00D739A7">
        <w:t>2.</w:t>
      </w:r>
      <w:r w:rsidRPr="00D739A7">
        <w:t>3</w:t>
      </w:r>
      <w:r w:rsidR="009F2D7A" w:rsidRPr="00D739A7">
        <w:t>a.1: the percentage of learners with an official decision of SEN, based on the enrolled school population (%)</w:t>
      </w:r>
      <w:bookmarkEnd w:id="57"/>
    </w:p>
    <w:p w14:paraId="2EFDF218" w14:textId="77777777" w:rsidR="009F2D7A" w:rsidRPr="00D739A7" w:rsidRDefault="009F2D7A" w:rsidP="004A29D9">
      <w:pPr>
        <w:pStyle w:val="Agency-body-text-report"/>
      </w:pPr>
      <w:r w:rsidRPr="00D739A7">
        <w:t>The data focuses on learners who are formally identified as having a special educational need and have an official decision of SEN in line with the EASIE operational definition.</w:t>
      </w:r>
    </w:p>
    <w:p w14:paraId="5F3D4E2C" w14:textId="77777777" w:rsidR="009F2D7A" w:rsidRPr="00D739A7" w:rsidRDefault="009F2D7A" w:rsidP="00182DB8">
      <w:pPr>
        <w:pStyle w:val="Agency-body-text-report"/>
      </w:pPr>
      <w:r w:rsidRPr="00D739A7">
        <w:t>This indicator has been calculated as follows: The number of learners with an official decision of SEN (Q3.1) / The number of learners who are enrolled in all formal educational settings (Q1.2) x 100.</w:t>
      </w:r>
    </w:p>
    <w:p w14:paraId="4DECC473" w14:textId="06D29477" w:rsidR="009F2D7A" w:rsidRPr="00D739A7" w:rsidRDefault="009F2D7A" w:rsidP="004A29D9">
      <w:pPr>
        <w:pStyle w:val="Agency-body-text-report"/>
      </w:pPr>
      <w:r w:rsidRPr="00D739A7">
        <w:t>Data is available from 3</w:t>
      </w:r>
      <w:r w:rsidR="0059200D" w:rsidRPr="00D739A7">
        <w:t>1</w:t>
      </w:r>
      <w:r w:rsidRPr="00D739A7">
        <w:t xml:space="preserve"> countries.</w:t>
      </w:r>
    </w:p>
    <w:p w14:paraId="0F396126" w14:textId="35555946" w:rsidR="009F2D7A" w:rsidRPr="00D739A7" w:rsidRDefault="009F2D7A" w:rsidP="004A29D9">
      <w:pPr>
        <w:pStyle w:val="Agency-body-text-report"/>
      </w:pPr>
      <w:r w:rsidRPr="00D739A7">
        <w:t>The SEN identification rates range from 1.0</w:t>
      </w:r>
      <w:r w:rsidR="0059200D" w:rsidRPr="00D739A7">
        <w:t>2</w:t>
      </w:r>
      <w:r w:rsidRPr="00D739A7">
        <w:t>% to 2</w:t>
      </w:r>
      <w:r w:rsidR="0059200D" w:rsidRPr="00D739A7">
        <w:t>5.12</w:t>
      </w:r>
      <w:r w:rsidRPr="00D739A7">
        <w:t>%; the total average for the 3</w:t>
      </w:r>
      <w:r w:rsidR="0059200D" w:rsidRPr="00D739A7">
        <w:t>1</w:t>
      </w:r>
      <w:r w:rsidRPr="00D739A7">
        <w:t xml:space="preserve"> countries is 4.</w:t>
      </w:r>
      <w:r w:rsidR="0059200D" w:rsidRPr="00D739A7">
        <w:t>75</w:t>
      </w:r>
      <w:r w:rsidRPr="00D739A7">
        <w:t>%.</w:t>
      </w:r>
    </w:p>
    <w:p w14:paraId="27509B77" w14:textId="63F89972" w:rsidR="009F2D7A" w:rsidRPr="00D739A7" w:rsidRDefault="009F2D7A" w:rsidP="00182DB8">
      <w:pPr>
        <w:pStyle w:val="Agency-body-text-report"/>
      </w:pPr>
      <w:r w:rsidRPr="00D739A7">
        <w:t xml:space="preserve">For all countries, the operational definition of an official </w:t>
      </w:r>
      <w:r w:rsidR="00F50341" w:rsidRPr="00D739A7">
        <w:t xml:space="preserve">decision </w:t>
      </w:r>
      <w:r w:rsidRPr="00D739A7">
        <w:t>has been applied to the data collection. However, some countries can be identified as marked ‘outliers’, as they have different types of official definitions that correspond with the EASIE operational definition of an official decision of SEN, i.e. Iceland (1</w:t>
      </w:r>
      <w:r w:rsidR="0059200D" w:rsidRPr="00D739A7">
        <w:t>5.34</w:t>
      </w:r>
      <w:r w:rsidRPr="00D739A7">
        <w:t>%), Lithuania (13.</w:t>
      </w:r>
      <w:r w:rsidR="0059200D" w:rsidRPr="00D739A7">
        <w:t>48</w:t>
      </w:r>
      <w:r w:rsidRPr="00D739A7">
        <w:t>%)</w:t>
      </w:r>
      <w:r w:rsidR="0059200D" w:rsidRPr="00D739A7">
        <w:t>, Slovakia (15.07%)</w:t>
      </w:r>
      <w:r w:rsidRPr="00D739A7">
        <w:t xml:space="preserve"> and </w:t>
      </w:r>
      <w:r w:rsidR="00E61A02" w:rsidRPr="00D739A7">
        <w:t>UK (</w:t>
      </w:r>
      <w:r w:rsidRPr="00D739A7">
        <w:t>Scotland) (2</w:t>
      </w:r>
      <w:r w:rsidR="0059200D" w:rsidRPr="00D739A7">
        <w:t>5.12</w:t>
      </w:r>
      <w:r w:rsidRPr="00D739A7">
        <w:t>%). These outliers highlight the fact that countries have different forms of official decision-making, often relating to differing mechanisms for accessing additional resources to meet SEN.</w:t>
      </w:r>
    </w:p>
    <w:p w14:paraId="7CF0E996" w14:textId="69887C0D" w:rsidR="009F2D7A" w:rsidRPr="00D739A7" w:rsidRDefault="002C32E0" w:rsidP="002C32E0">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78ED42B3" wp14:editId="1A2B385F">
            <wp:extent cx="3060700" cy="6599976"/>
            <wp:effectExtent l="0" t="0" r="12700" b="17145"/>
            <wp:docPr id="52" name="Diagram 52" descr="Austria 3.34&#10;Belgium (Fl) 7.50&#10;Bulgaria 2.96&#10;Cyprus 8.10&#10;Czech Republic 10.19&#10;Estonia 7.38&#10;Finland 7.45&#10;France 3.39&#10;Germany 5.45&#10;Greece 6.25&#10;Hungary 7.47&#10;Iceland  15.34&#10;Ireland 6.93&#10;Italy 3.55&#10;Latvia 6.71&#10;Lithuania 13.48&#10;Luxembourg 1.50&#10;Malta 9.90&#10;Netherlands 3.20&#10;Norway 7.84&#10;Poland 3.77&#10;Portugal 7.21&#10;Slovakia 15.07&#10;Slovenia 7.75&#10;Spain 3.69&#10;Sweden 1.02&#10;Switzerland 3.86&#10;UK (England) 2.82&#10;UK (N. Ireland) 5.44&#10;UK (Scotland) 25.12&#10;UK (Wales) 2.91&#10;Total average (31) 4.75">
              <a:extLst xmlns:a="http://schemas.openxmlformats.org/drawingml/2006/main">
                <a:ext uri="{FF2B5EF4-FFF2-40B4-BE49-F238E27FC236}">
                  <a16:creationId xmlns:a16="http://schemas.microsoft.com/office/drawing/2014/main" id="{73447BCF-A9BF-404B-924C-96117C1614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13E07A5" w14:textId="16A94B5D" w:rsidR="009F2D7A" w:rsidRPr="00D739A7" w:rsidRDefault="00182DB8" w:rsidP="00783F38">
      <w:pPr>
        <w:pStyle w:val="Agency-caption-report"/>
        <w:sectPr w:rsidR="009F2D7A" w:rsidRPr="00D739A7" w:rsidSect="00182DB8">
          <w:type w:val="continuous"/>
          <w:pgSz w:w="11899" w:h="16838"/>
          <w:pgMar w:top="1134" w:right="1551" w:bottom="1276" w:left="1418" w:header="709" w:footer="709" w:gutter="0"/>
          <w:cols w:num="2" w:space="710" w:equalWidth="0">
            <w:col w:w="3482" w:space="561"/>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38</w:t>
      </w:r>
      <w:r w:rsidRPr="00D739A7">
        <w:fldChar w:fldCharType="end"/>
      </w:r>
      <w:r w:rsidR="009F2D7A" w:rsidRPr="00D739A7">
        <w:t>. Percentage of learners with an official decision of SEN, based on the enrolled school population (%)</w:t>
      </w:r>
    </w:p>
    <w:p w14:paraId="03B80B01" w14:textId="77777777" w:rsidR="009F2D7A" w:rsidRPr="00D739A7" w:rsidRDefault="009F2D7A" w:rsidP="004A29D9">
      <w:pPr>
        <w:pStyle w:val="Agency-heading-4-report"/>
      </w:pPr>
      <w:r w:rsidRPr="00D739A7">
        <w:lastRenderedPageBreak/>
        <w:t>Gender breakdown of learners with an official decision of SEN, based on the enrolled school population (%)</w:t>
      </w:r>
    </w:p>
    <w:p w14:paraId="468AD278" w14:textId="77777777" w:rsidR="009F2D7A" w:rsidRPr="00D739A7" w:rsidRDefault="009F2D7A" w:rsidP="009F2D7A">
      <w:pPr>
        <w:keepNext/>
        <w:spacing w:before="240" w:after="240" w:line="240" w:lineRule="auto"/>
        <w:ind w:left="-142"/>
        <w:rPr>
          <w:rFonts w:ascii="Calibri" w:eastAsia="Times New Roman" w:hAnsi="Calibri" w:cs="Calibri"/>
          <w:b/>
          <w:bCs/>
          <w:color w:val="000000"/>
          <w:sz w:val="24"/>
          <w:szCs w:val="24"/>
          <w:lang w:val="en-GB"/>
        </w:rPr>
        <w:sectPr w:rsidR="009F2D7A" w:rsidRPr="00D739A7" w:rsidSect="00751B98">
          <w:pgSz w:w="11899" w:h="16838"/>
          <w:pgMar w:top="1134" w:right="1551" w:bottom="1276" w:left="1418" w:header="709" w:footer="709" w:gutter="0"/>
          <w:cols w:space="710"/>
          <w:docGrid w:linePitch="360"/>
        </w:sectPr>
      </w:pPr>
    </w:p>
    <w:p w14:paraId="56B92CC5" w14:textId="77777777" w:rsidR="009F2D7A" w:rsidRPr="00D739A7" w:rsidRDefault="009F2D7A" w:rsidP="004A29D9">
      <w:pPr>
        <w:pStyle w:val="Agency-body-text-report"/>
      </w:pPr>
      <w:r w:rsidRPr="00D739A7">
        <w:t>The gender breakdowns have been calculated as follows:</w:t>
      </w:r>
    </w:p>
    <w:p w14:paraId="18F75FFB" w14:textId="17494082" w:rsidR="009F2D7A" w:rsidRPr="00D739A7" w:rsidRDefault="00EF3C3C" w:rsidP="004A29D9">
      <w:pPr>
        <w:pStyle w:val="Agency-body-text-report"/>
      </w:pPr>
      <w:r w:rsidRPr="00D739A7">
        <w:t>Boys</w:t>
      </w:r>
      <w:r w:rsidR="009F2D7A" w:rsidRPr="00D739A7">
        <w:t>: The total number of boys with an official decision of SEN (</w:t>
      </w:r>
      <w:r w:rsidR="007237E0" w:rsidRPr="00D739A7">
        <w:t>Q3</w:t>
      </w:r>
      <w:r w:rsidR="009F2D7A" w:rsidRPr="00D739A7">
        <w:t>.1) / The number of learners who are enrolled in all formal educational settings (Q1.2) x 100.</w:t>
      </w:r>
    </w:p>
    <w:p w14:paraId="6529CE90" w14:textId="703C8674" w:rsidR="009F2D7A" w:rsidRPr="00D739A7" w:rsidRDefault="00EF3C3C" w:rsidP="004A29D9">
      <w:pPr>
        <w:pStyle w:val="Agency-body-text-report"/>
      </w:pPr>
      <w:r w:rsidRPr="00D739A7">
        <w:t>Girls</w:t>
      </w:r>
      <w:r w:rsidR="009F2D7A" w:rsidRPr="00D739A7">
        <w:t>: The total number of girls with an official decision of SEN (</w:t>
      </w:r>
      <w:r w:rsidR="007237E0" w:rsidRPr="00D739A7">
        <w:t>Q3</w:t>
      </w:r>
      <w:r w:rsidR="009F2D7A" w:rsidRPr="00D739A7">
        <w:t>.1) / The number of learners who are enrolled in all formal educational settings (Q1.2) x 100.</w:t>
      </w:r>
    </w:p>
    <w:p w14:paraId="0FE654DD" w14:textId="23A81906" w:rsidR="009F2D7A" w:rsidRPr="00D739A7" w:rsidRDefault="009F2D7A" w:rsidP="004A29D9">
      <w:pPr>
        <w:pStyle w:val="Agency-body-text-report"/>
      </w:pPr>
      <w:r w:rsidRPr="00D739A7">
        <w:t>Data is available from 2</w:t>
      </w:r>
      <w:r w:rsidR="0059200D" w:rsidRPr="00D739A7">
        <w:t>9</w:t>
      </w:r>
      <w:r w:rsidRPr="00D739A7">
        <w:t xml:space="preserve"> countries.</w:t>
      </w:r>
    </w:p>
    <w:p w14:paraId="12526101" w14:textId="1A19D1AA" w:rsidR="009F2D7A" w:rsidRPr="00D739A7" w:rsidRDefault="009F2D7A" w:rsidP="004A29D9">
      <w:pPr>
        <w:pStyle w:val="Agency-body-text-report"/>
      </w:pPr>
      <w:r w:rsidRPr="00D739A7">
        <w:t>The SEN identification rate for</w:t>
      </w:r>
      <w:r w:rsidR="00EF3C3C" w:rsidRPr="00D739A7">
        <w:t xml:space="preserve"> boy</w:t>
      </w:r>
      <w:r w:rsidRPr="00D739A7">
        <w:t>s ranges from 0.</w:t>
      </w:r>
      <w:r w:rsidR="0059200D" w:rsidRPr="00D739A7">
        <w:t>55</w:t>
      </w:r>
      <w:r w:rsidRPr="00D739A7">
        <w:t>% to 1</w:t>
      </w:r>
      <w:r w:rsidR="0059200D" w:rsidRPr="00D739A7">
        <w:t>5.28</w:t>
      </w:r>
      <w:r w:rsidRPr="00D739A7">
        <w:t>%; the total average for the 2</w:t>
      </w:r>
      <w:r w:rsidR="0059200D" w:rsidRPr="00D739A7">
        <w:t>9</w:t>
      </w:r>
      <w:r w:rsidRPr="00D739A7">
        <w:t xml:space="preserve"> countries is </w:t>
      </w:r>
      <w:r w:rsidR="0059200D" w:rsidRPr="00D739A7">
        <w:t>3.18</w:t>
      </w:r>
      <w:r w:rsidRPr="00D739A7">
        <w:t>%.</w:t>
      </w:r>
    </w:p>
    <w:p w14:paraId="7D60181C" w14:textId="6B8D37AE" w:rsidR="009F2D7A" w:rsidRPr="00D739A7" w:rsidRDefault="009F2D7A" w:rsidP="004A29D9">
      <w:pPr>
        <w:pStyle w:val="Agency-body-text-report"/>
      </w:pPr>
      <w:r w:rsidRPr="00D739A7">
        <w:t xml:space="preserve">The SEN identification rate for </w:t>
      </w:r>
      <w:r w:rsidR="00EF3C3C" w:rsidRPr="00D739A7">
        <w:t>girls</w:t>
      </w:r>
      <w:r w:rsidRPr="00D739A7">
        <w:t xml:space="preserve"> ranges from 0.4</w:t>
      </w:r>
      <w:r w:rsidR="0059200D" w:rsidRPr="00D739A7">
        <w:t>7</w:t>
      </w:r>
      <w:r w:rsidRPr="00D739A7">
        <w:t xml:space="preserve">% to </w:t>
      </w:r>
      <w:r w:rsidR="0059200D" w:rsidRPr="00D739A7">
        <w:t>9.84</w:t>
      </w:r>
      <w:r w:rsidRPr="00D739A7">
        <w:t>%; the total average for the 2</w:t>
      </w:r>
      <w:r w:rsidR="0059200D" w:rsidRPr="00D739A7">
        <w:t>9</w:t>
      </w:r>
      <w:r w:rsidRPr="00D739A7">
        <w:t xml:space="preserve"> countries is 1.</w:t>
      </w:r>
      <w:r w:rsidR="0059200D" w:rsidRPr="00D739A7">
        <w:t>5</w:t>
      </w:r>
      <w:r w:rsidRPr="00D739A7">
        <w:t>5%.</w:t>
      </w:r>
    </w:p>
    <w:p w14:paraId="68BC5919" w14:textId="3BF5FAC8" w:rsidR="009F2D7A" w:rsidRPr="00D739A7" w:rsidRDefault="0059200D" w:rsidP="0059200D">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44EFF357" wp14:editId="3668F271">
            <wp:extent cx="3103880" cy="7575550"/>
            <wp:effectExtent l="0" t="0" r="7620" b="6350"/>
            <wp:docPr id="53" name="Diagram 53" descr="Austria &#10;Boys 2.13 &#10;Girls 1.21&#10;Belgium (Fl) &#10;Boys 4.98 &#10;Girls 2.52&#10;Bulgaria &#10;Boys 1.89 &#10;Girls 1.08&#10;Cyprus &#10;Boys 5.46 &#10;Girls 2.64&#10;Czech Republic &#10;Boys 6.89 &#10;Girls 3.30&#10;Estonia &#10;Boys 5.08 &#10;Girls 2.30&#10;Finland &#10;Boys 5.21 &#10;Girls 2.23&#10;France &#10;Boys 2.37 &#10;Girls 1.02&#10;Germany &#10;Boys 3.58 &#10;Girls 1.88&#10;Greece &#10;Boys 4.31 &#10;Girls 1.93&#10;Hungary &#10;Boys 4.92 &#10;Girls 2.55&#10;Iceland  &#10;Boys 10.14 &#10;Girls 5.20&#10;Ireland &#10;Boys 5.06 &#10;Girls 1.88&#10;Italy 2.51 &#10;Girls 1.04  &#10;Lithuania &#10;Boys 8.88 &#10;Girls 4.60  &#10;Malta &#10;Boys 6.72 &#10;Girls 3.18&#10;Netherlands &#10;Boys 2.32 &#10;Girls 0.87&#10;Norway &#10;Boys 5.32 &#10;Girls 2.53&#10;Poland &#10;Boys 2.47 &#10;Girls 1.30&#10;Portugal &#10;Boys 4.50 &#10;Girls 2.71&#10;Slovakia &#10;Boys 8.99 &#10;Girls 6.09&#10;Slovenia &#10;Boys 5.18 &#10;Girls 2.56&#10;Spain &#10;Boys 2.49 &#10;Girls 1.20&#10;Sweden &#10;Boys 0.55 &#10;Girls 0.47&#10;Switzerland &#10;Boys 2.51 &#10;Girls 1.36&#10;UK (England) &#10;Boys 2.07 &#10;Girls 0.74&#10;UK (N. Ireland) &#10;Boys 3.96 &#10;Girls 1.48&#10;UK (Scotland) &#10;Boys 15.28 &#10;Girls 9.84&#10;UK (Wales) &#10;Boys 2.14 &#10;Girls 0.77&#10;Total average (29) &#10;Boys 3.18 &#10;Girls 1.55">
              <a:extLst xmlns:a="http://schemas.openxmlformats.org/drawingml/2006/main">
                <a:ext uri="{FF2B5EF4-FFF2-40B4-BE49-F238E27FC236}">
                  <a16:creationId xmlns:a16="http://schemas.microsoft.com/office/drawing/2014/main" id="{D9F24B70-3110-4E99-8655-AACE6BE48E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CB30800" w14:textId="21745ABF" w:rsidR="009F2D7A" w:rsidRPr="00D739A7" w:rsidRDefault="00247BBA" w:rsidP="00783F38">
      <w:pPr>
        <w:pStyle w:val="Agency-caption-report"/>
        <w:sectPr w:rsidR="009F2D7A" w:rsidRPr="00D739A7" w:rsidSect="00702BFA">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39</w:t>
      </w:r>
      <w:r w:rsidRPr="00D739A7">
        <w:fldChar w:fldCharType="end"/>
      </w:r>
      <w:r w:rsidR="009F2D7A" w:rsidRPr="00D739A7">
        <w:t>. Gender breakdown of learners with an official decision of SEN, based on the enrolled school population (%)</w:t>
      </w:r>
    </w:p>
    <w:p w14:paraId="1B469B67" w14:textId="77777777" w:rsidR="009F2D7A" w:rsidRPr="00D739A7" w:rsidRDefault="009F2D7A" w:rsidP="004A29D9">
      <w:pPr>
        <w:pStyle w:val="Agency-heading-4-report"/>
      </w:pPr>
      <w:r w:rsidRPr="00D739A7">
        <w:lastRenderedPageBreak/>
        <w:t>Gender distribution of learners with an official decision of SEN, based on the number of learners who have an official decision of SEN (%)</w:t>
      </w:r>
    </w:p>
    <w:p w14:paraId="7EC4891E" w14:textId="77777777" w:rsidR="009F2D7A" w:rsidRPr="00D739A7" w:rsidRDefault="009F2D7A" w:rsidP="009F2D7A">
      <w:pPr>
        <w:spacing w:before="120" w:after="120" w:line="240" w:lineRule="auto"/>
        <w:rPr>
          <w:rFonts w:ascii="Calibri" w:eastAsia="Times New Roman" w:hAnsi="Calibri" w:cs="Calibri"/>
          <w:bCs/>
          <w:color w:val="000000"/>
          <w:sz w:val="24"/>
          <w:szCs w:val="24"/>
          <w:lang w:val="en-GB"/>
        </w:rPr>
        <w:sectPr w:rsidR="009F2D7A" w:rsidRPr="00D739A7" w:rsidSect="00751B98">
          <w:pgSz w:w="11899" w:h="16838"/>
          <w:pgMar w:top="1134" w:right="1551" w:bottom="1276" w:left="1418" w:header="709" w:footer="709" w:gutter="0"/>
          <w:cols w:space="710"/>
          <w:docGrid w:linePitch="360"/>
        </w:sectPr>
      </w:pPr>
    </w:p>
    <w:p w14:paraId="54CD47C5" w14:textId="77777777" w:rsidR="009F2D7A" w:rsidRPr="00D739A7" w:rsidRDefault="009F2D7A" w:rsidP="00247BBA">
      <w:pPr>
        <w:pStyle w:val="Agency-body-text-report"/>
      </w:pPr>
      <w:r w:rsidRPr="00D739A7">
        <w:t>The gender distributions have been calculated as follows:</w:t>
      </w:r>
    </w:p>
    <w:p w14:paraId="624744C7" w14:textId="5CFEF811" w:rsidR="009F2D7A" w:rsidRPr="00D739A7" w:rsidRDefault="00EF3C3C" w:rsidP="00247BBA">
      <w:pPr>
        <w:pStyle w:val="Agency-body-text-report"/>
      </w:pPr>
      <w:r w:rsidRPr="00D739A7">
        <w:t>Boys</w:t>
      </w:r>
      <w:r w:rsidR="009F2D7A" w:rsidRPr="00D739A7">
        <w:t>: The total number of boys who have an official decision of SEN (</w:t>
      </w:r>
      <w:r w:rsidR="007237E0" w:rsidRPr="00D739A7">
        <w:t>Q3</w:t>
      </w:r>
      <w:r w:rsidR="009F2D7A" w:rsidRPr="00D739A7">
        <w:t>.1) / The total number of learners who have an official decision of SEN (Q3.1) x 100.</w:t>
      </w:r>
    </w:p>
    <w:p w14:paraId="62B92678" w14:textId="77777777" w:rsidR="00550DA8" w:rsidRPr="00D739A7" w:rsidRDefault="00EF3C3C" w:rsidP="00247BBA">
      <w:pPr>
        <w:pStyle w:val="Agency-body-text-report"/>
      </w:pPr>
      <w:r w:rsidRPr="00D739A7">
        <w:t>Girls</w:t>
      </w:r>
      <w:r w:rsidR="009F2D7A" w:rsidRPr="00D739A7">
        <w:t>: The total number of girls who have an official decision of SEN (</w:t>
      </w:r>
      <w:r w:rsidR="007237E0" w:rsidRPr="00D739A7">
        <w:t>Q3</w:t>
      </w:r>
      <w:r w:rsidR="009F2D7A" w:rsidRPr="00D739A7">
        <w:t>.1) / The total number of learners who have an official decision of SEN (Q3.1) x 100.</w:t>
      </w:r>
    </w:p>
    <w:p w14:paraId="566D3A0B" w14:textId="78835DFA" w:rsidR="009F2D7A" w:rsidRPr="00D739A7" w:rsidRDefault="009F2D7A" w:rsidP="00247BBA">
      <w:pPr>
        <w:pStyle w:val="Agency-body-text-report"/>
      </w:pPr>
      <w:r w:rsidRPr="00D739A7">
        <w:t>Data is available from 2</w:t>
      </w:r>
      <w:r w:rsidR="0059200D" w:rsidRPr="00D739A7">
        <w:t>9</w:t>
      </w:r>
      <w:r w:rsidRPr="00D739A7">
        <w:t xml:space="preserve"> countries.</w:t>
      </w:r>
    </w:p>
    <w:p w14:paraId="37589702" w14:textId="0E9C97AB" w:rsidR="009F2D7A" w:rsidRPr="00D739A7" w:rsidRDefault="009F2D7A" w:rsidP="00247BBA">
      <w:pPr>
        <w:pStyle w:val="Agency-body-text-report"/>
      </w:pPr>
      <w:r w:rsidRPr="00D739A7">
        <w:t xml:space="preserve">The proportion of boys with an official decision of SEN ranges from </w:t>
      </w:r>
      <w:r w:rsidR="00A1137C" w:rsidRPr="00D739A7">
        <w:t>53.65</w:t>
      </w:r>
      <w:r w:rsidRPr="00D739A7">
        <w:t>% to 73.</w:t>
      </w:r>
      <w:r w:rsidR="00A1137C" w:rsidRPr="00D739A7">
        <w:t>67</w:t>
      </w:r>
      <w:r w:rsidRPr="00D739A7">
        <w:t>%; the total average for the 2</w:t>
      </w:r>
      <w:r w:rsidR="0059200D" w:rsidRPr="00D739A7">
        <w:t>9</w:t>
      </w:r>
      <w:r w:rsidRPr="00D739A7">
        <w:t xml:space="preserve"> countries is </w:t>
      </w:r>
      <w:r w:rsidR="008E32E7">
        <w:t>67.29</w:t>
      </w:r>
      <w:r w:rsidRPr="00D739A7">
        <w:t>%.</w:t>
      </w:r>
    </w:p>
    <w:p w14:paraId="7213A8D4" w14:textId="2873253C" w:rsidR="0059200D" w:rsidRPr="00D739A7" w:rsidRDefault="009F2D7A" w:rsidP="00247BBA">
      <w:pPr>
        <w:pStyle w:val="Agency-body-text-report"/>
      </w:pPr>
      <w:r w:rsidRPr="00D739A7">
        <w:t>The proportion of girls with an official decision of SEN ranges from 26.</w:t>
      </w:r>
      <w:r w:rsidR="00A1137C" w:rsidRPr="00D739A7">
        <w:t>33</w:t>
      </w:r>
      <w:r w:rsidRPr="00D739A7">
        <w:t xml:space="preserve">% to </w:t>
      </w:r>
      <w:r w:rsidR="00A1137C" w:rsidRPr="00D739A7">
        <w:t>46.35</w:t>
      </w:r>
      <w:r w:rsidRPr="00D739A7">
        <w:t>%; the total average for the 2</w:t>
      </w:r>
      <w:r w:rsidR="0059200D" w:rsidRPr="00D739A7">
        <w:t>9</w:t>
      </w:r>
      <w:r w:rsidRPr="00D739A7">
        <w:t xml:space="preserve"> countries is 32.</w:t>
      </w:r>
      <w:r w:rsidR="008E32E7">
        <w:t>71</w:t>
      </w:r>
      <w:r w:rsidRPr="00D739A7">
        <w:t>%.</w:t>
      </w:r>
    </w:p>
    <w:p w14:paraId="644D46FA" w14:textId="436E086F" w:rsidR="009F2D7A" w:rsidRPr="00D739A7" w:rsidRDefault="0059200D" w:rsidP="0059200D">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59612711" wp14:editId="350E3CBE">
            <wp:extent cx="3103880" cy="7562850"/>
            <wp:effectExtent l="0" t="0" r="7620" b="6350"/>
            <wp:docPr id="54" name="Diagram 54" descr="Austria &#10;Boys 63.74 &#10;Girls 36.26&#10;Belgium (Fl) &#10;Boys 66.43 &#10;Girls 33.57&#10;Bulgaria &#10;Boys 63.64 &#10;Girls 36.36&#10;Cyprus &#10;Boys 67.42 &#10;Girls 32.58&#10;Czech Republic &#10;Boys 67.58 &#10;Girls 32.42&#10;Estonia &#10;Boys 68.82 &#10;Girls 31.18&#10;Finland &#10;Boys 70.00 &#10;Girls 30.00&#10;France &#10;Boys 70.02 &#10;Girls 29.98&#10;Germany &#10;Boys 65.56 &#10;Girls 34.44&#10;Greece &#10;Boys 69.06 &#10;Girls 30.94&#10;Hungary &#10;Boys 65.84 &#10;Girls 34.16&#10;Iceland  &#10;Boys 66.10 &#10;Girls 33.90&#10;Ireland &#10;Boys 72.93 &#10;Girls 27.07&#10;Italy &#10;Boys 70.76 &#10;Girls 29.24&#10;Lithuania &#10;Boys 65.87 &#10;Girls 34.13&#10;Malta &#10;Boys 67.85 &#10;Girls 32.15&#10;Netherlands &#10;Boys 72.65 &#10;Girls 27.35&#10;Norway &#10;Boys 67.77 &#10;Girls 32.23&#10;Poland &#10;Boys 65.53 &#10;Girls 34.47&#10;Portugal &#10;Boys 62.37 &#10;Girls 37.63&#10;Slovakia &#10;Boys 59.63 &#10;Girls 40.37&#10;Slovenia &#10;Boys 66.90 &#10;Girls 33.10&#10;Spain &#10;Boys 67.39 &#10;Girls 32.61&#10;Sweden &#10;Boys 53.65 &#10;Girls 46.35&#10;Switzerland &#10;Boys 64.87 &#10;Girls 35.13&#10;UK (England) &#10;Boys 73.67 &#10;Girls 26.33&#10;UK (N. Ireland) &#10;Boys 72.81 &#10;Girls 27.19&#10;UK (Scotland) &#10;Boys 60.82 &#10;Girls 39.18&#10;UK (Wales) &#10;Boys 73.38 &#10;Girls 26.62&#10;Total average (29) &#10;Boys 67.29&#10;Girls 32.71">
              <a:extLst xmlns:a="http://schemas.openxmlformats.org/drawingml/2006/main">
                <a:ext uri="{FF2B5EF4-FFF2-40B4-BE49-F238E27FC236}">
                  <a16:creationId xmlns:a16="http://schemas.microsoft.com/office/drawing/2014/main" id="{687CAE72-5CF6-4696-9737-F34882B131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3A8C781" w14:textId="67C48758" w:rsidR="009F2D7A" w:rsidRPr="00D739A7" w:rsidRDefault="00247BBA" w:rsidP="00783F38">
      <w:pPr>
        <w:pStyle w:val="Agency-caption-report"/>
        <w:sectPr w:rsidR="009F2D7A" w:rsidRPr="00D739A7" w:rsidSect="00702BFA">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40</w:t>
      </w:r>
      <w:r w:rsidRPr="00D739A7">
        <w:fldChar w:fldCharType="end"/>
      </w:r>
      <w:r w:rsidR="009F2D7A" w:rsidRPr="00D739A7">
        <w:t>. Gender distribution of learners with an official decision of SEN, based on the number of learners who have an official decision of SEN (%)</w:t>
      </w:r>
    </w:p>
    <w:p w14:paraId="7CFA5BCD" w14:textId="77777777" w:rsidR="009F2D7A" w:rsidRPr="00D739A7" w:rsidRDefault="009F2D7A" w:rsidP="004A29D9">
      <w:pPr>
        <w:pStyle w:val="Agency-heading-4-report"/>
      </w:pPr>
      <w:r w:rsidRPr="00D739A7">
        <w:lastRenderedPageBreak/>
        <w:t>ISCED breakdown of learners with an official decision of SEN, based on the enrolled school population (%)</w:t>
      </w:r>
    </w:p>
    <w:p w14:paraId="2BA0D3AA" w14:textId="77777777" w:rsidR="009F2D7A" w:rsidRPr="00D739A7" w:rsidRDefault="009F2D7A" w:rsidP="009F2D7A">
      <w:pPr>
        <w:keepNext/>
        <w:spacing w:before="120" w:after="120" w:line="240" w:lineRule="auto"/>
        <w:rPr>
          <w:rFonts w:ascii="Calibri" w:eastAsia="Times New Roman" w:hAnsi="Calibri" w:cs="Calibri"/>
          <w:color w:val="000000"/>
          <w:sz w:val="24"/>
          <w:szCs w:val="24"/>
          <w:lang w:val="en-GB"/>
        </w:rPr>
        <w:sectPr w:rsidR="009F2D7A" w:rsidRPr="00D739A7" w:rsidSect="00751B98">
          <w:pgSz w:w="11899" w:h="16838"/>
          <w:pgMar w:top="1134" w:right="1551" w:bottom="1276" w:left="1418" w:header="709" w:footer="709" w:gutter="0"/>
          <w:cols w:space="710"/>
          <w:docGrid w:linePitch="360"/>
        </w:sectPr>
      </w:pPr>
    </w:p>
    <w:p w14:paraId="53E4F4E7" w14:textId="77777777" w:rsidR="009F2D7A" w:rsidRPr="00D739A7" w:rsidRDefault="009F2D7A" w:rsidP="004A29D9">
      <w:pPr>
        <w:pStyle w:val="Agency-body-text-report"/>
      </w:pPr>
      <w:r w:rsidRPr="00D739A7">
        <w:t>The ISCED breakdowns have been calculated as follows:</w:t>
      </w:r>
    </w:p>
    <w:p w14:paraId="11941B16" w14:textId="77777777" w:rsidR="009F2D7A" w:rsidRPr="00D739A7" w:rsidRDefault="009F2D7A" w:rsidP="00247BBA">
      <w:pPr>
        <w:pStyle w:val="Agency-body-text-report"/>
      </w:pPr>
      <w:r w:rsidRPr="00D739A7">
        <w:t>ISCED 1: The total number of learners in ISCED 1 who have an official decision of SEN (Q3.1) / The number of learners who are enrolled in all formal educational settings (Q1.2) x 100.</w:t>
      </w:r>
    </w:p>
    <w:p w14:paraId="79DFD44F" w14:textId="77777777" w:rsidR="009F2D7A" w:rsidRPr="00D739A7" w:rsidRDefault="009F2D7A" w:rsidP="00247BBA">
      <w:pPr>
        <w:pStyle w:val="Agency-body-text-report"/>
      </w:pPr>
      <w:r w:rsidRPr="00D739A7">
        <w:t>ISCED 2: The total number of learners in ISCED 2 who have an official decision of SEN (Q3.1) / The number of learners who are enrolled in all formal educational settings (Q1.2) x 100.</w:t>
      </w:r>
    </w:p>
    <w:p w14:paraId="1AE0D92E" w14:textId="33019C36" w:rsidR="009F2D7A" w:rsidRPr="00D739A7" w:rsidRDefault="009F2D7A" w:rsidP="00247BBA">
      <w:pPr>
        <w:pStyle w:val="Agency-body-text-report"/>
      </w:pPr>
      <w:r w:rsidRPr="00D739A7">
        <w:t>Data is available from 3</w:t>
      </w:r>
      <w:r w:rsidR="00A1137C" w:rsidRPr="00D739A7">
        <w:t>1</w:t>
      </w:r>
      <w:r w:rsidRPr="00D739A7">
        <w:t xml:space="preserve"> countries.</w:t>
      </w:r>
    </w:p>
    <w:p w14:paraId="3EF88491" w14:textId="22430245" w:rsidR="009F2D7A" w:rsidRPr="00D739A7" w:rsidRDefault="009F2D7A" w:rsidP="00247BBA">
      <w:pPr>
        <w:pStyle w:val="Agency-body-text-report"/>
      </w:pPr>
      <w:r w:rsidRPr="00D739A7">
        <w:t>The SEN identification rate in ISCED 1 ranges from 0.6</w:t>
      </w:r>
      <w:r w:rsidR="00A1137C" w:rsidRPr="00D739A7">
        <w:t>0</w:t>
      </w:r>
      <w:r w:rsidRPr="00D739A7">
        <w:t>% to 1</w:t>
      </w:r>
      <w:r w:rsidR="00A1137C" w:rsidRPr="00D739A7">
        <w:t>5.17</w:t>
      </w:r>
      <w:r w:rsidRPr="00D739A7">
        <w:t>%; the total average for the 3</w:t>
      </w:r>
      <w:r w:rsidR="00A1137C" w:rsidRPr="00D739A7">
        <w:t>1</w:t>
      </w:r>
      <w:r w:rsidRPr="00D739A7">
        <w:t xml:space="preserve"> countries is 2.</w:t>
      </w:r>
      <w:r w:rsidR="00A1137C" w:rsidRPr="00D739A7">
        <w:t>61</w:t>
      </w:r>
      <w:r w:rsidRPr="00D739A7">
        <w:t>%.</w:t>
      </w:r>
    </w:p>
    <w:p w14:paraId="787AEFC2" w14:textId="475814BA" w:rsidR="00A1137C" w:rsidRPr="00D739A7" w:rsidRDefault="009F2D7A" w:rsidP="00247BBA">
      <w:pPr>
        <w:pStyle w:val="Agency-body-text-report"/>
      </w:pPr>
      <w:r w:rsidRPr="00D739A7">
        <w:t>The SEN identification rate in ISCED 2 ranges from</w:t>
      </w:r>
      <w:r w:rsidR="006F226B" w:rsidRPr="00D739A7">
        <w:t xml:space="preserve"> 0.42</w:t>
      </w:r>
      <w:r w:rsidRPr="00D739A7">
        <w:t xml:space="preserve">% to </w:t>
      </w:r>
      <w:r w:rsidR="00A1137C" w:rsidRPr="00D739A7">
        <w:t>9.96</w:t>
      </w:r>
      <w:r w:rsidRPr="00D739A7">
        <w:t>%; the total average for the 3</w:t>
      </w:r>
      <w:r w:rsidR="00A1137C" w:rsidRPr="00D739A7">
        <w:t>1</w:t>
      </w:r>
      <w:r w:rsidRPr="00D739A7">
        <w:t xml:space="preserve"> countries is 2.</w:t>
      </w:r>
      <w:r w:rsidR="00A1137C" w:rsidRPr="00D739A7">
        <w:t>14</w:t>
      </w:r>
      <w:r w:rsidRPr="00D739A7">
        <w:t>%.</w:t>
      </w:r>
    </w:p>
    <w:p w14:paraId="4565E1F3" w14:textId="5CED47F5" w:rsidR="009F2D7A" w:rsidRPr="00D739A7" w:rsidRDefault="00A1137C" w:rsidP="00A1137C">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624CFD71" wp14:editId="62E05569">
            <wp:extent cx="3067050" cy="7581900"/>
            <wp:effectExtent l="0" t="0" r="6350" b="12700"/>
            <wp:docPr id="55" name="Diagram 55" descr="Austria &#10;ISCED 1 - 1.30 &#10;ISCED 2 - 2.04&#10;Belgium (Fl) &#10;ISCED 1 - 4.31 &#10;ISCED 2 - 3.19&#10;Bulgaria &#10;ISCED 1 - 1.57 &#10;ISCED 2 - 1.39&#10;Cyprus &#10;ISCED 1 - 5.15 &#10;ISCED 2 - 2.95&#10;Czech Republic &#10;ISCED 1 - 4.95 &#10;ISCED 2 - 5.24&#10;Estonia &#10;ISCED 1 - 4.64 &#10;ISCED 2 - 2.74&#10;Finland &#10;ISCED 1 - 4.46 &#10;ISCED 2 - 2.99&#10;France &#10;ISCED 1 - 2.21 &#10;ISCED 2 - 1.18&#10;Germany &#10;ISCED 1 - 2.21 &#10;ISCED 2 - 3.25&#10;Greece &#10;ISCED 1 - 3.14 &#10;ISCED 2 - 3.11&#10;Hungary &#10;ISCED 1 - 3.29 &#10;ISCED 2 - 4.18&#10;Iceland  &#10;ISCED 1 - 10.28 &#10;ISCED 2 - 5.05&#10;Ireland &#10;ISCED 1 - 5.11 &#10;ISCED 2 - 1.82&#10;Italy &#10;ISCED 1 - 2.01 &#10;ISCED 2 - 1.54&#10;Latvia &#10;ISCED 1 - 4.35 &#10;ISCED 2 - 2.36&#10;Lithuania &#10;ISCED 1 - 7.59 &#10;ISCED 2 - 5.89&#10;Luxembourg &#10;ISCED 1 - 0.96 &#10;ISCED 2 - 0.54&#10;Malta &#10;ISCED 1 - 6.17 &#10;ISCED 2 - 3.73&#10;Netherlands &#10;ISCED 1 - 1.31 &#10;ISCED 2 - 1.89&#10;Norway &#10;ISCED 1 - 4.86 &#10;ISCED 2 - 2.99&#10;Poland &#10;ISCED 1 - 2.34 &#10;ISCED 2 - 1.43&#10;Portugal &#10;ISCED 1 - 4.27 &#10;ISCED 2 - 2.94&#10;Slovakia &#10;ISCED 1 - 6.80 &#10;ISCED 2 - 8.27&#10;Slovenia &#10;ISCED 1 - 4.53 &#10;ISCED 2 - 3.22&#10;Spain &#10;ISCED 1 - 2.33 &#10;ISCED 2 - 1.36&#10;Sweden &#10;ISCED 1 - 0.60 &#10;ISCED 2 - 0.42&#10;Switzerland &#10;ISCED 1 - 2.31 &#10;ISCED 2 - 1.55&#10;UK (England) &#10;ISCED 1 - 1.72 &#10;ISCED 2 - 1.10&#10;UK (N. Ireland) &#10;ISCED 1 - 2.83 &#10;ISCED 2 - 2.62&#10;UK (Scotland) &#10;ISCED 1 - 15.17 &#10;ISCED 2 - 9.96&#10;UK (Wales) &#10;ISCED 1 - 1.31 &#10;ISCED 2 - 1.60&#10;Total average (31) &#10;ISCED 1 - 2.61 &#10;ISCED 2 - 2.14">
              <a:extLst xmlns:a="http://schemas.openxmlformats.org/drawingml/2006/main">
                <a:ext uri="{FF2B5EF4-FFF2-40B4-BE49-F238E27FC236}">
                  <a16:creationId xmlns:a16="http://schemas.microsoft.com/office/drawing/2014/main" id="{6F4553E0-08DC-4979-9616-C3CFC2EEEF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09A0CE1" w14:textId="1ECFCE42" w:rsidR="009F2D7A" w:rsidRPr="00D739A7" w:rsidRDefault="00247BBA" w:rsidP="00783F38">
      <w:pPr>
        <w:pStyle w:val="Agency-caption-report"/>
        <w:sectPr w:rsidR="009F2D7A" w:rsidRPr="00D739A7" w:rsidSect="00702BFA">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41</w:t>
      </w:r>
      <w:r w:rsidRPr="00D739A7">
        <w:fldChar w:fldCharType="end"/>
      </w:r>
      <w:r w:rsidR="009F2D7A" w:rsidRPr="00D739A7">
        <w:t>. ISCED breakdown of learners with an official decision of SEN, based on the enrolled school population (%)</w:t>
      </w:r>
    </w:p>
    <w:p w14:paraId="60ECF944" w14:textId="77777777" w:rsidR="009F2D7A" w:rsidRPr="00D739A7" w:rsidRDefault="009F2D7A" w:rsidP="004A29D9">
      <w:pPr>
        <w:pStyle w:val="Agency-heading-4-report"/>
      </w:pPr>
      <w:r w:rsidRPr="00D739A7">
        <w:lastRenderedPageBreak/>
        <w:t>ISCED distribution of learners with an official decision of SEN, based on the enrolled school population within ISCED 1 and ISCED 2 (%)</w:t>
      </w:r>
    </w:p>
    <w:p w14:paraId="7E238456" w14:textId="77777777" w:rsidR="009F2D7A" w:rsidRPr="00D739A7" w:rsidRDefault="009F2D7A" w:rsidP="009F2D7A">
      <w:pPr>
        <w:spacing w:before="120" w:after="120" w:line="240" w:lineRule="auto"/>
        <w:rPr>
          <w:rFonts w:ascii="Calibri" w:eastAsia="Times New Roman" w:hAnsi="Calibri" w:cs="Calibri"/>
          <w:color w:val="000000"/>
          <w:sz w:val="24"/>
          <w:szCs w:val="24"/>
          <w:lang w:val="en-GB"/>
        </w:rPr>
        <w:sectPr w:rsidR="009F2D7A" w:rsidRPr="00D739A7" w:rsidSect="00751B98">
          <w:pgSz w:w="11899" w:h="16838"/>
          <w:pgMar w:top="1134" w:right="1551" w:bottom="1276" w:left="1418" w:header="709" w:footer="709" w:gutter="0"/>
          <w:cols w:space="710"/>
          <w:docGrid w:linePitch="360"/>
        </w:sectPr>
      </w:pPr>
    </w:p>
    <w:p w14:paraId="3398C0E4" w14:textId="77777777" w:rsidR="009F2D7A" w:rsidRPr="00D739A7" w:rsidRDefault="009F2D7A" w:rsidP="004A29D9">
      <w:pPr>
        <w:pStyle w:val="Agency-body-text-report"/>
      </w:pPr>
      <w:r w:rsidRPr="00D739A7">
        <w:t>The ISCED distributions have been calculated as follows:</w:t>
      </w:r>
    </w:p>
    <w:p w14:paraId="062CC92B" w14:textId="77777777" w:rsidR="009F2D7A" w:rsidRPr="00D739A7" w:rsidRDefault="009F2D7A" w:rsidP="004A29D9">
      <w:pPr>
        <w:pStyle w:val="Agency-body-text-report"/>
      </w:pPr>
      <w:r w:rsidRPr="00D739A7">
        <w:t>ISCED 1: The total number of learners in ISCED 1 who have an official decision of SEN (Q3.1) / The total number of learners in ISCED 1 who are enrolled in all formal educational settings (Q1.2) x 100.</w:t>
      </w:r>
    </w:p>
    <w:p w14:paraId="7F2E1E08" w14:textId="77777777" w:rsidR="009F2D7A" w:rsidRPr="00D739A7" w:rsidRDefault="009F2D7A" w:rsidP="004A29D9">
      <w:pPr>
        <w:pStyle w:val="Agency-body-text-report"/>
      </w:pPr>
      <w:r w:rsidRPr="00D739A7">
        <w:t>ISCED 2: The total number of learners in ISCED 2 who have an official decision of SEN (Q3.1) / The total number of learners in ISCED 2 who are enrolled in all formal educational settings (Q1.2) x 100.</w:t>
      </w:r>
    </w:p>
    <w:p w14:paraId="27430794" w14:textId="2C094746" w:rsidR="009F2D7A" w:rsidRPr="00D739A7" w:rsidRDefault="009F2D7A" w:rsidP="004A29D9">
      <w:pPr>
        <w:pStyle w:val="Agency-body-text-report"/>
      </w:pPr>
      <w:r w:rsidRPr="00D739A7">
        <w:t>Data is available from 3</w:t>
      </w:r>
      <w:r w:rsidR="00A1137C" w:rsidRPr="00D739A7">
        <w:t>1</w:t>
      </w:r>
      <w:r w:rsidRPr="00D739A7">
        <w:t xml:space="preserve"> countries.</w:t>
      </w:r>
    </w:p>
    <w:p w14:paraId="5186772E" w14:textId="59CC6AF4" w:rsidR="009F2D7A" w:rsidRPr="00D739A7" w:rsidRDefault="009F2D7A" w:rsidP="004A29D9">
      <w:pPr>
        <w:pStyle w:val="Agency-body-text-report"/>
      </w:pPr>
      <w:r w:rsidRPr="00D739A7">
        <w:t>The proportion of learners within ISCED 1 with an official decision of SEN ranges from 0.</w:t>
      </w:r>
      <w:r w:rsidR="00A1137C" w:rsidRPr="00D739A7">
        <w:t>89</w:t>
      </w:r>
      <w:r w:rsidRPr="00D739A7">
        <w:t xml:space="preserve">% to </w:t>
      </w:r>
      <w:r w:rsidR="00A1137C" w:rsidRPr="00D739A7">
        <w:t>22.98</w:t>
      </w:r>
      <w:r w:rsidRPr="00D739A7">
        <w:t>%; the total average for the 3</w:t>
      </w:r>
      <w:r w:rsidR="00A1137C" w:rsidRPr="00D739A7">
        <w:t>1</w:t>
      </w:r>
      <w:r w:rsidRPr="00D739A7">
        <w:t xml:space="preserve"> countries is 4.</w:t>
      </w:r>
      <w:r w:rsidR="00A1137C" w:rsidRPr="00D739A7">
        <w:t>41</w:t>
      </w:r>
      <w:r w:rsidRPr="00D739A7">
        <w:t>%.</w:t>
      </w:r>
    </w:p>
    <w:p w14:paraId="4D63BE33" w14:textId="27EF1507" w:rsidR="00A1137C" w:rsidRPr="00D739A7" w:rsidRDefault="009F2D7A" w:rsidP="004A29D9">
      <w:pPr>
        <w:pStyle w:val="Agency-body-text-report"/>
      </w:pPr>
      <w:r w:rsidRPr="00D739A7">
        <w:t>The proportion of learners within ISCED 2 with an official decision of SEN ranges from 1.</w:t>
      </w:r>
      <w:r w:rsidR="00A1137C" w:rsidRPr="00D739A7">
        <w:t>30</w:t>
      </w:r>
      <w:r w:rsidRPr="00D739A7">
        <w:t>% to 2</w:t>
      </w:r>
      <w:r w:rsidR="00A1137C" w:rsidRPr="00D739A7">
        <w:t>9.28</w:t>
      </w:r>
      <w:r w:rsidRPr="00D739A7">
        <w:t>%; the total average for the 3</w:t>
      </w:r>
      <w:r w:rsidR="00A1137C" w:rsidRPr="00D739A7">
        <w:t>1</w:t>
      </w:r>
      <w:r w:rsidRPr="00D739A7">
        <w:t xml:space="preserve"> countries is </w:t>
      </w:r>
      <w:r w:rsidR="00A1137C" w:rsidRPr="00D739A7">
        <w:t>5.25</w:t>
      </w:r>
      <w:r w:rsidRPr="00D739A7">
        <w:t>%.</w:t>
      </w:r>
    </w:p>
    <w:p w14:paraId="0B638918" w14:textId="42B640D7" w:rsidR="009F2D7A" w:rsidRPr="00D739A7" w:rsidRDefault="00A1137C" w:rsidP="00A1137C">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215C1A0A" wp14:editId="2503443F">
            <wp:extent cx="3060700" cy="7581900"/>
            <wp:effectExtent l="0" t="0" r="12700" b="12700"/>
            <wp:docPr id="56" name="Diagram 56" descr="Austria &#10;ISCED 1 - 2.39 &#10;ISCED 2 - 4.50&#10;Belgium (Fl) &#10;ISCED 1 - 6.53 &#10;ISCED 2 - 9.37&#10;Bulgaria &#10;ISCED 1 - 2.69 &#10;ISCED 2 - 3.35&#10;Cyprus &#10;ISCED 1 - 7.59 &#10;ISCED 2 - 9.19&#10;Czech Republic &#10;ISCED 1 - 8.26 &#10;ISCED 2 - 13.09&#10;Estonia &#10;ISCED 1 - 6.62 &#10;ISCED 2 - 9.14&#10;Finland &#10;ISCED 1 - 6.66 &#10;ISCED 2 - 9.04&#10;France &#10;ISCED 1 - 3.93 &#10;ISCED 2 - 2.70&#10;Germany &#10;ISCED 1 - 5.60 &#10;ISCED 2 - 5.36&#10;Greece &#10;ISCED 1 - 4.70 &#10;ISCED 2 - 9.37&#10;Hungary &#10;ISCED 1 - 6.47 &#10;ISCED 2 - 8.50&#10;Iceland  &#10;ISCED 1 - 14.32 &#10;ISCED 2 - 17.93&#10;Ireland &#10;ISCED 1 - 6.85 &#10;ISCED 2 - 7.17&#10;Italy &#10;ISCED 1 - 3.25 &#10;ISCED 2 - 4.02&#10;Latvia &#10;ISCED 1 - 6.37 &#10;ISCED 2 - 7.44&#10;Lithuania &#10;ISCED 1 - 18.50 &#10;ISCED 2 - 9.99&#10;Luxembourg &#10;ISCED 1 - 1.53 &#10;ISCED 2 - 1.46&#10;Malta &#10;ISCED 1 - 9.17 &#10;ISCED 2 - 11.40&#10;Netherlands &#10;ISCED 1 - 2.20 &#10;ISCED 2 - 4.65&#10;Norway &#10;ISCED 1 - 6.88 &#10;ISCED 2 - 10.17&#10;Poland &#10;ISCED 1 - 3.43 &#10;ISCED 2 - 4.52&#10;Portugal &#10;ISCED 1 - 6.68 &#10;ISCED 2 - 8.14&#10;Slovakia &#10;ISCED 1 - 14.40 &#10;ISCED 2 - 15.67&#10;Slovenia &#10;ISCED 1 - 6.46 &#10;ISCED 2 - 10.74&#10;Spain &#10;ISCED 1 - 3.58 &#10;ISCED 2 - 3.91&#10;Sweden &#10;ISCED 1 - 0.89 &#10;ISCED 2 - 1.30&#10;Switzerland &#10;ISCED 1 - 3.48 &#10;ISCED 2 - 4.63&#10;UK (England) &#10;ISCED 1 - 2.48 &#10;ISCED 2 - 3.57&#10;UK (N. Ireland) &#10;ISCED 1 - 4.70 &#10;ISCED 2 - 6.57&#10;UK (Scotland) &#10;ISCED 1 - 22.98 &#10;ISCED 2 - 29.28&#10;UK (Wales) &#10;ISCED 1 - 2.31 &#10;ISCED 2 - 3.70&#10;Total average (31) &#10;ISCED 1 - 4.41 &#10;ISCED 2 - 5.25">
              <a:extLst xmlns:a="http://schemas.openxmlformats.org/drawingml/2006/main">
                <a:ext uri="{FF2B5EF4-FFF2-40B4-BE49-F238E27FC236}">
                  <a16:creationId xmlns:a16="http://schemas.microsoft.com/office/drawing/2014/main" id="{C5883C13-222D-4A71-AFAF-4D481C3EE9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48F0609" w14:textId="1A945179" w:rsidR="009F2D7A" w:rsidRPr="00D739A7" w:rsidRDefault="00EE0752"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42</w:t>
      </w:r>
      <w:r w:rsidRPr="00D739A7">
        <w:fldChar w:fldCharType="end"/>
      </w:r>
      <w:r w:rsidR="009F2D7A" w:rsidRPr="00D739A7">
        <w:t>. ISCED distribution of learners with an official decision of SEN, based on the enrolled school population within ISCED 1 and ISCED 2 (%)</w:t>
      </w:r>
    </w:p>
    <w:p w14:paraId="7DE7301A"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B726B8">
          <w:type w:val="continuous"/>
          <w:pgSz w:w="11899" w:h="16838"/>
          <w:pgMar w:top="1134" w:right="1551" w:bottom="1276" w:left="1418" w:header="709" w:footer="709" w:gutter="0"/>
          <w:cols w:num="2" w:space="710" w:equalWidth="0">
            <w:col w:w="3333" w:space="710"/>
            <w:col w:w="4887"/>
          </w:cols>
          <w:docGrid w:linePitch="360"/>
        </w:sectPr>
      </w:pPr>
    </w:p>
    <w:p w14:paraId="292D556D" w14:textId="0445E258" w:rsidR="009F2D7A" w:rsidRPr="00D739A7" w:rsidRDefault="00903978" w:rsidP="004A29D9">
      <w:pPr>
        <w:pStyle w:val="Agency-heading-2-report"/>
      </w:pPr>
      <w:bookmarkStart w:id="58" w:name="ch2section3b"/>
      <w:bookmarkStart w:id="59" w:name="_Toc35943049"/>
      <w:bookmarkEnd w:id="58"/>
      <w:r w:rsidRPr="00D739A7">
        <w:lastRenderedPageBreak/>
        <w:t>2.</w:t>
      </w:r>
      <w:r w:rsidR="009F2D7A" w:rsidRPr="00D739A7">
        <w:t>3b. Distribution of placements of learners with an official decision of SEN, based on the enrolled school population</w:t>
      </w:r>
      <w:bookmarkEnd w:id="59"/>
    </w:p>
    <w:p w14:paraId="4B32F35D" w14:textId="77777777" w:rsidR="009F2D7A" w:rsidRPr="00D739A7" w:rsidRDefault="009F2D7A" w:rsidP="003005BB">
      <w:pPr>
        <w:pStyle w:val="Agency-body-text-report"/>
        <w:keepNext/>
      </w:pPr>
      <w:r w:rsidRPr="00D739A7">
        <w:t>The indicators presented in this section relate to the distribution of placements of learners with an official decision of SEN in:</w:t>
      </w:r>
    </w:p>
    <w:p w14:paraId="7CAF1C89" w14:textId="77777777" w:rsidR="009F2D7A" w:rsidRPr="00D739A7" w:rsidRDefault="009F2D7A" w:rsidP="004A29D9">
      <w:pPr>
        <w:pStyle w:val="Agency-body-text-report"/>
        <w:numPr>
          <w:ilvl w:val="0"/>
          <w:numId w:val="50"/>
        </w:numPr>
      </w:pPr>
      <w:r w:rsidRPr="00D739A7">
        <w:t>Inclusive settings</w:t>
      </w:r>
    </w:p>
    <w:p w14:paraId="64E6A73B" w14:textId="77777777" w:rsidR="009F2D7A" w:rsidRPr="00D739A7" w:rsidRDefault="009F2D7A" w:rsidP="004A29D9">
      <w:pPr>
        <w:pStyle w:val="Agency-body-text-report"/>
        <w:numPr>
          <w:ilvl w:val="0"/>
          <w:numId w:val="50"/>
        </w:numPr>
      </w:pPr>
      <w:r w:rsidRPr="00D739A7">
        <w:t>Separate special classes in mainstream schools</w:t>
      </w:r>
    </w:p>
    <w:p w14:paraId="7FAA7F30" w14:textId="77777777" w:rsidR="009F2D7A" w:rsidRPr="00D739A7" w:rsidRDefault="009F2D7A" w:rsidP="004A29D9">
      <w:pPr>
        <w:pStyle w:val="Agency-body-text-report"/>
        <w:numPr>
          <w:ilvl w:val="0"/>
          <w:numId w:val="50"/>
        </w:numPr>
      </w:pPr>
      <w:r w:rsidRPr="00D739A7">
        <w:t>Separate special schools</w:t>
      </w:r>
    </w:p>
    <w:p w14:paraId="4ADE3ED6" w14:textId="77777777" w:rsidR="009F2D7A" w:rsidRPr="00D739A7" w:rsidRDefault="009F2D7A" w:rsidP="004A29D9">
      <w:pPr>
        <w:pStyle w:val="Agency-body-text-report"/>
        <w:numPr>
          <w:ilvl w:val="0"/>
          <w:numId w:val="50"/>
        </w:numPr>
      </w:pPr>
      <w:r w:rsidRPr="00D739A7">
        <w:t>Non-formal settings.</w:t>
      </w:r>
    </w:p>
    <w:p w14:paraId="4B1D6EE2" w14:textId="77777777" w:rsidR="009F2D7A" w:rsidRPr="00D739A7" w:rsidRDefault="009F2D7A" w:rsidP="004A29D9">
      <w:pPr>
        <w:pStyle w:val="Agency-body-text-report"/>
      </w:pPr>
      <w:r w:rsidRPr="00D739A7">
        <w:t>The data focuses on the population of learners with an official decision of SEN in relation to the whole school population.</w:t>
      </w:r>
    </w:p>
    <w:p w14:paraId="4333B775" w14:textId="77777777" w:rsidR="009F2D7A" w:rsidRPr="00D739A7" w:rsidRDefault="009F2D7A" w:rsidP="004A29D9">
      <w:pPr>
        <w:pStyle w:val="Agency-body-text-report"/>
      </w:pPr>
      <w:r w:rsidRPr="00D739A7">
        <w:t>The data indicates where learners with an official decision of SEN are placed for their education and provides information about the placement of learners with recognised SEN in inclusive settings or elsewhere.</w:t>
      </w:r>
    </w:p>
    <w:p w14:paraId="3211D7CD" w14:textId="77777777" w:rsidR="009F2D7A" w:rsidRPr="00D739A7" w:rsidRDefault="009F2D7A" w:rsidP="004A29D9">
      <w:pPr>
        <w:pStyle w:val="Agency-body-text-report"/>
        <w:sectPr w:rsidR="009F2D7A" w:rsidRPr="00D739A7" w:rsidSect="00751B98">
          <w:pgSz w:w="11899" w:h="16838"/>
          <w:pgMar w:top="1134" w:right="1551" w:bottom="1276" w:left="1418" w:header="709" w:footer="709" w:gutter="0"/>
          <w:cols w:space="710"/>
          <w:docGrid w:linePitch="360"/>
        </w:sectPr>
      </w:pPr>
      <w:r w:rsidRPr="00D739A7">
        <w:t xml:space="preserve">All data must be considered in line with the </w:t>
      </w:r>
      <w:hyperlink r:id="rId80" w:history="1">
        <w:r w:rsidRPr="00D739A7">
          <w:rPr>
            <w:color w:val="0000FF"/>
            <w:u w:val="single"/>
          </w:rPr>
          <w:t>Country Background Information</w:t>
        </w:r>
      </w:hyperlink>
      <w:r w:rsidRPr="00D739A7">
        <w:t xml:space="preserve"> relating to the official decision of SEN procedures in the country concerned.</w:t>
      </w:r>
    </w:p>
    <w:p w14:paraId="71909435" w14:textId="5B6B9609" w:rsidR="009F2D7A" w:rsidRPr="00D739A7" w:rsidRDefault="00436B97" w:rsidP="004A29D9">
      <w:pPr>
        <w:pStyle w:val="Agency-heading-3-report"/>
        <w:rPr>
          <w:b w:val="0"/>
        </w:rPr>
        <w:sectPr w:rsidR="009F2D7A" w:rsidRPr="00D739A7" w:rsidSect="00751B98">
          <w:pgSz w:w="11899" w:h="16838"/>
          <w:pgMar w:top="1134" w:right="1551" w:bottom="1276" w:left="1418" w:header="709" w:footer="709" w:gutter="0"/>
          <w:cols w:space="710"/>
          <w:docGrid w:linePitch="360"/>
        </w:sectPr>
      </w:pPr>
      <w:bookmarkStart w:id="60" w:name="_Toc35943050"/>
      <w:r w:rsidRPr="00D739A7">
        <w:lastRenderedPageBreak/>
        <w:t>Indicator </w:t>
      </w:r>
      <w:r w:rsidR="00903978" w:rsidRPr="00D739A7">
        <w:t>2.</w:t>
      </w:r>
      <w:r w:rsidRPr="00D739A7">
        <w:t>3</w:t>
      </w:r>
      <w:r w:rsidR="009F2D7A" w:rsidRPr="00D739A7">
        <w:t>b.1: the percentage of learners with an official decision of SEN in inclusive settings, based on the enrolled school population (%)</w:t>
      </w:r>
      <w:bookmarkEnd w:id="60"/>
    </w:p>
    <w:p w14:paraId="5292B30F" w14:textId="763A8A87" w:rsidR="009F2D7A" w:rsidRPr="00D739A7" w:rsidRDefault="009F2D7A" w:rsidP="004A29D9">
      <w:pPr>
        <w:pStyle w:val="Agency-body-text-report"/>
        <w:rPr>
          <w:bCs/>
        </w:rPr>
      </w:pPr>
      <w:r w:rsidRPr="00D739A7">
        <w:t>The data focuses on learners with an official decision of SEN</w:t>
      </w:r>
      <w:r w:rsidR="00FC719C" w:rsidRPr="00D739A7">
        <w:t>,</w:t>
      </w:r>
      <w:r w:rsidRPr="00D739A7">
        <w:t xml:space="preserve"> in line with the EASIE operational definition, who are enrolled in inclusive education</w:t>
      </w:r>
      <w:r w:rsidR="00FC719C" w:rsidRPr="00D739A7">
        <w:t>,</w:t>
      </w:r>
      <w:r w:rsidRPr="00D739A7">
        <w:t xml:space="preserve"> </w:t>
      </w:r>
      <w:r w:rsidRPr="00D739A7">
        <w:rPr>
          <w:bCs/>
        </w:rPr>
        <w:t>in line with the 80% placement benchmark (or the most relevant proxy for this benchmark)</w:t>
      </w:r>
      <w:r w:rsidR="00FC719C" w:rsidRPr="00D739A7">
        <w:rPr>
          <w:bCs/>
        </w:rPr>
        <w:t>,</w:t>
      </w:r>
      <w:r w:rsidRPr="00D739A7">
        <w:rPr>
          <w:bCs/>
        </w:rPr>
        <w:t xml:space="preserve"> in comparison to the whole enrolled school population.</w:t>
      </w:r>
    </w:p>
    <w:p w14:paraId="60EC1F63" w14:textId="77777777" w:rsidR="009F2D7A" w:rsidRPr="00D739A7" w:rsidRDefault="009F2D7A" w:rsidP="004A29D9">
      <w:pPr>
        <w:pStyle w:val="Agency-body-text-report"/>
      </w:pPr>
      <w:r w:rsidRPr="00D739A7">
        <w:t>This indicator has been calculated as follows: The number of learners with an official decision of SEN who are educated in mainstream classes for at least 80% of the time (Q3.2) / The number of learners who are enrolled in all formal educational settings (Q1.2) x 100.</w:t>
      </w:r>
    </w:p>
    <w:p w14:paraId="5D7D0A1B" w14:textId="226F7C2D" w:rsidR="009F2D7A" w:rsidRPr="00D739A7" w:rsidRDefault="009F2D7A" w:rsidP="004A29D9">
      <w:pPr>
        <w:pStyle w:val="Agency-body-text-report"/>
      </w:pPr>
      <w:r w:rsidRPr="00D739A7">
        <w:t xml:space="preserve">Data is available from </w:t>
      </w:r>
      <w:r w:rsidR="007C1CB1" w:rsidRPr="00D739A7">
        <w:t>30</w:t>
      </w:r>
      <w:r w:rsidRPr="00D739A7">
        <w:t xml:space="preserve"> countries.</w:t>
      </w:r>
    </w:p>
    <w:p w14:paraId="02C8910C" w14:textId="1EE63040" w:rsidR="007C1CB1" w:rsidRPr="00D739A7" w:rsidRDefault="009F2D7A" w:rsidP="004A29D9">
      <w:pPr>
        <w:pStyle w:val="Agency-body-text-report"/>
      </w:pPr>
      <w:r w:rsidRPr="00D739A7">
        <w:t>The inclusive education enrolment rates range from 0.1</w:t>
      </w:r>
      <w:r w:rsidR="007C1CB1" w:rsidRPr="00D739A7">
        <w:t>1</w:t>
      </w:r>
      <w:r w:rsidRPr="00D739A7">
        <w:t xml:space="preserve">% to </w:t>
      </w:r>
      <w:r w:rsidR="007C1CB1" w:rsidRPr="00D739A7">
        <w:t>23.74</w:t>
      </w:r>
      <w:r w:rsidRPr="00D739A7">
        <w:t xml:space="preserve">%; the total average for the </w:t>
      </w:r>
      <w:r w:rsidR="007C1CB1" w:rsidRPr="00D739A7">
        <w:t>30</w:t>
      </w:r>
      <w:r w:rsidRPr="00D739A7">
        <w:t xml:space="preserve"> countries is </w:t>
      </w:r>
      <w:r w:rsidR="007C1CB1" w:rsidRPr="00D739A7">
        <w:t>3.1</w:t>
      </w:r>
      <w:r w:rsidRPr="00D739A7">
        <w:t>3%.</w:t>
      </w:r>
    </w:p>
    <w:p w14:paraId="66382D13" w14:textId="66408104" w:rsidR="009F2D7A" w:rsidRPr="00D739A7" w:rsidRDefault="007C1CB1" w:rsidP="007C1CB1">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454E1366" wp14:editId="2AD8BADA">
            <wp:extent cx="3067050" cy="7496269"/>
            <wp:effectExtent l="0" t="0" r="6350" b="9525"/>
            <wp:docPr id="3" name="Diagram 3" descr="Austria 2.30&#10;Belgium (Fl) 1.43&#10;Bulgaria 2.41&#10;Cyprus 6.68&#10;Czech Republic 6.95&#10;Estonia 2.75&#10;Finland 2.90&#10;France 2.00&#10;Germany 2.37&#10;Greece 4.48&#10;Hungary 4.99&#10;Iceland  14.08&#10;Ireland 5.51&#10;Italy 3.51&#10;Latvia 2.62&#10;Lithuania 12.06&#10;Luxembourg 0.75&#10;Malta 9.37&#10;Norway 7.21&#10;Poland 2.15&#10;Portugal 6.09&#10;Serbia 2.31&#10;Slovakia 9.45&#10;Slovenia 5.72&#10;Spain 2.97&#10;Sweden 0.11&#10;UK (England) 1.46&#10;UK (N. Ireland) 3.27&#10;UK (Scotland) 23.74&#10;UK (Wales) 1.25&#10;Total average (30) 3.13">
              <a:extLst xmlns:a="http://schemas.openxmlformats.org/drawingml/2006/main">
                <a:ext uri="{FF2B5EF4-FFF2-40B4-BE49-F238E27FC236}">
                  <a16:creationId xmlns:a16="http://schemas.microsoft.com/office/drawing/2014/main" id="{12B00E37-DC25-4357-AB10-CE60EA91D2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4260DC4" w14:textId="555AB791" w:rsidR="009F2D7A" w:rsidRPr="00D739A7" w:rsidRDefault="00EE0752" w:rsidP="00783F38">
      <w:pPr>
        <w:pStyle w:val="Agency-caption-report"/>
        <w:sectPr w:rsidR="009F2D7A" w:rsidRPr="00D739A7" w:rsidSect="00B9746A">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43</w:t>
      </w:r>
      <w:r w:rsidRPr="00D739A7">
        <w:fldChar w:fldCharType="end"/>
      </w:r>
      <w:r w:rsidR="009F2D7A" w:rsidRPr="00D739A7">
        <w:t>. Percentage of learners with an official decision of SEN in inclusive settings, based on the enrolled school population (%)</w:t>
      </w:r>
    </w:p>
    <w:p w14:paraId="12EAE635" w14:textId="77777777" w:rsidR="009F2D7A" w:rsidRPr="00D739A7" w:rsidRDefault="009F2D7A" w:rsidP="004A29D9">
      <w:pPr>
        <w:pStyle w:val="Agency-heading-4-report"/>
      </w:pPr>
      <w:r w:rsidRPr="00D739A7">
        <w:lastRenderedPageBreak/>
        <w:t>Gender breakdown of learners with an official decision of SEN in inclusive settings, based on the enrolled school population (%)</w:t>
      </w:r>
    </w:p>
    <w:p w14:paraId="588E361A" w14:textId="77777777" w:rsidR="009F2D7A" w:rsidRPr="00D739A7" w:rsidRDefault="009F2D7A" w:rsidP="009F2D7A">
      <w:pPr>
        <w:keepNext/>
        <w:spacing w:before="240" w:after="240" w:line="240" w:lineRule="auto"/>
        <w:rPr>
          <w:rFonts w:ascii="Calibri" w:eastAsia="Times New Roman" w:hAnsi="Calibri" w:cs="Calibri"/>
          <w:b/>
          <w:bCs/>
          <w:color w:val="000000"/>
          <w:sz w:val="24"/>
          <w:szCs w:val="24"/>
          <w:lang w:val="en-GB"/>
        </w:rPr>
        <w:sectPr w:rsidR="009F2D7A" w:rsidRPr="00D739A7" w:rsidSect="00751B98">
          <w:pgSz w:w="11899" w:h="16838"/>
          <w:pgMar w:top="1134" w:right="1551" w:bottom="1276" w:left="1418" w:header="709" w:footer="709" w:gutter="0"/>
          <w:cols w:space="710"/>
          <w:docGrid w:linePitch="360"/>
        </w:sectPr>
      </w:pPr>
    </w:p>
    <w:p w14:paraId="62BE5BC9" w14:textId="77777777" w:rsidR="009F2D7A" w:rsidRPr="00D739A7" w:rsidRDefault="009F2D7A" w:rsidP="004A29D9">
      <w:pPr>
        <w:pStyle w:val="Agency-body-text-report"/>
      </w:pPr>
      <w:r w:rsidRPr="00D739A7">
        <w:t>The gender breakdowns have been calculated as follows:</w:t>
      </w:r>
    </w:p>
    <w:p w14:paraId="3BD40DC7" w14:textId="191FFFF6" w:rsidR="009F2D7A" w:rsidRPr="00D739A7" w:rsidRDefault="00EF3C3C" w:rsidP="00EE0752">
      <w:pPr>
        <w:pStyle w:val="Agency-body-text-report"/>
      </w:pPr>
      <w:r w:rsidRPr="00D739A7">
        <w:t>Boys</w:t>
      </w:r>
      <w:r w:rsidR="009F2D7A" w:rsidRPr="00D739A7">
        <w:t>: The number of boys with an official decision of SEN who are educated in mainstream classes for at least 80% of the time (Q3.2) / The number of learners who are enrolled in all formal educational settings (Q1.2) x 100.</w:t>
      </w:r>
    </w:p>
    <w:p w14:paraId="51216A60" w14:textId="7BAB326A" w:rsidR="009F2D7A" w:rsidRPr="00D739A7" w:rsidRDefault="00EF3C3C" w:rsidP="00EE0752">
      <w:pPr>
        <w:pStyle w:val="Agency-body-text-report"/>
      </w:pPr>
      <w:r w:rsidRPr="00D739A7">
        <w:t>Girls</w:t>
      </w:r>
      <w:r w:rsidR="009F2D7A" w:rsidRPr="00D739A7">
        <w:t>: The number of girls with an official decision of SEN who are educated in mainstream classes for at least 80% of the time (Q3.2) / The number of learners who are enrolled in all formal educational settings (Q1.2) x 100.</w:t>
      </w:r>
    </w:p>
    <w:p w14:paraId="09FAD1F9" w14:textId="5B573E8F" w:rsidR="009F2D7A" w:rsidRPr="00D739A7" w:rsidRDefault="009F2D7A" w:rsidP="00EE0752">
      <w:pPr>
        <w:pStyle w:val="Agency-body-text-report"/>
      </w:pPr>
      <w:r w:rsidRPr="00D739A7">
        <w:t>Data is available from 2</w:t>
      </w:r>
      <w:r w:rsidR="007C1CB1" w:rsidRPr="00D739A7">
        <w:t>6</w:t>
      </w:r>
      <w:r w:rsidRPr="00D739A7">
        <w:t xml:space="preserve"> countries.</w:t>
      </w:r>
    </w:p>
    <w:p w14:paraId="765602EA" w14:textId="6468256B" w:rsidR="009F2D7A" w:rsidRPr="00D739A7" w:rsidRDefault="009F2D7A" w:rsidP="00EE0752">
      <w:pPr>
        <w:pStyle w:val="Agency-body-text-report"/>
      </w:pPr>
      <w:r w:rsidRPr="00D739A7">
        <w:t>The inclusive education enrolment rates for</w:t>
      </w:r>
      <w:r w:rsidR="00EF3C3C" w:rsidRPr="00D739A7">
        <w:t xml:space="preserve"> boy</w:t>
      </w:r>
      <w:r w:rsidRPr="00D739A7">
        <w:t>s with an official decision of SEN range from 0.07% to 1</w:t>
      </w:r>
      <w:r w:rsidR="009E64B5" w:rsidRPr="00D739A7">
        <w:t>4.27</w:t>
      </w:r>
      <w:r w:rsidRPr="00D739A7">
        <w:t>%; the total average for the 2</w:t>
      </w:r>
      <w:r w:rsidR="007C1CB1" w:rsidRPr="00D739A7">
        <w:t>6</w:t>
      </w:r>
      <w:r w:rsidRPr="00D739A7">
        <w:t xml:space="preserve"> countries is </w:t>
      </w:r>
      <w:r w:rsidR="009E64B5" w:rsidRPr="00D739A7">
        <w:t>2.</w:t>
      </w:r>
      <w:r w:rsidR="008E32E7" w:rsidRPr="00D739A7">
        <w:t>0</w:t>
      </w:r>
      <w:r w:rsidR="008E32E7">
        <w:t>9</w:t>
      </w:r>
      <w:r w:rsidRPr="00D739A7">
        <w:t>%.</w:t>
      </w:r>
    </w:p>
    <w:p w14:paraId="5CBAB375" w14:textId="14AC833F" w:rsidR="009F2D7A" w:rsidRPr="00D739A7" w:rsidRDefault="009F2D7A" w:rsidP="00EE0752">
      <w:pPr>
        <w:pStyle w:val="Agency-body-text-report"/>
      </w:pPr>
      <w:r w:rsidRPr="00D739A7">
        <w:t xml:space="preserve">The inclusive education enrolment rates for </w:t>
      </w:r>
      <w:r w:rsidR="00EF3C3C" w:rsidRPr="00D739A7">
        <w:t>girls</w:t>
      </w:r>
      <w:r w:rsidRPr="00D739A7">
        <w:t xml:space="preserve"> with an official decision of SEN range from 0.05% to </w:t>
      </w:r>
      <w:r w:rsidR="009E64B5" w:rsidRPr="00D739A7">
        <w:t>9.47</w:t>
      </w:r>
      <w:r w:rsidRPr="00D739A7">
        <w:t>%; the total average for the 2</w:t>
      </w:r>
      <w:r w:rsidR="007C1CB1" w:rsidRPr="00D739A7">
        <w:t>6</w:t>
      </w:r>
      <w:r w:rsidRPr="00D739A7">
        <w:t xml:space="preserve"> countries is </w:t>
      </w:r>
      <w:r w:rsidR="008E32E7">
        <w:t>1.00</w:t>
      </w:r>
      <w:r w:rsidRPr="00D739A7">
        <w:t>%.</w:t>
      </w:r>
    </w:p>
    <w:p w14:paraId="282216A7" w14:textId="7E897929" w:rsidR="009F2D7A" w:rsidRPr="00D739A7" w:rsidRDefault="007C1CB1" w:rsidP="007C1CB1">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4B60E987" wp14:editId="57D3F028">
            <wp:extent cx="3035300" cy="7575550"/>
            <wp:effectExtent l="0" t="0" r="12700" b="6350"/>
            <wp:docPr id="26" name="Diagram 26" descr="Austria Boys 1.44 Girls 0.86&#10;Belgium (Fl) Boys 1.06 Girls 0.37&#10;Bulgaria Boys 1.55 Girls 0.86&#10;Cyprus Boys 4.50 Girls 2.18&#10;Czech Republic Boys 4.84 Girls 2.10&#10;Estonia Boys 1.79 Girls 0.96&#10;Finland Boys 2.03 Girls 0.87&#10;France Boys 1.46 Girls 0.54&#10;Germany Boys 1.54 Girls 0.83&#10;Greece Boys 3.13 Girls 1.35&#10;Hungary Boys 3.32 Girls 1.67&#10;Iceland  Boys 9.18 Girls 4.90&#10;Ireland Boys 4.00 Girls 1.51&#10;Italy Boys 2.49 Girls 1.03  &#10;Lithuania Boys 7.96 Girls 4.10  &#10;Malta Boys 6.37 Girls 3.00  &#10;Poland Boys 1.42 Girls 0.72&#10;Portugal Boys 3.79 Girls 2.30  &#10;Slovakia Boys 5.74 Girls 3.70&#10;Slovenia Boys 3.92 Girls 1.80&#10;Spain Boys 2.03 Girls 0.94&#10;Sweden Boys 0.07 Girls 0.05&#10;UK (England) Boys 1.08 Girls 0.39&#10;UK (N. Ireland) Boys 2.39 Girls 0.87&#10;UK (Scotland) Boys 14.27 Girls 9.47&#10;UK (Wales) Boys 0.92 Girls 0.33&#10;Total average (26) Boys 2.09 Girls 1.00">
              <a:extLst xmlns:a="http://schemas.openxmlformats.org/drawingml/2006/main">
                <a:ext uri="{FF2B5EF4-FFF2-40B4-BE49-F238E27FC236}">
                  <a16:creationId xmlns:a16="http://schemas.microsoft.com/office/drawing/2014/main" id="{804325B9-B0EE-4528-B04E-487C36BEF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ECBD225" w14:textId="1FD3A2B1" w:rsidR="009F2D7A" w:rsidRPr="00D739A7" w:rsidRDefault="00C4448C" w:rsidP="00783F38">
      <w:pPr>
        <w:pStyle w:val="Agency-caption-report"/>
        <w:sectPr w:rsidR="009F2D7A" w:rsidRPr="00D739A7" w:rsidSect="00B9746A">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44</w:t>
      </w:r>
      <w:r w:rsidRPr="00D739A7">
        <w:fldChar w:fldCharType="end"/>
      </w:r>
      <w:r w:rsidR="009F2D7A" w:rsidRPr="00D739A7">
        <w:t>. Gender breakdown of learners with an official decision of SEN in inclusive settings, based on the enrolled school population (%)</w:t>
      </w:r>
    </w:p>
    <w:p w14:paraId="2C49A83D"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Gender distribution of learners with an official decision of SEN in inclusive settings, based on the enrolled school population (%)</w:t>
      </w:r>
    </w:p>
    <w:p w14:paraId="20C7FAFD" w14:textId="77777777" w:rsidR="009F2D7A" w:rsidRPr="00D739A7" w:rsidRDefault="009F2D7A" w:rsidP="00C4448C">
      <w:pPr>
        <w:pStyle w:val="Agency-body-text-report"/>
      </w:pPr>
      <w:r w:rsidRPr="00D739A7">
        <w:t>The gender distributions have been calculated as follows:</w:t>
      </w:r>
    </w:p>
    <w:p w14:paraId="32F472AF" w14:textId="1D66EAEA" w:rsidR="009F2D7A" w:rsidRPr="00D739A7" w:rsidRDefault="00EF3C3C" w:rsidP="00C4448C">
      <w:pPr>
        <w:pStyle w:val="Agency-body-text-report"/>
      </w:pPr>
      <w:r w:rsidRPr="00D739A7">
        <w:t>Boys</w:t>
      </w:r>
      <w:r w:rsidR="009F2D7A" w:rsidRPr="00D739A7">
        <w:t>: The number of boys with an official decision of SEN who are educated in mainstream classes for at least 80% of the time (Q3.2) / The number of learners with an official decision of SEN who are educated in mainstream classes for at least 80% of the time (Q3.2) x 100.</w:t>
      </w:r>
    </w:p>
    <w:p w14:paraId="66E074F2" w14:textId="104ED7CC" w:rsidR="009F2D7A" w:rsidRPr="00D739A7" w:rsidRDefault="00EF3C3C" w:rsidP="00C4448C">
      <w:pPr>
        <w:pStyle w:val="Agency-body-text-report"/>
      </w:pPr>
      <w:r w:rsidRPr="00D739A7">
        <w:t>Girls</w:t>
      </w:r>
      <w:r w:rsidR="009F2D7A" w:rsidRPr="00D739A7">
        <w:t>: The number of girls with an official decision of SEN who are educated in mainstream classes for at least 80% of the time (Q3.2) / The number of learners with an official decision of SEN who are educated in mainstream classes for at least 80% of the time (Q3.2) x 100.</w:t>
      </w:r>
    </w:p>
    <w:p w14:paraId="4BF34BCB" w14:textId="7273045A" w:rsidR="009F2D7A" w:rsidRPr="00D739A7" w:rsidRDefault="009F2D7A" w:rsidP="00C4448C">
      <w:pPr>
        <w:pStyle w:val="Agency-body-text-report"/>
      </w:pPr>
      <w:r w:rsidRPr="00D739A7">
        <w:t>Data is available from 2</w:t>
      </w:r>
      <w:r w:rsidR="009E64B5" w:rsidRPr="00D739A7">
        <w:t>6</w:t>
      </w:r>
      <w:r w:rsidRPr="00D739A7">
        <w:t xml:space="preserve"> countries.</w:t>
      </w:r>
    </w:p>
    <w:p w14:paraId="4FAF8974" w14:textId="1145C959" w:rsidR="009F2D7A" w:rsidRPr="00D739A7" w:rsidRDefault="009F2D7A" w:rsidP="00C4448C">
      <w:pPr>
        <w:pStyle w:val="Agency-body-text-report"/>
      </w:pPr>
      <w:r w:rsidRPr="00D739A7">
        <w:t>The proportion of boys with an official decision of SEN in inclusive settings ranges from 5</w:t>
      </w:r>
      <w:r w:rsidR="009E64B5" w:rsidRPr="00D739A7">
        <w:t>9.11</w:t>
      </w:r>
      <w:r w:rsidRPr="00D739A7">
        <w:t>% to 7</w:t>
      </w:r>
      <w:r w:rsidR="009E64B5" w:rsidRPr="00D739A7">
        <w:t>3.77</w:t>
      </w:r>
      <w:r w:rsidRPr="00D739A7">
        <w:t>%; the total average for the 2</w:t>
      </w:r>
      <w:r w:rsidR="009E64B5" w:rsidRPr="00D739A7">
        <w:t>6</w:t>
      </w:r>
      <w:r w:rsidRPr="00D739A7">
        <w:t xml:space="preserve"> countries is </w:t>
      </w:r>
      <w:r w:rsidR="008E32E7">
        <w:t>67.68</w:t>
      </w:r>
      <w:r w:rsidRPr="00D739A7">
        <w:t>%.</w:t>
      </w:r>
    </w:p>
    <w:p w14:paraId="1C3917C3" w14:textId="5D9CC791" w:rsidR="009F2D7A" w:rsidRPr="00D739A7" w:rsidRDefault="009F2D7A" w:rsidP="00C4448C">
      <w:pPr>
        <w:pStyle w:val="Agency-body-text-report"/>
      </w:pPr>
      <w:r w:rsidRPr="00D739A7">
        <w:t xml:space="preserve">The proportion of girls with an official decision of SEN in inclusive settings ranges from </w:t>
      </w:r>
      <w:r w:rsidR="006F226B" w:rsidRPr="00D739A7">
        <w:t>25.80</w:t>
      </w:r>
      <w:r w:rsidRPr="00D739A7">
        <w:t>% to 4</w:t>
      </w:r>
      <w:r w:rsidR="009E64B5" w:rsidRPr="00D739A7">
        <w:t>0.89</w:t>
      </w:r>
      <w:r w:rsidRPr="00D739A7">
        <w:t>%; the total average for the 2</w:t>
      </w:r>
      <w:r w:rsidR="009E64B5" w:rsidRPr="00D739A7">
        <w:t>6</w:t>
      </w:r>
      <w:r w:rsidRPr="00D739A7">
        <w:t xml:space="preserve"> countries is </w:t>
      </w:r>
      <w:r w:rsidR="008E32E7">
        <w:t>32.32</w:t>
      </w:r>
      <w:r w:rsidRPr="00D739A7">
        <w:t>%.</w:t>
      </w:r>
    </w:p>
    <w:p w14:paraId="62989A03" w14:textId="2E053163" w:rsidR="009F2D7A" w:rsidRPr="00D739A7" w:rsidRDefault="009E64B5" w:rsidP="009E64B5">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7496B504" wp14:editId="4AD8A480">
            <wp:extent cx="3103880" cy="7568697"/>
            <wp:effectExtent l="0" t="0" r="7620" b="13335"/>
            <wp:docPr id="57" name="Diagram 57" descr="Austria Boys 62.50 Girls 37.50&#10;Belgium (Fl) Boys 74.20 Girls 25.80&#10;Bulgaria Boys 64.33 Girls 35.67&#10;Cyprus Boys 67.33 Girls 32.67&#10;Czech Republic Boys 69.73 Girls 30.27&#10;Estonia Boys 64.99 Girls 35.01&#10;Finland Boys 70.00 Girls 30.00&#10;France Boys 73.12 Girls 26.88&#10;Germany Boys 65.12 Girls 34.88&#10;Greece Boys 69.81 Girls 30.19&#10;Hungary Boys 66.49 Girls 33.51&#10;Iceland  Boys 65.18 Girls 34.82&#10;Ireland Boys 72.65 Girls 27.35&#10;Italy Boys 70.77 Girls 29.23  &#10;Lithuania Boys 66.00 Girls 34.00  &#10;Malta Boys 67.98 Girls 32.02  &#10;Poland Boys 66.36 Girls 33.64&#10;Portugal Boys 62.25 Girls 37.75  &#10;Slovakia Boys 60.80 Girls 39.20&#10;Slovenia Boys 68.53 Girls 31.47&#10;Spain Boys 68.32 Girls 31.68&#10;Sweden Boys 59.11 Girls 40.89&#10;UK (England) Boys 73.54 Girls 26.46&#10;UK (N. Ireland) Boys 73.31 Girls 26.69&#10;UK (Scotland) Boys 60.10 Girls 39.90&#10;UK (Wales) Boys 73.77 Girls 26.23&#10;Total average (26) Boys 67.68 Girls 32.32">
              <a:extLst xmlns:a="http://schemas.openxmlformats.org/drawingml/2006/main">
                <a:ext uri="{FF2B5EF4-FFF2-40B4-BE49-F238E27FC236}">
                  <a16:creationId xmlns:a16="http://schemas.microsoft.com/office/drawing/2014/main" id="{6958932E-0CD9-4A77-958D-A4DCEC77EC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359636C" w14:textId="1B1A91B2" w:rsidR="009F2D7A" w:rsidRPr="00D739A7" w:rsidRDefault="00C4448C" w:rsidP="00783F38">
      <w:pPr>
        <w:pStyle w:val="Agency-caption-report"/>
        <w:sectPr w:rsidR="009F2D7A" w:rsidRPr="00D739A7" w:rsidSect="00B9746A">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45</w:t>
      </w:r>
      <w:r w:rsidRPr="00D739A7">
        <w:fldChar w:fldCharType="end"/>
      </w:r>
      <w:r w:rsidR="009F2D7A" w:rsidRPr="00D739A7">
        <w:t>. Gender distribution of learners with an official decision of SEN in inclusive settings, based on the enrolled school population (%)</w:t>
      </w:r>
    </w:p>
    <w:p w14:paraId="6747E326"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ISCED breakdown of learners with an official decision of SEN in inclusive settings, based on the enrolled school population (%)</w:t>
      </w:r>
    </w:p>
    <w:p w14:paraId="4BE21C7E" w14:textId="77777777" w:rsidR="009F2D7A" w:rsidRPr="00D739A7" w:rsidRDefault="009F2D7A" w:rsidP="00C4448C">
      <w:pPr>
        <w:pStyle w:val="Agency-body-text-report"/>
      </w:pPr>
      <w:r w:rsidRPr="00D739A7">
        <w:t>The ISCED breakdowns have been calculated as follows:</w:t>
      </w:r>
    </w:p>
    <w:p w14:paraId="3C6BF8FF" w14:textId="63562E97" w:rsidR="009F2D7A" w:rsidRPr="00D739A7" w:rsidRDefault="009F2D7A" w:rsidP="00C4448C">
      <w:pPr>
        <w:pStyle w:val="Agency-body-text-report"/>
      </w:pPr>
      <w:r w:rsidRPr="00D739A7">
        <w:t xml:space="preserve">ISCED 1: The number of learners in </w:t>
      </w:r>
      <w:r w:rsidR="00436B97" w:rsidRPr="00D739A7">
        <w:t>ISCED 1</w:t>
      </w:r>
      <w:r w:rsidRPr="00D739A7">
        <w:t xml:space="preserve"> with an official decision of SEN who are educated in mainstream classes for at least 80% of the time (Q3.2) / The number of learners who are enrolled in all formal educational settings (Q1.2) x 100.</w:t>
      </w:r>
    </w:p>
    <w:p w14:paraId="153C25B5" w14:textId="6AE74A7D" w:rsidR="009F2D7A" w:rsidRPr="00D739A7" w:rsidRDefault="009F2D7A" w:rsidP="00C4448C">
      <w:pPr>
        <w:pStyle w:val="Agency-body-text-report"/>
      </w:pPr>
      <w:r w:rsidRPr="00D739A7">
        <w:t xml:space="preserve">ISCED 2: The number of learners in </w:t>
      </w:r>
      <w:r w:rsidR="00436B97" w:rsidRPr="00D739A7">
        <w:t>ISCED 2</w:t>
      </w:r>
      <w:r w:rsidRPr="00D739A7">
        <w:t xml:space="preserve"> with an official decision of SEN who are educated in mainstream classes for at least 80% of the time (Q3.2) / The number of learners who are enrolled in all formal educational settings (Q1.2) x 100.</w:t>
      </w:r>
    </w:p>
    <w:p w14:paraId="3F7F46C7" w14:textId="0449CB28" w:rsidR="009F2D7A" w:rsidRPr="00D739A7" w:rsidRDefault="009F2D7A" w:rsidP="00C4448C">
      <w:pPr>
        <w:pStyle w:val="Agency-body-text-report"/>
      </w:pPr>
      <w:r w:rsidRPr="00D739A7">
        <w:t xml:space="preserve">Data is available from </w:t>
      </w:r>
      <w:r w:rsidR="009E64B5" w:rsidRPr="00D739A7">
        <w:t>30</w:t>
      </w:r>
      <w:r w:rsidRPr="00D739A7">
        <w:t xml:space="preserve"> countries.</w:t>
      </w:r>
    </w:p>
    <w:p w14:paraId="10CB18B6" w14:textId="4D3A8D59" w:rsidR="009F2D7A" w:rsidRPr="00D739A7" w:rsidRDefault="009F2D7A" w:rsidP="00C4448C">
      <w:pPr>
        <w:pStyle w:val="Agency-body-text-report"/>
      </w:pPr>
      <w:r w:rsidRPr="00D739A7">
        <w:t>The inclusive education enrolment rates for learners with an official decision of SEN in ISCED 1 range from 0.07% to 1</w:t>
      </w:r>
      <w:r w:rsidR="009E64B5" w:rsidRPr="00D739A7">
        <w:t>4.25</w:t>
      </w:r>
      <w:r w:rsidRPr="00D739A7">
        <w:t xml:space="preserve">%; the total average for the </w:t>
      </w:r>
      <w:r w:rsidR="009E64B5" w:rsidRPr="00D739A7">
        <w:t>30</w:t>
      </w:r>
      <w:r w:rsidRPr="00D739A7">
        <w:t xml:space="preserve"> countries is 1.</w:t>
      </w:r>
      <w:r w:rsidR="009E64B5" w:rsidRPr="00D739A7">
        <w:t>78</w:t>
      </w:r>
      <w:r w:rsidRPr="00D739A7">
        <w:t>%.</w:t>
      </w:r>
    </w:p>
    <w:p w14:paraId="5A7FBE7B" w14:textId="2CA12836" w:rsidR="009F2D7A" w:rsidRPr="00D739A7" w:rsidRDefault="009F2D7A" w:rsidP="00C4448C">
      <w:pPr>
        <w:pStyle w:val="Agency-body-text-report"/>
      </w:pPr>
      <w:r w:rsidRPr="00D739A7">
        <w:t>The inclusive education enrolment rates for learners with an official decision of SEN in ISCED 2 range from 0.0</w:t>
      </w:r>
      <w:r w:rsidR="009E64B5" w:rsidRPr="00D739A7">
        <w:t>4</w:t>
      </w:r>
      <w:r w:rsidRPr="00D739A7">
        <w:t xml:space="preserve">% to </w:t>
      </w:r>
      <w:r w:rsidR="009E64B5" w:rsidRPr="00D739A7">
        <w:t>9.49</w:t>
      </w:r>
      <w:r w:rsidRPr="00D739A7">
        <w:t xml:space="preserve">%; the total average for the </w:t>
      </w:r>
      <w:r w:rsidR="009E64B5" w:rsidRPr="00D739A7">
        <w:t>30</w:t>
      </w:r>
      <w:r w:rsidRPr="00D739A7">
        <w:t xml:space="preserve"> countries is 1.</w:t>
      </w:r>
      <w:r w:rsidR="009E64B5" w:rsidRPr="00D739A7">
        <w:t>36</w:t>
      </w:r>
      <w:r w:rsidRPr="00D739A7">
        <w:t>%.</w:t>
      </w:r>
    </w:p>
    <w:p w14:paraId="7F196C18" w14:textId="741E3B4F" w:rsidR="009F2D7A" w:rsidRPr="00D739A7" w:rsidRDefault="009E64B5" w:rsidP="009E64B5">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15EA38DF" wp14:editId="7F1CD37E">
            <wp:extent cx="3054350" cy="7581900"/>
            <wp:effectExtent l="0" t="0" r="6350" b="12700"/>
            <wp:docPr id="58" name="Diagram 58" descr="Austria ISCED 1 - 0.90 ISCED 2 - 1.39&#10;Belgium (Fl) ISCED 1 - 0.88 ISCED 2 - 0.55&#10;Bulgaria ISCED 1 - 1.29 ISCED 2 - 1.12&#10;Cyprus ISCED 1 - 4.42 ISCED 2 - 2.26&#10;Czech Republic ISCED 1 - 3.43 ISCED 2 - 3.52&#10;Estonia ISCED 1 - 1.84 ISCED 2 - 0.91&#10;Finland ISCED 1 - 1.61 ISCED 2 - 1.29&#10;France ISCED 1 - 1.13 ISCED 2 - 0.86&#10;Germany ISCED 1 - 1.06 ISCED 2 - 1.31&#10;Greece ISCED 1 - 2.44 ISCED 2 - 2.05&#10;Hungary ISCED 1 - 2.14 ISCED 2 - 2.86&#10;Iceland  ISCED 1 - 9.53 ISCED 2 - 4.55&#10;Ireland ISCED 1 - 4.18 ISCED 2 - 1.33&#10;Italy ISCED 1 - 1.98 ISCED 2 - 1.53&#10;Latvia ISCED 1 - 1.73 ISCED 2 - 0.89&#10;Lithuania ISCED 1 - 7.07 ISCED 2 - 4.99&#10;Luxembourg ISCED 1 - 0.53 ISCED 2 - 0.22&#10;Malta ISCED 1 - 6.06 ISCED 2 - 3.32&#10;Norway ISCED 1 - 4.53 ISCED 2 - 2.67&#10;Poland ISCED 1 - 1.43 ISCED 2 - 0.72&#10;Portugal ISCED 1 - 3.75 ISCED 2 - 2.34&#10;Serbia ISCED 1 - 0.92 ISCED 2 -  1.39&#10;Slovakia ISCED 1 - 4.24 ISCED 2 - 5.20&#10;Slovenia ISCED 1 - 3.09 ISCED 2 - 2.62&#10;Spain ISCED 1 - 1.88 ISCED 2 - 1.09&#10;Sweden ISCED 1 - 0.07 ISCED 2 -  0.04&#10;UK (England) ISCED 1 - 0.96 ISCED 2 - 0.51&#10;UK (N. Ireland) ISCED 1 - 1.58 ISCED 2 - 1.69&#10;UK (Scotland) ISCED 1 - 14.25 ISCED 2 - 9.49&#10;UK (Wales) ISCED 1 - 0.58 ISCED 2 - 0.68&#10;Total average (30) ISCED 1 - 1.78 ISCED 2 - 1.36">
              <a:extLst xmlns:a="http://schemas.openxmlformats.org/drawingml/2006/main">
                <a:ext uri="{FF2B5EF4-FFF2-40B4-BE49-F238E27FC236}">
                  <a16:creationId xmlns:a16="http://schemas.microsoft.com/office/drawing/2014/main" id="{548FC50F-31AA-4423-86A3-D576D51D3B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D54D18D" w14:textId="694BB8EA" w:rsidR="009F2D7A" w:rsidRPr="00D739A7" w:rsidRDefault="00CC253F" w:rsidP="00783F38">
      <w:pPr>
        <w:pStyle w:val="Agency-caption-report"/>
        <w:sectPr w:rsidR="009F2D7A" w:rsidRPr="00D739A7" w:rsidSect="0055046D">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46</w:t>
      </w:r>
      <w:r w:rsidRPr="00D739A7">
        <w:fldChar w:fldCharType="end"/>
      </w:r>
      <w:r w:rsidR="009F2D7A" w:rsidRPr="00D739A7">
        <w:t>. ISCED breakdown of learners with an official decision of SEN in inclusive settings, based on the enrolled school population (%)</w:t>
      </w:r>
    </w:p>
    <w:p w14:paraId="09F7D961"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ISCED distribution of learners with an official decision of SEN in inclusive settings, based on the enrolled school population (%)</w:t>
      </w:r>
    </w:p>
    <w:p w14:paraId="045B18D6" w14:textId="77777777" w:rsidR="009F2D7A" w:rsidRPr="00D739A7" w:rsidRDefault="009F2D7A" w:rsidP="00C4448C">
      <w:pPr>
        <w:pStyle w:val="Agency-body-text-report"/>
      </w:pPr>
      <w:r w:rsidRPr="00D739A7">
        <w:t>The ISCED distributions have been calculated as follows:</w:t>
      </w:r>
    </w:p>
    <w:p w14:paraId="35D47EDE" w14:textId="1E639431" w:rsidR="009F2D7A" w:rsidRPr="00D739A7" w:rsidRDefault="009F2D7A" w:rsidP="00C4448C">
      <w:pPr>
        <w:pStyle w:val="Agency-body-text-report"/>
      </w:pPr>
      <w:r w:rsidRPr="00D739A7">
        <w:t xml:space="preserve">ISCED 1: The number of learners in </w:t>
      </w:r>
      <w:r w:rsidR="00436B97" w:rsidRPr="00D739A7">
        <w:t>ISCED 1</w:t>
      </w:r>
      <w:r w:rsidRPr="00D739A7">
        <w:t xml:space="preserve"> with an official decision of SEN who are educated in mainstream classes for at least 80% of the time (Q3.2) / The number of learners in </w:t>
      </w:r>
      <w:r w:rsidR="00436B97" w:rsidRPr="00D739A7">
        <w:t>ISCED 1</w:t>
      </w:r>
      <w:r w:rsidRPr="00D739A7">
        <w:t xml:space="preserve"> who are enrolled in all formal educational settings (Q1.2) x 100.</w:t>
      </w:r>
    </w:p>
    <w:p w14:paraId="3413DC2C" w14:textId="2E391D61" w:rsidR="009F2D7A" w:rsidRPr="00D739A7" w:rsidRDefault="009F2D7A" w:rsidP="00C4448C">
      <w:pPr>
        <w:pStyle w:val="Agency-body-text-report"/>
      </w:pPr>
      <w:r w:rsidRPr="00D739A7">
        <w:t xml:space="preserve">ISCED 2: The number of learners in </w:t>
      </w:r>
      <w:r w:rsidR="00436B97" w:rsidRPr="00D739A7">
        <w:t>ISCED 2</w:t>
      </w:r>
      <w:r w:rsidRPr="00D739A7">
        <w:t xml:space="preserve"> with an official decision of SEN who are educated in mainstream classes for at least 80% of the time (Q3.2) / The number of learners in </w:t>
      </w:r>
      <w:r w:rsidR="00436B97" w:rsidRPr="00D739A7">
        <w:t>ISCED 2</w:t>
      </w:r>
      <w:r w:rsidRPr="00D739A7">
        <w:t xml:space="preserve"> who are enrolled in all formal educational settings (Q1.2) x 100.</w:t>
      </w:r>
    </w:p>
    <w:p w14:paraId="78F24F6F" w14:textId="0CB5B3D4" w:rsidR="009F2D7A" w:rsidRPr="00D739A7" w:rsidRDefault="009F2D7A" w:rsidP="00C4448C">
      <w:pPr>
        <w:pStyle w:val="Agency-body-text-report"/>
      </w:pPr>
      <w:r w:rsidRPr="00D739A7">
        <w:t xml:space="preserve">Data is available </w:t>
      </w:r>
      <w:r w:rsidR="009E64B5" w:rsidRPr="00D739A7">
        <w:t xml:space="preserve">from </w:t>
      </w:r>
      <w:r w:rsidR="00053F69" w:rsidRPr="00D739A7">
        <w:t xml:space="preserve">30 </w:t>
      </w:r>
      <w:r w:rsidR="009E64B5" w:rsidRPr="00D739A7">
        <w:t>countries</w:t>
      </w:r>
      <w:r w:rsidRPr="00D739A7">
        <w:t>.</w:t>
      </w:r>
    </w:p>
    <w:p w14:paraId="02DE5229" w14:textId="76267346" w:rsidR="009F2D7A" w:rsidRPr="00D739A7" w:rsidRDefault="00053F69" w:rsidP="00C4448C">
      <w:pPr>
        <w:pStyle w:val="Agency-body-text-report"/>
      </w:pPr>
      <w:r w:rsidRPr="00D739A7">
        <w:t>Within ISCED 1, t</w:t>
      </w:r>
      <w:r w:rsidR="009F2D7A" w:rsidRPr="00D739A7">
        <w:t>he proportion of learners with an official decision of SEN in inclusive settings ranges from 0.1</w:t>
      </w:r>
      <w:r w:rsidR="009E64B5" w:rsidRPr="00D739A7">
        <w:t>0</w:t>
      </w:r>
      <w:r w:rsidR="009F2D7A" w:rsidRPr="00D739A7">
        <w:t xml:space="preserve">% to </w:t>
      </w:r>
      <w:r w:rsidR="009E64B5" w:rsidRPr="00D739A7">
        <w:t>21.58</w:t>
      </w:r>
      <w:r w:rsidR="009F2D7A" w:rsidRPr="00D739A7">
        <w:t xml:space="preserve">%; the total average for the </w:t>
      </w:r>
      <w:r w:rsidR="009E64B5" w:rsidRPr="00D739A7">
        <w:t>30</w:t>
      </w:r>
      <w:r w:rsidR="009F2D7A" w:rsidRPr="00D739A7">
        <w:t xml:space="preserve"> countries is </w:t>
      </w:r>
      <w:r w:rsidR="009E64B5" w:rsidRPr="00D739A7">
        <w:t>3.01</w:t>
      </w:r>
      <w:r w:rsidR="009F2D7A" w:rsidRPr="00D739A7">
        <w:t>%.</w:t>
      </w:r>
    </w:p>
    <w:p w14:paraId="4416A384" w14:textId="61A95FBD" w:rsidR="009E64B5" w:rsidRPr="00D739A7" w:rsidRDefault="00053F69" w:rsidP="00C4448C">
      <w:pPr>
        <w:pStyle w:val="Agency-body-text-report"/>
      </w:pPr>
      <w:r w:rsidRPr="00D739A7">
        <w:t>Within ISCED 2, t</w:t>
      </w:r>
      <w:r w:rsidR="009F2D7A" w:rsidRPr="00D739A7">
        <w:t>he proportion of learners with an official decision of SEN in inclusive settings ranges from 0.1</w:t>
      </w:r>
      <w:r w:rsidR="009E64B5" w:rsidRPr="00D739A7">
        <w:t>4</w:t>
      </w:r>
      <w:r w:rsidR="009F2D7A" w:rsidRPr="00D739A7">
        <w:t>% to 2</w:t>
      </w:r>
      <w:r w:rsidR="009E64B5" w:rsidRPr="00D739A7">
        <w:t>7.93</w:t>
      </w:r>
      <w:r w:rsidR="009F2D7A" w:rsidRPr="00D739A7">
        <w:t xml:space="preserve">%; the total average for the </w:t>
      </w:r>
      <w:r w:rsidR="009E64B5" w:rsidRPr="00D739A7">
        <w:t>30</w:t>
      </w:r>
      <w:r w:rsidR="009F2D7A" w:rsidRPr="00D739A7">
        <w:t xml:space="preserve"> countries is </w:t>
      </w:r>
      <w:r w:rsidR="009E64B5" w:rsidRPr="00D739A7">
        <w:t>3.31</w:t>
      </w:r>
      <w:r w:rsidR="009F2D7A" w:rsidRPr="00D739A7">
        <w:t>%.</w:t>
      </w:r>
    </w:p>
    <w:p w14:paraId="7F7961C8" w14:textId="0F0D5CD6" w:rsidR="009F2D7A" w:rsidRPr="00D739A7" w:rsidRDefault="009E64B5" w:rsidP="009E64B5">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694783F9" wp14:editId="72BE3DF0">
            <wp:extent cx="3103880" cy="7581900"/>
            <wp:effectExtent l="0" t="0" r="7620" b="12700"/>
            <wp:docPr id="59" name="Diagram 59" descr="Austria ISCED 1 - 1.65  ISCED 2 - 3.07&#10;Belgium (Fl) ISCED 1 - 1.33 ISCED 2 - 31.63&#10;Bulgaria ISCED 1 - 2.21 ISCED 2 - 2.70&#10;Cyprus ISCED 1 - 6.52 ISCED 2 - 7.03&#10;Czech Republic ISCED 1 - 5.71 ISCED 2 - 8.80&#10;Estonia ISCED 1 - 2.63 ISCED 2 - 3.04&#10;Finland ISCED 1 - 2.41 ISCED 2 - 3.90&#10;France ISCED 1 - 2.01 ISCED 2 - 1.97&#10;Germany ISCED 1 - 2.68 ISCED 2 - 2.16&#10;Greece ISCED 1 - 3.65 ISCED 2 - 6.17&#10;Hungary ISCED 1 - 4.20 ISCED 2 - 5.80&#10;Iceland  ISCED 1 - 13.26 ISCED 2 - 16.16&#10;Ireland ISCED 1 - 5.60 ISCED 2 - 5.24&#10;Italy ISCED 1 - 3.21 ISCED 2 - 4.01&#10;Latvia ISCED 1 - 2.52 ISCED 2 - 2.83&#10;Lithuania ISCED 1 - 17.21 ISCED 2 - 8.47&#10;Luxembourg ISCED 1 - 0.84 ISCED 2 - 0.59&#10;Malta ISCED 1 - 9.00 ISCED 2 - 10.14&#10;Norway ISCED 1 - 6.42 ISCED 2 - 9.11&#10;Poland ISCED 1 - 2.09 ISCED 2 - 2.26&#10;Portugal ISCED 1 - 5.87 ISCED 2 - 6.47&#10;Serbia ISCED 1 - 1.83 ISCED 2 - 2.80&#10;Slovakia ISCED 1 - 8.98 ISCED 2 - 9.86&#10;Slovenia ISCED 1 - 4.42 ISCED 2 - 8.75&#10;Spain ISCED 1 - 2.89 ISCED 2 - 3.12&#10;Sweden ISCED 1 - 0.10 ISCED 2 - 0.14&#10;UK (England) ISCED 1 - 1.38 ISCED 2 - 1.64&#10;UK (N. Ireland) ISCED 1 - 2.62 ISCED 2 - 4.24&#10;UK (Scotland) ISCED 1 - 21.58 ISCED 2 - 27.93&#10;UK (Wales) ISCED 1 - 1.02 ISCED 2 - 1.57&#10;Total average (30) ISCED 1 - 3.01 ISCED 2 - 3.31">
              <a:extLst xmlns:a="http://schemas.openxmlformats.org/drawingml/2006/main">
                <a:ext uri="{FF2B5EF4-FFF2-40B4-BE49-F238E27FC236}">
                  <a16:creationId xmlns:a16="http://schemas.microsoft.com/office/drawing/2014/main" id="{3308CAE7-663B-49F8-8DF9-187A61168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EA942BE" w14:textId="30202EA6" w:rsidR="009F2D7A" w:rsidRPr="00D739A7" w:rsidRDefault="00CC253F" w:rsidP="00783F38">
      <w:pPr>
        <w:pStyle w:val="Agency-caption-report"/>
        <w:sectPr w:rsidR="009F2D7A" w:rsidRPr="00D739A7" w:rsidSect="0055046D">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47</w:t>
      </w:r>
      <w:r w:rsidRPr="00D739A7">
        <w:fldChar w:fldCharType="end"/>
      </w:r>
      <w:r w:rsidR="009F2D7A" w:rsidRPr="00D739A7">
        <w:t>. ISCED distribution of learners with an official decision of SEN in inclusive settings, based on the enrolled school population (%)</w:t>
      </w:r>
    </w:p>
    <w:p w14:paraId="6E72746C" w14:textId="299AD580" w:rsidR="009F2D7A" w:rsidRPr="00D739A7" w:rsidRDefault="00436B97" w:rsidP="004A29D9">
      <w:pPr>
        <w:pStyle w:val="Agency-heading-3-report"/>
        <w:rPr>
          <w:b w:val="0"/>
        </w:rPr>
        <w:sectPr w:rsidR="009F2D7A" w:rsidRPr="00D739A7" w:rsidSect="00751B98">
          <w:pgSz w:w="11899" w:h="16838"/>
          <w:pgMar w:top="1134" w:right="1551" w:bottom="1276" w:left="1418" w:header="709" w:footer="709" w:gutter="0"/>
          <w:cols w:space="710"/>
          <w:docGrid w:linePitch="360"/>
        </w:sectPr>
      </w:pPr>
      <w:bookmarkStart w:id="61" w:name="_Toc35943051"/>
      <w:r w:rsidRPr="00D739A7">
        <w:lastRenderedPageBreak/>
        <w:t>Indicator </w:t>
      </w:r>
      <w:r w:rsidR="00903978" w:rsidRPr="00D739A7">
        <w:t>2.</w:t>
      </w:r>
      <w:r w:rsidRPr="00D739A7">
        <w:t>3</w:t>
      </w:r>
      <w:r w:rsidR="009F2D7A" w:rsidRPr="00D739A7">
        <w:t>b.2: the percentage of learners with an official decision of SEN in special classes in mainstream schools, based on the enrolled school population (%)</w:t>
      </w:r>
      <w:bookmarkEnd w:id="61"/>
    </w:p>
    <w:p w14:paraId="37E947C0" w14:textId="3E570712" w:rsidR="009F2D7A" w:rsidRPr="00D739A7" w:rsidRDefault="009F2D7A" w:rsidP="00C4448C">
      <w:pPr>
        <w:pStyle w:val="Agency-body-text-report"/>
      </w:pPr>
      <w:r w:rsidRPr="00D739A7">
        <w:t>The data focuses on learners with an official decision of SEN</w:t>
      </w:r>
      <w:r w:rsidR="00012E16" w:rsidRPr="00D739A7">
        <w:t>,</w:t>
      </w:r>
      <w:r w:rsidRPr="00D739A7">
        <w:t xml:space="preserve"> in line with the EASIE operational definition, who are enrolled in separate special classes in mainstream schools, in line with the 80% placement benchmark for inclusive education (or the most relevant proxy for this benchmark), i.e. these learners are enrolled in a mainstream school, but they spend the majority of their time away from their peers.</w:t>
      </w:r>
    </w:p>
    <w:p w14:paraId="0B72559D" w14:textId="77777777" w:rsidR="009F2D7A" w:rsidRPr="00D739A7" w:rsidRDefault="009F2D7A" w:rsidP="00C4448C">
      <w:pPr>
        <w:pStyle w:val="Agency-body-text-report"/>
      </w:pPr>
      <w:r w:rsidRPr="00D739A7">
        <w:t>This indicator has been calculated as follows: The number of learners with an official decision of SEN who are educated in separate special classes in mainstream schools (Q3.3) / The number of learners who are enrolled in all formal educational settings (Q1.2) x 100.</w:t>
      </w:r>
    </w:p>
    <w:p w14:paraId="3C4B18BD" w14:textId="77777777" w:rsidR="009F2D7A" w:rsidRPr="00D739A7" w:rsidRDefault="009F2D7A" w:rsidP="00C4448C">
      <w:pPr>
        <w:pStyle w:val="Agency-body-text-report"/>
      </w:pPr>
      <w:r w:rsidRPr="00D739A7">
        <w:t>Data is available from 24 countries.</w:t>
      </w:r>
    </w:p>
    <w:p w14:paraId="2800E70C" w14:textId="1E82F729" w:rsidR="009F2D7A" w:rsidRPr="00D739A7" w:rsidRDefault="00727901" w:rsidP="00C4448C">
      <w:pPr>
        <w:pStyle w:val="Agency-body-text-report"/>
      </w:pPr>
      <w:r w:rsidRPr="00D739A7">
        <w:t>The enrolment</w:t>
      </w:r>
      <w:r w:rsidR="009F2D7A" w:rsidRPr="00D739A7">
        <w:t xml:space="preserve"> rates</w:t>
      </w:r>
      <w:r w:rsidRPr="00D739A7">
        <w:t xml:space="preserve"> for learners in separate special classes in mainstream schools</w:t>
      </w:r>
      <w:r w:rsidR="009F2D7A" w:rsidRPr="00D739A7">
        <w:t xml:space="preserve"> range from 0.0</w:t>
      </w:r>
      <w:r w:rsidR="001B3374" w:rsidRPr="00D739A7">
        <w:t>2</w:t>
      </w:r>
      <w:r w:rsidR="009F2D7A" w:rsidRPr="00D739A7">
        <w:t>% to 3.</w:t>
      </w:r>
      <w:r w:rsidR="001B3374" w:rsidRPr="00D739A7">
        <w:t>81</w:t>
      </w:r>
      <w:r w:rsidR="009F2D7A" w:rsidRPr="00D739A7">
        <w:t>%; the total average for the 24 countries is 0.</w:t>
      </w:r>
      <w:r w:rsidR="00E97CBF" w:rsidRPr="00D739A7">
        <w:t>58</w:t>
      </w:r>
      <w:r w:rsidR="009F2D7A" w:rsidRPr="00D739A7">
        <w:t>%.</w:t>
      </w:r>
    </w:p>
    <w:p w14:paraId="0959A9D5" w14:textId="44C6FB57" w:rsidR="009F2D7A" w:rsidRPr="00D739A7" w:rsidRDefault="00E97CBF" w:rsidP="001B3374">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268FB138" wp14:editId="49FDB989">
            <wp:extent cx="3103880" cy="7541537"/>
            <wp:effectExtent l="0" t="0" r="7620" b="15240"/>
            <wp:docPr id="63" name="Diagram 63" descr="Bulgaria 0.02&#10;Cyprus 0.83&#10;Czech Republic 0.64&#10;Estonia 1.99&#10;Finland 3.81&#10;France 0.81&#10;Greece 0.06&#10;Hungary 2.48&#10;Iceland  0.89&#10;Ireland 0.66&#10;Latvia 0.84&#10;Lithuania 0.33&#10;Luxembourg 0.40&#10;Norway 0.41&#10;Poland 0.10&#10;Portugal 1.01&#10;Serbia 0.24&#10;Slovakia 1.97&#10;Slovenia 0.28&#10;Spain 0.16&#10;Switzerland 1.90&#10;UK (England) 0.10&#10;UK (N. Ireland) 0.81&#10;UK (Wales) 0.67&#10;Total average (24) 0.58">
              <a:extLst xmlns:a="http://schemas.openxmlformats.org/drawingml/2006/main">
                <a:ext uri="{FF2B5EF4-FFF2-40B4-BE49-F238E27FC236}">
                  <a16:creationId xmlns:a16="http://schemas.microsoft.com/office/drawing/2014/main" id="{2D58A33B-21E0-41C4-B74A-C81DACD660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FD4F6BE" w14:textId="6A2DA032" w:rsidR="009F2D7A" w:rsidRPr="00D739A7" w:rsidRDefault="00CC253F" w:rsidP="00783F38">
      <w:pPr>
        <w:pStyle w:val="Agency-caption-report"/>
        <w:sectPr w:rsidR="009F2D7A" w:rsidRPr="00D739A7" w:rsidSect="006428B7">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48</w:t>
      </w:r>
      <w:r w:rsidRPr="00D739A7">
        <w:fldChar w:fldCharType="end"/>
      </w:r>
      <w:r w:rsidR="009F2D7A" w:rsidRPr="00D739A7">
        <w:t>. Percentage of learners with an official decision of SEN in special classes, based on the enrolled school population (%)</w:t>
      </w:r>
    </w:p>
    <w:p w14:paraId="380AB0DD"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Gender breakdown of learners with an official decision of SEN in special classes, based on the enrolled school population (%)</w:t>
      </w:r>
    </w:p>
    <w:p w14:paraId="0D2FDFF6" w14:textId="77777777" w:rsidR="009F2D7A" w:rsidRPr="00D739A7" w:rsidRDefault="009F2D7A" w:rsidP="00C4448C">
      <w:pPr>
        <w:pStyle w:val="Agency-body-text-report"/>
      </w:pPr>
      <w:r w:rsidRPr="00D739A7">
        <w:t>The gender breakdowns have been calculated as follows:</w:t>
      </w:r>
    </w:p>
    <w:p w14:paraId="00AF9366" w14:textId="2150AA00" w:rsidR="009F2D7A" w:rsidRPr="00D739A7" w:rsidRDefault="00EF3C3C" w:rsidP="00C4448C">
      <w:pPr>
        <w:pStyle w:val="Agency-body-text-report"/>
      </w:pPr>
      <w:r w:rsidRPr="00D739A7">
        <w:t>Boys</w:t>
      </w:r>
      <w:r w:rsidR="009F2D7A" w:rsidRPr="00D739A7">
        <w:t>: The number of boys with an official decision of SEN who are educated in separate special classes in mainstream schools (</w:t>
      </w:r>
      <w:r w:rsidR="007237E0" w:rsidRPr="00D739A7">
        <w:t>Q3</w:t>
      </w:r>
      <w:r w:rsidR="009F2D7A" w:rsidRPr="00D739A7">
        <w:t>.3) / The number of learners who are enrolled in all formal educational settings (Q1.2) x 100.</w:t>
      </w:r>
    </w:p>
    <w:p w14:paraId="6AB657EA" w14:textId="2E968E21" w:rsidR="009F2D7A" w:rsidRPr="00D739A7" w:rsidRDefault="00EF3C3C" w:rsidP="00C4448C">
      <w:pPr>
        <w:pStyle w:val="Agency-body-text-report"/>
      </w:pPr>
      <w:r w:rsidRPr="00D739A7">
        <w:t>Girls</w:t>
      </w:r>
      <w:r w:rsidR="009F2D7A" w:rsidRPr="00D739A7">
        <w:t>: The number of girls with an official decision of SEN who are educated in separate special classes in mainstream schools (</w:t>
      </w:r>
      <w:r w:rsidR="007237E0" w:rsidRPr="00D739A7">
        <w:t>Q3</w:t>
      </w:r>
      <w:r w:rsidR="009F2D7A" w:rsidRPr="00D739A7">
        <w:t>.3) / The number of learners who are enrolled in all formal educational settings (Q1.2) x 100.</w:t>
      </w:r>
    </w:p>
    <w:p w14:paraId="70579E1F" w14:textId="2AAD1FCD" w:rsidR="009F2D7A" w:rsidRPr="00D739A7" w:rsidRDefault="009F2D7A" w:rsidP="00C4448C">
      <w:pPr>
        <w:pStyle w:val="Agency-body-text-report"/>
      </w:pPr>
      <w:r w:rsidRPr="00D739A7">
        <w:t xml:space="preserve">Data is available from </w:t>
      </w:r>
      <w:r w:rsidR="001B3374" w:rsidRPr="00D739A7">
        <w:t>22</w:t>
      </w:r>
      <w:r w:rsidRPr="00D739A7">
        <w:t xml:space="preserve"> countries.</w:t>
      </w:r>
    </w:p>
    <w:p w14:paraId="6C5A0910" w14:textId="27FD93B5" w:rsidR="009F2D7A" w:rsidRPr="00D739A7" w:rsidRDefault="009F2D7A" w:rsidP="00C4448C">
      <w:pPr>
        <w:pStyle w:val="Agency-body-text-report"/>
      </w:pPr>
      <w:r w:rsidRPr="00D739A7">
        <w:t xml:space="preserve">The separate special class enrolment rates for </w:t>
      </w:r>
      <w:r w:rsidR="00EF3C3C" w:rsidRPr="00D739A7">
        <w:t>boys</w:t>
      </w:r>
      <w:r w:rsidRPr="00D739A7">
        <w:t xml:space="preserve"> with an official decision of SEN range from 0.0</w:t>
      </w:r>
      <w:r w:rsidR="001B3374" w:rsidRPr="00D739A7">
        <w:t>1</w:t>
      </w:r>
      <w:r w:rsidRPr="00D739A7">
        <w:t>% to 2.</w:t>
      </w:r>
      <w:r w:rsidR="001B3374" w:rsidRPr="00D739A7">
        <w:t>67</w:t>
      </w:r>
      <w:r w:rsidRPr="00D739A7">
        <w:t xml:space="preserve">%; the total average for the </w:t>
      </w:r>
      <w:r w:rsidR="001B3374" w:rsidRPr="00D739A7">
        <w:t>22</w:t>
      </w:r>
      <w:r w:rsidRPr="00D739A7">
        <w:t xml:space="preserve"> countries is 0.</w:t>
      </w:r>
      <w:r w:rsidR="001B3374" w:rsidRPr="00D739A7">
        <w:t>3</w:t>
      </w:r>
      <w:r w:rsidR="00E97CBF" w:rsidRPr="00D739A7">
        <w:t>8</w:t>
      </w:r>
      <w:r w:rsidRPr="00D739A7">
        <w:t>%.</w:t>
      </w:r>
    </w:p>
    <w:p w14:paraId="551AAA1D" w14:textId="4618610B" w:rsidR="009F2D7A" w:rsidRPr="00D739A7" w:rsidRDefault="009F2D7A" w:rsidP="00C4448C">
      <w:pPr>
        <w:pStyle w:val="Agency-body-text-report"/>
      </w:pPr>
      <w:r w:rsidRPr="00D739A7">
        <w:t xml:space="preserve">The separate special class enrolment rates for </w:t>
      </w:r>
      <w:r w:rsidR="00EF3C3C" w:rsidRPr="00D739A7">
        <w:t>girls</w:t>
      </w:r>
      <w:r w:rsidRPr="00D739A7">
        <w:t xml:space="preserve"> with an official decision of SEN range from 0.0</w:t>
      </w:r>
      <w:r w:rsidR="001B3374" w:rsidRPr="00D739A7">
        <w:t>1</w:t>
      </w:r>
      <w:r w:rsidRPr="00D739A7">
        <w:t>% to 1.1</w:t>
      </w:r>
      <w:r w:rsidR="001B3374" w:rsidRPr="00D739A7">
        <w:t>4</w:t>
      </w:r>
      <w:r w:rsidRPr="00D739A7">
        <w:t xml:space="preserve">%; the total average for the </w:t>
      </w:r>
      <w:r w:rsidR="001B3374" w:rsidRPr="00D739A7">
        <w:t>22</w:t>
      </w:r>
      <w:r w:rsidRPr="00D739A7">
        <w:t xml:space="preserve"> countries is 0.2</w:t>
      </w:r>
      <w:r w:rsidR="00E97CBF" w:rsidRPr="00D739A7">
        <w:t>0</w:t>
      </w:r>
      <w:r w:rsidRPr="00D739A7">
        <w:t>%.</w:t>
      </w:r>
    </w:p>
    <w:p w14:paraId="1A4F5BBD" w14:textId="6B45431E" w:rsidR="009F2D7A" w:rsidRPr="00D739A7" w:rsidRDefault="00E97CBF" w:rsidP="001B3374">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14100E4B" wp14:editId="61B35C4C">
            <wp:extent cx="3060700" cy="7586804"/>
            <wp:effectExtent l="0" t="0" r="12700" b="8255"/>
            <wp:docPr id="64" name="Diagram 64" descr="Bulgaria Boys 0.01 Girls 0.01&#10;Cyprus Boys 0.57 Girls 0.26&#10;Czech Republic Boys 0.42 Girls 0.22&#10;Estonia Boys 1.49 Girls 0.50&#10;Finland Boys 2.67 Girls 1.14&#10;France Boys 0.51 Girls 0.29&#10;Greece Boys 0.04 Girls 0.02&#10;Hungary Boys 1.60 Girls 0.88&#10;Iceland  Boys 0.69 Girls 0.20&#10;Ireland Boys 0.54 Girls 0.12&#10;Latvia Boys 0.56 Girls 0.28&#10;Lithuania Boys 0.22 Girls 0.11 &#10;Poland Boys 0.06 Girls 0.04&#10;Portugal Boys 0.63 Girls 0.38&#10;Serbia Boys 0.15 Girls 0.09&#10;Slovakia Boys 1.07 Girls 0.90&#10;Slovenia Boys 0.17 Girls 0.11&#10;Spain Boys 0.10 Girls 0.06&#10;Switzerland Boys 1.17 Girls 0.73&#10;UK (England) Boys 0.07 Girls 0.02&#10;UK (N. Ireland) Boys 0.60 Girls 0.21&#10;UK (Wales) Boys 0.50 Girls.18&#10;Total average (22) Boys 0.38 Girls 0.20">
              <a:extLst xmlns:a="http://schemas.openxmlformats.org/drawingml/2006/main">
                <a:ext uri="{FF2B5EF4-FFF2-40B4-BE49-F238E27FC236}">
                  <a16:creationId xmlns:a16="http://schemas.microsoft.com/office/drawing/2014/main" id="{C7637A33-D7D2-4473-BD11-08ED8E44D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17F186E" w14:textId="26E09716" w:rsidR="009F2D7A" w:rsidRPr="00D739A7" w:rsidRDefault="00CC253F" w:rsidP="00783F38">
      <w:pPr>
        <w:pStyle w:val="Agency-caption-report"/>
        <w:sectPr w:rsidR="009F2D7A" w:rsidRPr="00D739A7" w:rsidSect="006428B7">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49</w:t>
      </w:r>
      <w:r w:rsidRPr="00D739A7">
        <w:fldChar w:fldCharType="end"/>
      </w:r>
      <w:r w:rsidR="009F2D7A" w:rsidRPr="00D739A7">
        <w:t>. Gender breakdown of learners with an official decision of SEN in special classes, based on the enrolled school population (%)</w:t>
      </w:r>
    </w:p>
    <w:p w14:paraId="33D92BB3"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Gender distribution of learners with an official decision of SEN in special classes, based on the enrolled school population (%)</w:t>
      </w:r>
    </w:p>
    <w:p w14:paraId="2D6E2FB2" w14:textId="77777777" w:rsidR="009F2D7A" w:rsidRPr="00D739A7" w:rsidRDefault="009F2D7A" w:rsidP="00C4448C">
      <w:pPr>
        <w:pStyle w:val="Agency-body-text-report"/>
      </w:pPr>
      <w:r w:rsidRPr="00D739A7">
        <w:t>The gender distributions have been calculated as follows:</w:t>
      </w:r>
    </w:p>
    <w:p w14:paraId="772885F2" w14:textId="60D75071" w:rsidR="009F2D7A" w:rsidRPr="00D739A7" w:rsidRDefault="00EF3C3C" w:rsidP="00C4448C">
      <w:pPr>
        <w:pStyle w:val="Agency-body-text-report"/>
      </w:pPr>
      <w:r w:rsidRPr="00D739A7">
        <w:t>Boys</w:t>
      </w:r>
      <w:r w:rsidR="009F2D7A" w:rsidRPr="00D739A7">
        <w:t>: The number of boys with an official decision of SEN who are educated in separate special classes in mainstream schools (</w:t>
      </w:r>
      <w:r w:rsidR="007237E0" w:rsidRPr="00D739A7">
        <w:t>Q3</w:t>
      </w:r>
      <w:r w:rsidR="009F2D7A" w:rsidRPr="00D739A7">
        <w:t>.3) / The number of learners with an official decision of SEN who are educated in separate special classes in mainstream schools (Q3.3) x 100.</w:t>
      </w:r>
    </w:p>
    <w:p w14:paraId="68A77D49" w14:textId="3F35F1B1" w:rsidR="009F2D7A" w:rsidRPr="00D739A7" w:rsidRDefault="00EF3C3C" w:rsidP="00C4448C">
      <w:pPr>
        <w:pStyle w:val="Agency-body-text-report"/>
      </w:pPr>
      <w:r w:rsidRPr="00D739A7">
        <w:t>Girls</w:t>
      </w:r>
      <w:r w:rsidR="009F2D7A" w:rsidRPr="00D739A7">
        <w:t>: The number of girls with an official decision of SEN who are educated in separate special classes in mainstream schools (</w:t>
      </w:r>
      <w:r w:rsidR="007237E0" w:rsidRPr="00D739A7">
        <w:t>Q3</w:t>
      </w:r>
      <w:r w:rsidR="009F2D7A" w:rsidRPr="00D739A7">
        <w:t>.3) / The number of learners with an official decision of SEN who are educated in separate special classes in mainstream schools (Q3.3) x 100.</w:t>
      </w:r>
    </w:p>
    <w:p w14:paraId="7C7E5AC4" w14:textId="19BC39C8" w:rsidR="009F2D7A" w:rsidRPr="00D739A7" w:rsidRDefault="009F2D7A" w:rsidP="00C4448C">
      <w:pPr>
        <w:pStyle w:val="Agency-body-text-report"/>
      </w:pPr>
      <w:r w:rsidRPr="00D739A7">
        <w:t xml:space="preserve">Data is available from </w:t>
      </w:r>
      <w:r w:rsidR="001B3374" w:rsidRPr="00D739A7">
        <w:t>22</w:t>
      </w:r>
      <w:r w:rsidRPr="00D739A7">
        <w:t xml:space="preserve"> countries.</w:t>
      </w:r>
    </w:p>
    <w:p w14:paraId="166D1E12" w14:textId="7BC2D137" w:rsidR="009F2D7A" w:rsidRPr="00D739A7" w:rsidRDefault="009F2D7A" w:rsidP="00C4448C">
      <w:pPr>
        <w:pStyle w:val="Agency-body-text-report"/>
      </w:pPr>
      <w:r w:rsidRPr="00D739A7">
        <w:t>The proportion of boys with an official decision of SEN in special classes ranges from 5</w:t>
      </w:r>
      <w:r w:rsidR="001B3374" w:rsidRPr="00D739A7">
        <w:t>4.47</w:t>
      </w:r>
      <w:r w:rsidRPr="00D739A7">
        <w:t xml:space="preserve">% to </w:t>
      </w:r>
      <w:r w:rsidR="001B3374" w:rsidRPr="00D739A7">
        <w:t>81.65</w:t>
      </w:r>
      <w:r w:rsidRPr="00D739A7">
        <w:t xml:space="preserve">%; the total average for the </w:t>
      </w:r>
      <w:r w:rsidR="001B3374" w:rsidRPr="00D739A7">
        <w:t>22</w:t>
      </w:r>
      <w:r w:rsidRPr="00D739A7">
        <w:t xml:space="preserve"> countries is 65.</w:t>
      </w:r>
      <w:r w:rsidR="00E97CBF" w:rsidRPr="00D739A7">
        <w:t>14</w:t>
      </w:r>
      <w:r w:rsidRPr="00D739A7">
        <w:t>%.</w:t>
      </w:r>
    </w:p>
    <w:p w14:paraId="58A7968E" w14:textId="13EF54AB" w:rsidR="00E97CBF" w:rsidRPr="00D739A7" w:rsidRDefault="009F2D7A" w:rsidP="00C4448C">
      <w:pPr>
        <w:pStyle w:val="Agency-body-text-report"/>
      </w:pPr>
      <w:r w:rsidRPr="00D739A7">
        <w:t xml:space="preserve">The proportion of girls with an official decision of SEN in special classes ranges from </w:t>
      </w:r>
      <w:r w:rsidR="00E97CBF" w:rsidRPr="00D739A7">
        <w:t>18.35</w:t>
      </w:r>
      <w:r w:rsidRPr="00D739A7">
        <w:t>% to 4</w:t>
      </w:r>
      <w:r w:rsidR="00E97CBF" w:rsidRPr="00D739A7">
        <w:t>5.53</w:t>
      </w:r>
      <w:r w:rsidRPr="00D739A7">
        <w:t xml:space="preserve">%; the total average for the </w:t>
      </w:r>
      <w:r w:rsidR="001B3374" w:rsidRPr="00D739A7">
        <w:t>22</w:t>
      </w:r>
      <w:r w:rsidRPr="00D739A7">
        <w:t xml:space="preserve"> countries is 34.</w:t>
      </w:r>
      <w:r w:rsidR="00E97CBF" w:rsidRPr="00D739A7">
        <w:t>86</w:t>
      </w:r>
      <w:r w:rsidRPr="00D739A7">
        <w:t>%.</w:t>
      </w:r>
    </w:p>
    <w:p w14:paraId="4900FA62" w14:textId="152104F5" w:rsidR="009F2D7A" w:rsidRPr="00D739A7" w:rsidRDefault="00E97CBF" w:rsidP="001B3374">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5877760C" wp14:editId="7015878B">
            <wp:extent cx="3103880" cy="7550150"/>
            <wp:effectExtent l="0" t="0" r="7620" b="6350"/>
            <wp:docPr id="65" name="Diagram 65" descr="Bulgaria Boys 58.49 Girls 41.51&#10;Cyprus Boys 68.70 Girls 31.30&#10;Czech Republic Boys 64.91 Girls 35.09&#10;Estonia Boys 75.10 Girls 24.90&#10;Finland Boys 70.00 Girls 30.00&#10;France Boys 63.72 Girls 36.28&#10;Greece Boys 63.71 Girls 36.29&#10;Hungary Boys 64.52 Girls 35.48&#10;Iceland  Boys 77.47 Girls 22.53&#10;Ireland Boys 81.65 Girls 18.35&#10;Latvia Boys 66.49 Girls 33.51&#10;Lithuania Boys 65.90 Girls 34.10&#10;Poland Boys 60.29 Girls 39.71&#10;Portugal Boys 62.24 Girls 37.76&#10;Serbia Boys 61.91 Girls 38.09&#10;Slovakia Boys 54.47 Girls 45.53&#10;Slovenia Boys 61.72 Girls 38.28&#10;Spain Boys 64.28 Girls 35.72&#10;Switzerland Boys 61.53 Girls 38.47&#10;UK (England) Boys 75.36 Girls 24.64&#10;UK (N. Ireland) Boys 73.57 Girls 26.43&#10;UK (Wales) Boys 73.48 Girls 26.52&#10;Total average (22) Boys 65.14 Girls 34.86">
              <a:extLst xmlns:a="http://schemas.openxmlformats.org/drawingml/2006/main">
                <a:ext uri="{FF2B5EF4-FFF2-40B4-BE49-F238E27FC236}">
                  <a16:creationId xmlns:a16="http://schemas.microsoft.com/office/drawing/2014/main" id="{09840475-12F5-45CA-BBA1-BE83660B1D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5925DD7" w14:textId="52145ACD" w:rsidR="009F2D7A" w:rsidRPr="00D739A7" w:rsidRDefault="00CC253F" w:rsidP="00783F38">
      <w:pPr>
        <w:pStyle w:val="Agency-caption-report"/>
        <w:sectPr w:rsidR="009F2D7A" w:rsidRPr="00D739A7" w:rsidSect="00503857">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50</w:t>
      </w:r>
      <w:r w:rsidRPr="00D739A7">
        <w:fldChar w:fldCharType="end"/>
      </w:r>
      <w:r w:rsidR="009F2D7A" w:rsidRPr="00D739A7">
        <w:t>. Gender distribution of learners with an official decision of SEN in special classes, based on the enrolled school population (%)</w:t>
      </w:r>
    </w:p>
    <w:p w14:paraId="1B26CB96"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ISCED breakdown of learners with an official decision of SEN in special classes, based on the enrolled school population (%)</w:t>
      </w:r>
    </w:p>
    <w:p w14:paraId="3A5D0219" w14:textId="77777777" w:rsidR="009F2D7A" w:rsidRPr="00D739A7" w:rsidRDefault="009F2D7A" w:rsidP="00C4448C">
      <w:pPr>
        <w:pStyle w:val="Agency-body-text-report"/>
      </w:pPr>
      <w:r w:rsidRPr="00D739A7">
        <w:t>The ISCED breakdowns have been calculated as follows:</w:t>
      </w:r>
    </w:p>
    <w:p w14:paraId="1D26534C" w14:textId="77777777" w:rsidR="009F2D7A" w:rsidRPr="00D739A7" w:rsidRDefault="009F2D7A" w:rsidP="00C4448C">
      <w:pPr>
        <w:pStyle w:val="Agency-body-text-report"/>
      </w:pPr>
      <w:r w:rsidRPr="00D739A7">
        <w:t>ISCED 1: The number of learners in ISCED 1 with an official decision of SEN who are educated in separate special classes in mainstream schools (Q3.3) / The number of learners who are enrolled in all formal educational settings (Q1.2) x 100.</w:t>
      </w:r>
    </w:p>
    <w:p w14:paraId="625658C2" w14:textId="77777777" w:rsidR="009F2D7A" w:rsidRPr="00D739A7" w:rsidRDefault="009F2D7A" w:rsidP="00C4448C">
      <w:pPr>
        <w:pStyle w:val="Agency-body-text-report"/>
      </w:pPr>
      <w:r w:rsidRPr="00D739A7">
        <w:t>ISCED 2: The number of learners in ISCED 2 with an official decision of SEN who are educated in separate special classes in mainstream schools (Q3.3) / The number of learners who are enrolled in all formal educational settings (Q1.2) x 100.</w:t>
      </w:r>
    </w:p>
    <w:p w14:paraId="2597F5A0" w14:textId="77777777" w:rsidR="009F2D7A" w:rsidRPr="00D739A7" w:rsidRDefault="009F2D7A" w:rsidP="00C4448C">
      <w:pPr>
        <w:pStyle w:val="Agency-body-text-report"/>
      </w:pPr>
      <w:r w:rsidRPr="00D739A7">
        <w:t>Data is available from 24 countries.</w:t>
      </w:r>
    </w:p>
    <w:p w14:paraId="51B6CB39" w14:textId="329BC096" w:rsidR="009F2D7A" w:rsidRPr="00D739A7" w:rsidRDefault="009F2D7A" w:rsidP="00C4448C">
      <w:pPr>
        <w:pStyle w:val="Agency-body-text-report"/>
      </w:pPr>
      <w:r w:rsidRPr="00D739A7">
        <w:t>The separate special class enrolment rates for learners with an official decision of SEN in ISCED 1 range from 0.0</w:t>
      </w:r>
      <w:r w:rsidR="00186A57" w:rsidRPr="00D739A7">
        <w:t>1</w:t>
      </w:r>
      <w:r w:rsidRPr="00D739A7">
        <w:t>% to 2.</w:t>
      </w:r>
      <w:r w:rsidR="00186A57" w:rsidRPr="00D739A7">
        <w:t>44</w:t>
      </w:r>
      <w:r w:rsidRPr="00D739A7">
        <w:t>%; the total average for the 24 countries is 0.3</w:t>
      </w:r>
      <w:r w:rsidR="00186A57" w:rsidRPr="00D739A7">
        <w:t>6</w:t>
      </w:r>
      <w:r w:rsidRPr="00D739A7">
        <w:t>%.</w:t>
      </w:r>
    </w:p>
    <w:p w14:paraId="6C9F2A36" w14:textId="2D45E001" w:rsidR="009F2D7A" w:rsidRPr="00D739A7" w:rsidRDefault="009F2D7A" w:rsidP="00C4448C">
      <w:pPr>
        <w:pStyle w:val="Agency-body-text-report"/>
      </w:pPr>
      <w:r w:rsidRPr="00D739A7">
        <w:t>The separate special class enrolment rates for learners with an official decision of SEN in ISCED 2 range from 0.0</w:t>
      </w:r>
      <w:r w:rsidR="00186A57" w:rsidRPr="00D739A7">
        <w:t>1</w:t>
      </w:r>
      <w:r w:rsidRPr="00D739A7">
        <w:t>% to 1.3</w:t>
      </w:r>
      <w:r w:rsidR="00186A57" w:rsidRPr="00D739A7">
        <w:t>7</w:t>
      </w:r>
      <w:r w:rsidRPr="00D739A7">
        <w:t>%; the total average for the 24 countries is 0.2</w:t>
      </w:r>
      <w:r w:rsidR="00186A57" w:rsidRPr="00D739A7">
        <w:t>2</w:t>
      </w:r>
      <w:r w:rsidRPr="00D739A7">
        <w:t>%.</w:t>
      </w:r>
    </w:p>
    <w:p w14:paraId="57897FBA" w14:textId="76040FFE" w:rsidR="009F2D7A" w:rsidRPr="00D739A7" w:rsidRDefault="00E97CBF" w:rsidP="00E97CBF">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37984871" wp14:editId="7E83A5EB">
            <wp:extent cx="3067050" cy="7586804"/>
            <wp:effectExtent l="0" t="0" r="6350" b="8255"/>
            <wp:docPr id="66" name="Diagram 66" descr="Bulgaria ISCED 1 - 0.01 ISCED 2 - 0.01&#10;Cyprus ISCED 1 - 0.57 ISCED 2 - 0.26&#10;Czech Republic ISCED 1 - 0.29 ISCED 2 - 0.35&#10;Estonia ISCED 1 - 1.34 ISCED 2 - 0.66&#10;Finland ISCED 1 - 2.44 ISCED 2 - 1.37&#10;France ISCED 1 - 0.56 ISCED 2 - 0.25&#10;Greece ISCED 1 - 0.03 ISCED 2 - 0.03&#10;Hungary ISCED 1 - 1.15 ISCED 2 - 1.33&#10;Iceland  ISCED 1 - 0.50 ISCED 2 - 0.38&#10;Ireland ISCED 1 - 0.55 ISCED 2 - 0.12&#10;Latvia ISCED 1 - 0.61 ISCED 2 - 0.23&#10;Lithuania ISCED 1 - 0.15 ISCED 2 - 0.18&#10;Luxembourg ISCED 1 - 0.25 ISCED 2 - 0.15&#10;Norway ISCED 1 - 0.22 ISCED 2 - 0.19&#10;Poland ISCED 1 - 0.07 ISCED 2 - 0.03&#10;Portugal ISCED 1 - 0.50 ISCED 2 - 0.51&#10;Serbia ISCED 1 - 0.10 ISCED 2 - 0.15&#10;Slovakia ISCED 1 - 0.87 ISCED 2 - 1.10&#10;Slovenia ISCED 1 - 0.18 ISCED 2 - 0.10&#10;Spain ISCED 1 - 0.10 ISCED 2 - 0.06&#10;Switzerland ISCED 1 - 1.14 ISCED 2 - 0.76&#10;UK (England) ISCED 1 - 0.07 ISCED 2 - 0.03&#10;UK (N. Ireland) ISCED 1 - 0.47 ISCED 2 - 0.34&#10;UK (Wales) ISCED 1 - 0.36 ISCED 2 - 0.31&#10;Total average (24) ISCED 1 - 0.36 ISCED 2 - 0.22">
              <a:extLst xmlns:a="http://schemas.openxmlformats.org/drawingml/2006/main">
                <a:ext uri="{FF2B5EF4-FFF2-40B4-BE49-F238E27FC236}">
                  <a16:creationId xmlns:a16="http://schemas.microsoft.com/office/drawing/2014/main" id="{160ABBCD-E685-4678-B80D-97FC89D9E0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0F5E866" w14:textId="1008629C" w:rsidR="009F2D7A" w:rsidRPr="00D739A7" w:rsidRDefault="00CC253F"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51</w:t>
      </w:r>
      <w:r w:rsidRPr="00D739A7">
        <w:fldChar w:fldCharType="end"/>
      </w:r>
      <w:r w:rsidR="009F2D7A" w:rsidRPr="00D739A7">
        <w:t>. ISCED breakdown of learners with an official decision of SEN in special classes, based on the enrolled school population (%)</w:t>
      </w:r>
    </w:p>
    <w:p w14:paraId="04E16521"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503857">
          <w:type w:val="continuous"/>
          <w:pgSz w:w="11899" w:h="16838"/>
          <w:pgMar w:top="1134" w:right="1551" w:bottom="1276" w:left="1418" w:header="709" w:footer="709" w:gutter="0"/>
          <w:cols w:num="2" w:space="710" w:equalWidth="0">
            <w:col w:w="3333" w:space="710"/>
            <w:col w:w="4887"/>
          </w:cols>
          <w:docGrid w:linePitch="360"/>
        </w:sectPr>
      </w:pPr>
    </w:p>
    <w:p w14:paraId="55F14ED2"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ISCED distribution of learners with an official decision of SEN in special classes, based on the enrolled school population (%)</w:t>
      </w:r>
    </w:p>
    <w:p w14:paraId="2569B218" w14:textId="77777777" w:rsidR="009F2D7A" w:rsidRPr="00D739A7" w:rsidRDefault="009F2D7A" w:rsidP="00C4448C">
      <w:pPr>
        <w:pStyle w:val="Agency-body-text-report"/>
      </w:pPr>
      <w:r w:rsidRPr="00D739A7">
        <w:t>The ISCED distributions have been calculated as follows:</w:t>
      </w:r>
    </w:p>
    <w:p w14:paraId="62E21A75" w14:textId="77777777" w:rsidR="009F2D7A" w:rsidRPr="00D739A7" w:rsidRDefault="009F2D7A" w:rsidP="00C4448C">
      <w:pPr>
        <w:pStyle w:val="Agency-body-text-report"/>
      </w:pPr>
      <w:r w:rsidRPr="00D739A7">
        <w:t>ISCED 1: The number of learners in ISCED 1 with an official decision of SEN who are educated in separate special classes in mainstream schools (Q3.3) / The number of learners in ISCED 1 who are enrolled in all formal educational settings (Q1.2) x 100.</w:t>
      </w:r>
    </w:p>
    <w:p w14:paraId="171DEF3F" w14:textId="77777777" w:rsidR="009F2D7A" w:rsidRPr="00D739A7" w:rsidRDefault="009F2D7A" w:rsidP="00C4448C">
      <w:pPr>
        <w:pStyle w:val="Agency-body-text-report"/>
      </w:pPr>
      <w:r w:rsidRPr="00D739A7">
        <w:t>ISCED 2: The number of learners in ISCED 2 with an official decision of SEN who are educated in separate special classes in mainstream schools (Q3.3) / The number of learners in ISCED 2 who are enrolled in all formal educational settings (Q1.2) x 100.</w:t>
      </w:r>
    </w:p>
    <w:p w14:paraId="726FF736" w14:textId="77777777" w:rsidR="009F2D7A" w:rsidRPr="00D739A7" w:rsidRDefault="009F2D7A" w:rsidP="00C4448C">
      <w:pPr>
        <w:pStyle w:val="Agency-body-text-report"/>
      </w:pPr>
      <w:r w:rsidRPr="00D739A7">
        <w:t>Data is available from 24 countries.</w:t>
      </w:r>
    </w:p>
    <w:p w14:paraId="4C6BBCB7" w14:textId="589B8545" w:rsidR="009F2D7A" w:rsidRPr="00D739A7" w:rsidRDefault="0080534E" w:rsidP="00C4448C">
      <w:pPr>
        <w:pStyle w:val="Agency-body-text-report"/>
      </w:pPr>
      <w:r w:rsidRPr="00D739A7">
        <w:t>Within ISCED 1, t</w:t>
      </w:r>
      <w:r w:rsidR="009F2D7A" w:rsidRPr="00D739A7">
        <w:t>he proportion of learners with an official decision of SEN in special classes ranges from 0.0</w:t>
      </w:r>
      <w:r w:rsidR="00186A57" w:rsidRPr="00D739A7">
        <w:t>3</w:t>
      </w:r>
      <w:r w:rsidR="009F2D7A" w:rsidRPr="00D739A7">
        <w:t>% to 3.</w:t>
      </w:r>
      <w:r w:rsidR="00186A57" w:rsidRPr="00D739A7">
        <w:t>65</w:t>
      </w:r>
      <w:r w:rsidR="009F2D7A" w:rsidRPr="00D739A7">
        <w:t>%; the total average for the 24 countries is 0.5</w:t>
      </w:r>
      <w:r w:rsidR="00186A57" w:rsidRPr="00D739A7">
        <w:t>7</w:t>
      </w:r>
      <w:r w:rsidR="009F2D7A" w:rsidRPr="00D739A7">
        <w:t>%.</w:t>
      </w:r>
    </w:p>
    <w:p w14:paraId="5C339A1C" w14:textId="02AC4B96" w:rsidR="009F2D7A" w:rsidRPr="00D739A7" w:rsidRDefault="0080534E" w:rsidP="00C4448C">
      <w:pPr>
        <w:pStyle w:val="Agency-body-text-report"/>
      </w:pPr>
      <w:r w:rsidRPr="00D739A7">
        <w:t>Within ISCED 2, t</w:t>
      </w:r>
      <w:r w:rsidR="009F2D7A" w:rsidRPr="00D739A7">
        <w:t>he proportion of learners with an official decision of SEN in special classes ranges from 0.</w:t>
      </w:r>
      <w:r w:rsidR="00186A57" w:rsidRPr="00D739A7">
        <w:t>02</w:t>
      </w:r>
      <w:r w:rsidR="009F2D7A" w:rsidRPr="00D739A7">
        <w:t>% to 4.</w:t>
      </w:r>
      <w:r w:rsidR="00186A57" w:rsidRPr="00D739A7">
        <w:t>15</w:t>
      </w:r>
      <w:r w:rsidR="009F2D7A" w:rsidRPr="00D739A7">
        <w:t>%; the total average for the 24 countries is 0.</w:t>
      </w:r>
      <w:r w:rsidR="00186A57" w:rsidRPr="00D739A7">
        <w:t>61</w:t>
      </w:r>
      <w:r w:rsidR="009F2D7A" w:rsidRPr="00D739A7">
        <w:t>%.</w:t>
      </w:r>
    </w:p>
    <w:p w14:paraId="68A5A899" w14:textId="54E31B0D" w:rsidR="009F2D7A" w:rsidRPr="00D739A7" w:rsidRDefault="00186A57" w:rsidP="00186A57">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FE0C9B0" wp14:editId="5A19B315">
            <wp:extent cx="3103880" cy="7543800"/>
            <wp:effectExtent l="0" t="0" r="7620" b="12700"/>
            <wp:docPr id="67" name="Diagram 67" descr="Bulgaria ISCED 1 - 0.03 ISCED 2 - 0.02&#10;Cyprus ISCED 1 - 0.84 ISCED 2 - 0.82&#10;Czech Republic ISCED 1 - 0.48 ISCED 2 - 0.88&#10;Estonia ISCED 1 - 1.91 ISCED 2 - 2.18&#10;Finland ISCED 1 - 3.65 ISCED 2 - 4.15&#10;France ISCED 1 - 1.00 ISCED 2 - 0.57&#10;Greece ISCED 1 - 0.04 ISCED 2 - 0.10&#10;Hungary ISCED 1 - 2.26 ISCED 2 - 2.69&#10;Iceland  ISCED 1 - 0.70 ISCED 2 - 1.36&#10;Ireland ISCED 1 - 0.73 ISCED 2 - 0.45&#10;Latvia ISCED 1 - 0.89 ISCED 2 - 0.72&#10;Lithuania ISCED 1 - 0.36 ISCED 2 - 0.31&#10;Luxembourg ISCED 1 - 0.40 ISCED 2 - 0.40&#10;Norway ISCED 1 - 0.32 ISCED 2 - 0.65&#10;Poland ISCED 1 - 0.10 ISCED 2 - 0.10&#10;Portugal ISCED 1 - 0.78 ISCED 2 - 1.41&#10;Serbia ISCED 1 - 0.19 ISCED 2 - 0.29&#10;Slovakia ISCED 1 - 1.85 ISCED 2 - 2.08&#10;Slovenia ISCED 1 - 0.25 ISCED 2 - 0.34&#10;Spain ISCED 1 - 0.15 ISCED 2 - 0.16&#10;Switzerland ISCED 1 - 1.72 ISCED 2 - 2.27&#10;UK (England) ISCED 1 - 0.10 ISCED 2 - 0.09&#10;UK (N. Ireland) ISCED 1 - 0.78 ISCED 2 - 0.86&#10;UK (Wales) ISCED 1 - 0.64 ISCED 2 - 0.72&#10;Total average (24) ISCED 1 - 0.57 ISCED 2 - 0.61">
              <a:extLst xmlns:a="http://schemas.openxmlformats.org/drawingml/2006/main">
                <a:ext uri="{FF2B5EF4-FFF2-40B4-BE49-F238E27FC236}">
                  <a16:creationId xmlns:a16="http://schemas.microsoft.com/office/drawing/2014/main" id="{6982B849-07A4-48B7-8AA6-7BB3377503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641F170" w14:textId="7086E0B0" w:rsidR="009F2D7A" w:rsidRPr="00D739A7" w:rsidRDefault="00CC253F"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52</w:t>
      </w:r>
      <w:r w:rsidRPr="00D739A7">
        <w:fldChar w:fldCharType="end"/>
      </w:r>
      <w:r w:rsidR="009F2D7A" w:rsidRPr="00D739A7">
        <w:t>. ISCED distribution of learners with an official decision of SEN in special classes, based on the enrolled school population (%)</w:t>
      </w:r>
    </w:p>
    <w:p w14:paraId="1AD83932"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606E1F">
          <w:type w:val="continuous"/>
          <w:pgSz w:w="11899" w:h="16838"/>
          <w:pgMar w:top="1134" w:right="1551" w:bottom="1276" w:left="1418" w:header="709" w:footer="709" w:gutter="0"/>
          <w:cols w:num="2" w:space="710" w:equalWidth="0">
            <w:col w:w="3333" w:space="710"/>
            <w:col w:w="4887"/>
          </w:cols>
          <w:docGrid w:linePitch="360"/>
        </w:sectPr>
      </w:pPr>
    </w:p>
    <w:p w14:paraId="7416EF07" w14:textId="1AEA49DA" w:rsidR="009F2D7A" w:rsidRPr="00D739A7" w:rsidRDefault="00436B97" w:rsidP="004A29D9">
      <w:pPr>
        <w:pStyle w:val="Agency-heading-3-report"/>
        <w:rPr>
          <w:b w:val="0"/>
        </w:rPr>
        <w:sectPr w:rsidR="009F2D7A" w:rsidRPr="00D739A7" w:rsidSect="00751B98">
          <w:pgSz w:w="11899" w:h="16838"/>
          <w:pgMar w:top="1134" w:right="1551" w:bottom="1276" w:left="1418" w:header="709" w:footer="709" w:gutter="0"/>
          <w:cols w:space="710"/>
          <w:docGrid w:linePitch="360"/>
        </w:sectPr>
      </w:pPr>
      <w:bookmarkStart w:id="62" w:name="_Toc35943052"/>
      <w:r w:rsidRPr="00D739A7">
        <w:lastRenderedPageBreak/>
        <w:t>Indicator </w:t>
      </w:r>
      <w:r w:rsidR="00903978" w:rsidRPr="00D739A7">
        <w:t>2.</w:t>
      </w:r>
      <w:r w:rsidRPr="00D739A7">
        <w:t>3</w:t>
      </w:r>
      <w:r w:rsidR="009F2D7A" w:rsidRPr="00D739A7">
        <w:t>b.3: the percentage of learners with an official decision of SEN in special schools, based on the enrolled school population (%)</w:t>
      </w:r>
      <w:bookmarkEnd w:id="62"/>
    </w:p>
    <w:p w14:paraId="2EDCE4C4" w14:textId="0547D315" w:rsidR="009F2D7A" w:rsidRPr="00D739A7" w:rsidRDefault="009F2D7A" w:rsidP="00C4448C">
      <w:pPr>
        <w:pStyle w:val="Agency-body-text-report"/>
      </w:pPr>
      <w:r w:rsidRPr="00D739A7">
        <w:t>The data focuses on learners with an official decision of SEN</w:t>
      </w:r>
      <w:r w:rsidR="00ED75DE" w:rsidRPr="00D739A7">
        <w:t>,</w:t>
      </w:r>
      <w:r w:rsidRPr="00D739A7">
        <w:t xml:space="preserve"> in line with the EASIE operational definition, who are enrolled in fully separate special schools.</w:t>
      </w:r>
    </w:p>
    <w:p w14:paraId="6B410B8B" w14:textId="77777777" w:rsidR="009F2D7A" w:rsidRPr="00D739A7" w:rsidRDefault="009F2D7A" w:rsidP="00C4448C">
      <w:pPr>
        <w:pStyle w:val="Agency-body-text-report"/>
      </w:pPr>
      <w:r w:rsidRPr="00D739A7">
        <w:t>This indicator has been calculated as follows: The number of learners with an official decision of SEN who are educated in separate special schools (Q3.4) / The number of learners who are enrolled in all formal educational settings (Q1.2) x 100.</w:t>
      </w:r>
    </w:p>
    <w:p w14:paraId="3964B341" w14:textId="77777777" w:rsidR="009F2D7A" w:rsidRPr="00D739A7" w:rsidRDefault="009F2D7A" w:rsidP="00C4448C">
      <w:pPr>
        <w:pStyle w:val="Agency-body-text-report"/>
      </w:pPr>
      <w:r w:rsidRPr="00D739A7">
        <w:t>Data is available from 30 countries.</w:t>
      </w:r>
    </w:p>
    <w:p w14:paraId="673DA3D8" w14:textId="45BB72D9" w:rsidR="009F2D7A" w:rsidRPr="00D739A7" w:rsidRDefault="009F2D7A" w:rsidP="00C4448C">
      <w:pPr>
        <w:pStyle w:val="Agency-body-text-report"/>
      </w:pPr>
      <w:r w:rsidRPr="00D739A7">
        <w:t xml:space="preserve">The special school enrolment rates range from 0.03% to </w:t>
      </w:r>
      <w:r w:rsidR="005056E4" w:rsidRPr="00D739A7">
        <w:t>6.07</w:t>
      </w:r>
      <w:r w:rsidRPr="00D739A7">
        <w:t>%; the total average for the 30 countries is 1.</w:t>
      </w:r>
      <w:r w:rsidR="005056E4" w:rsidRPr="00D739A7">
        <w:t>41</w:t>
      </w:r>
      <w:r w:rsidRPr="00D739A7">
        <w:t>%.</w:t>
      </w:r>
    </w:p>
    <w:p w14:paraId="30048D34" w14:textId="2F798F3E" w:rsidR="005056E4" w:rsidRPr="00D739A7" w:rsidRDefault="009F2D7A" w:rsidP="00C4448C">
      <w:pPr>
        <w:pStyle w:val="Agency-body-text-report"/>
      </w:pPr>
      <w:r w:rsidRPr="00D739A7">
        <w:t>This data indicates that all countries that provide data on learners with an official decision of SEN have some form of separate special schools</w:t>
      </w:r>
      <w:r w:rsidR="005056E4" w:rsidRPr="00D739A7">
        <w:t>, but to different extent</w:t>
      </w:r>
      <w:r w:rsidR="00ED75DE" w:rsidRPr="00D739A7">
        <w:t>s</w:t>
      </w:r>
      <w:r w:rsidRPr="00D739A7">
        <w:t>.</w:t>
      </w:r>
    </w:p>
    <w:p w14:paraId="13DB80A9" w14:textId="77777777" w:rsidR="005056E4" w:rsidRPr="00D739A7" w:rsidRDefault="005056E4" w:rsidP="005056E4">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95E8309" wp14:editId="02829AF9">
            <wp:extent cx="3082290" cy="7577751"/>
            <wp:effectExtent l="0" t="0" r="16510" b="17145"/>
            <wp:docPr id="68" name="Diagram 68" descr="Austria 1.04&#10;Belgium (Fl) 6.07&#10;Bulgaria 0.53&#10;Czech Republic 2.61&#10;Estonia 2.63&#10;Finland 0.73&#10;France 0.58&#10;Germany 3.09&#10;Greece 0.95&#10;Iceland  0.37&#10;Ireland 0.76&#10;Italy 0.03&#10;Latvia 3.25&#10;Lithuania 1.10&#10;Luxembourg 0.36&#10;Malta 0.53&#10;Netherlands 3.20&#10;Norway 0.22&#10;Poland 1.53&#10;Portugal 0.11&#10;Serbia 0.55&#10;Slovakia 3.65&#10;Slovenia 1.75&#10;Spain 0.57&#10;Sweden 0.91&#10;Switzerland 1.96&#10;UK (England) 1.26&#10;UK (N. Ireland) 1.52&#10;UK (Scotland) 0.86&#10;UK (Wales) 0.88&#10;Total average (30) 1.41">
              <a:extLst xmlns:a="http://schemas.openxmlformats.org/drawingml/2006/main">
                <a:ext uri="{FF2B5EF4-FFF2-40B4-BE49-F238E27FC236}">
                  <a16:creationId xmlns:a16="http://schemas.microsoft.com/office/drawing/2014/main" id="{AC8D6824-AA0D-436A-BCFF-CAF43D750D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284AAE0" w14:textId="5DE5F6D3" w:rsidR="009F2D7A" w:rsidRPr="00D739A7" w:rsidRDefault="00CC253F" w:rsidP="00783F38">
      <w:pPr>
        <w:pStyle w:val="Agency-caption-report"/>
        <w:sectPr w:rsidR="009F2D7A" w:rsidRPr="00D739A7" w:rsidSect="00606E1F">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53</w:t>
      </w:r>
      <w:r w:rsidRPr="00D739A7">
        <w:fldChar w:fldCharType="end"/>
      </w:r>
      <w:r w:rsidR="009F2D7A" w:rsidRPr="00D739A7">
        <w:t>. Percentage of learners with an official decision of SEN in special schools, based on the enrolled school population (%)</w:t>
      </w:r>
    </w:p>
    <w:p w14:paraId="069C170A"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Gender breakdown of learners with an official decision of SEN in special schools, based on the enrolled school population (%)</w:t>
      </w:r>
    </w:p>
    <w:p w14:paraId="2D2C8EEF" w14:textId="77777777" w:rsidR="009F2D7A" w:rsidRPr="00D739A7" w:rsidRDefault="009F2D7A" w:rsidP="00C4448C">
      <w:pPr>
        <w:pStyle w:val="Agency-body-text-report"/>
      </w:pPr>
      <w:r w:rsidRPr="00D739A7">
        <w:t>The gender breakdowns have been calculated as follows:</w:t>
      </w:r>
    </w:p>
    <w:p w14:paraId="2174386C" w14:textId="1385E9B2" w:rsidR="009F2D7A" w:rsidRPr="00D739A7" w:rsidRDefault="00EF3C3C" w:rsidP="00C4448C">
      <w:pPr>
        <w:pStyle w:val="Agency-body-text-report"/>
      </w:pPr>
      <w:r w:rsidRPr="00D739A7">
        <w:t>Boys</w:t>
      </w:r>
      <w:r w:rsidR="009F2D7A" w:rsidRPr="00D739A7">
        <w:t>: The number of boys with an official decision of SEN who are educated in separate special schools (</w:t>
      </w:r>
      <w:r w:rsidR="007237E0" w:rsidRPr="00D739A7">
        <w:t>Q3</w:t>
      </w:r>
      <w:r w:rsidR="009F2D7A" w:rsidRPr="00D739A7">
        <w:t>.4) / The number of learners who are enrolled in all formal educational settings (Q1.2) x 100.</w:t>
      </w:r>
    </w:p>
    <w:p w14:paraId="02A559A9" w14:textId="136315B4" w:rsidR="009F2D7A" w:rsidRPr="00D739A7" w:rsidRDefault="00EF3C3C" w:rsidP="00C4448C">
      <w:pPr>
        <w:pStyle w:val="Agency-body-text-report"/>
      </w:pPr>
      <w:r w:rsidRPr="00D739A7">
        <w:t>Girls</w:t>
      </w:r>
      <w:r w:rsidR="009F2D7A" w:rsidRPr="00D739A7">
        <w:t>: The number of girls with an official decision of SEN who are educated in separate special schools (</w:t>
      </w:r>
      <w:r w:rsidR="007237E0" w:rsidRPr="00D739A7">
        <w:t>Q3</w:t>
      </w:r>
      <w:r w:rsidR="009F2D7A" w:rsidRPr="00D739A7">
        <w:t>.4) / The number of learners who are enrolled in all formal educational settings (Q1.2) x 100.</w:t>
      </w:r>
    </w:p>
    <w:p w14:paraId="1C6D5461" w14:textId="464CB4CC" w:rsidR="009F2D7A" w:rsidRPr="00D739A7" w:rsidRDefault="009F2D7A" w:rsidP="00C4448C">
      <w:pPr>
        <w:pStyle w:val="Agency-body-text-report"/>
      </w:pPr>
      <w:r w:rsidRPr="00D739A7">
        <w:t>Data is available from 2</w:t>
      </w:r>
      <w:r w:rsidR="005056E4" w:rsidRPr="00D739A7">
        <w:t>9</w:t>
      </w:r>
      <w:r w:rsidRPr="00D739A7">
        <w:t xml:space="preserve"> countries.</w:t>
      </w:r>
    </w:p>
    <w:p w14:paraId="294AD89F" w14:textId="60B14BF2" w:rsidR="009F2D7A" w:rsidRPr="00D739A7" w:rsidRDefault="009F2D7A" w:rsidP="00C4448C">
      <w:pPr>
        <w:pStyle w:val="Agency-body-text-report"/>
      </w:pPr>
      <w:r w:rsidRPr="00D739A7">
        <w:t xml:space="preserve">The special school enrolment rates for </w:t>
      </w:r>
      <w:r w:rsidR="00EF3C3C" w:rsidRPr="00D739A7">
        <w:t>boys</w:t>
      </w:r>
      <w:r w:rsidRPr="00D739A7">
        <w:t xml:space="preserve"> range from 0.02% to </w:t>
      </w:r>
      <w:r w:rsidR="005056E4" w:rsidRPr="00D739A7">
        <w:t>3.92</w:t>
      </w:r>
      <w:r w:rsidRPr="00D739A7">
        <w:t>%; the total average for the 2</w:t>
      </w:r>
      <w:r w:rsidR="005056E4" w:rsidRPr="00D739A7">
        <w:t>9</w:t>
      </w:r>
      <w:r w:rsidRPr="00D739A7">
        <w:t xml:space="preserve"> countries is </w:t>
      </w:r>
      <w:r w:rsidR="005056E4" w:rsidRPr="00D739A7">
        <w:t>0.96</w:t>
      </w:r>
      <w:r w:rsidRPr="00D739A7">
        <w:t>%.</w:t>
      </w:r>
    </w:p>
    <w:p w14:paraId="37650BE7" w14:textId="0CBB6F90" w:rsidR="009F2D7A" w:rsidRPr="00D739A7" w:rsidRDefault="009F2D7A" w:rsidP="00C4448C">
      <w:pPr>
        <w:pStyle w:val="Agency-body-text-report"/>
      </w:pPr>
      <w:r w:rsidRPr="00D739A7">
        <w:t xml:space="preserve">The special school enrolment rates for </w:t>
      </w:r>
      <w:r w:rsidR="00EF3C3C" w:rsidRPr="00D739A7">
        <w:t>girls</w:t>
      </w:r>
      <w:r w:rsidRPr="00D739A7">
        <w:t xml:space="preserve"> range from 0.01% to 2.</w:t>
      </w:r>
      <w:r w:rsidR="005056E4" w:rsidRPr="00D739A7">
        <w:t>15</w:t>
      </w:r>
      <w:r w:rsidRPr="00D739A7">
        <w:t>%; the total average for the 2</w:t>
      </w:r>
      <w:r w:rsidR="005056E4" w:rsidRPr="00D739A7">
        <w:t>9</w:t>
      </w:r>
      <w:r w:rsidRPr="00D739A7">
        <w:t xml:space="preserve"> countries is 0.</w:t>
      </w:r>
      <w:r w:rsidR="005056E4" w:rsidRPr="00D739A7">
        <w:t>47</w:t>
      </w:r>
      <w:r w:rsidRPr="00D739A7">
        <w:t>%.</w:t>
      </w:r>
    </w:p>
    <w:p w14:paraId="1350258E" w14:textId="37765E2B" w:rsidR="009F2D7A" w:rsidRPr="00D739A7" w:rsidRDefault="005056E4" w:rsidP="005056E4">
      <w:pPr>
        <w:spacing w:before="120" w:after="120" w:line="240" w:lineRule="auto"/>
        <w:rPr>
          <w:rFonts w:ascii="Calibri" w:eastAsia="Times New Roman" w:hAnsi="Calibri" w:cs="Calibri"/>
          <w:color w:val="000000"/>
          <w:lang w:val="en-GB"/>
        </w:rPr>
      </w:pPr>
      <w:r w:rsidRPr="00D739A7">
        <w:rPr>
          <w:rFonts w:ascii="Calibri" w:hAnsi="Calibri" w:cs="Calibri"/>
          <w:noProof/>
          <w:color w:val="FF0000"/>
          <w:lang w:val="en-GB"/>
        </w:rPr>
        <w:drawing>
          <wp:inline distT="0" distB="0" distL="0" distR="0" wp14:anchorId="1D835693" wp14:editId="3572BD44">
            <wp:extent cx="3103880" cy="7586804"/>
            <wp:effectExtent l="0" t="0" r="7620" b="8255"/>
            <wp:docPr id="69" name="Diagram 69" descr="Austria Boys 0.69 Girls 0.35&#10;Belgium (Fl) Boys 3.92 Girls 2.15&#10;Bulgaria Boys 0.32 Girls 0.21&#10;Czech Republic Boys 1.63 Girls 0.98&#10;Estonia Boys 1.79 Girls 0.84&#10;Finland Boys 0.51 Girls 0.22&#10;France Boys 0.40 Girls 0.19&#10;Germany Boys 2.03 Girls 1.05&#10;Greece Boys 0.64 Girls 0.32&#10;Iceland  Boys 0.27 Girls 0.10&#10;Ireland Boys 0.52 Girls 0.25&#10;Italy Boys 0.02 Girls 0.01&#10;Latvia Boys 2.15 Girls 1.10&#10;Lithuania Boys 0.71 Girls 0.39&#10;Luxembourg Boys 0.00 Girls 0.00&#10;Malta Boys 0.35 Girls 0.18&#10;Netherlands Boys 2.32 Girls 0.87  &#10;Poland Boys 0.99 Girls 0.54&#10;Portugal Boys 0.08 Girls 0.03&#10;Serbia Boys 0.35 Girls 0.20&#10;Slovakia Boys 2.17 Girls 1.48&#10;Slovenia Boys 1.05 Girls 0.70&#10;Spain Boys 0.36 Girls 0.21&#10;Sweden Boys 0.56 Girls 0.35&#10;Switzerland Boys 1.34 Girls 0.63&#10;UK (England) Boys 0.93 Girls 0.33&#10;UK (N. Ireland) Boys 1.07 Girls 0.44&#10;UK (Scotland) Boys 0.61 Girls 0.25&#10;UK (Wales) Boys 0.64 Girls 0.25&#10;Total average (29) Boys 0.96 Girls 0.47">
              <a:extLst xmlns:a="http://schemas.openxmlformats.org/drawingml/2006/main">
                <a:ext uri="{FF2B5EF4-FFF2-40B4-BE49-F238E27FC236}">
                  <a16:creationId xmlns:a16="http://schemas.microsoft.com/office/drawing/2014/main" id="{7233E10F-7278-4E79-A0EB-4CA380C1F8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4BD6E2A" w14:textId="49C466F9" w:rsidR="009F2D7A" w:rsidRPr="00D739A7" w:rsidRDefault="00CC253F"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54</w:t>
      </w:r>
      <w:r w:rsidRPr="00D739A7">
        <w:fldChar w:fldCharType="end"/>
      </w:r>
      <w:r w:rsidR="009F2D7A" w:rsidRPr="00D739A7">
        <w:t>. Gender breakdown of learners with an official decision of SEN in special schools, based on the enrolled school population (%)</w:t>
      </w:r>
    </w:p>
    <w:p w14:paraId="7237EFDC"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606E1F">
          <w:type w:val="continuous"/>
          <w:pgSz w:w="11899" w:h="16838"/>
          <w:pgMar w:top="1134" w:right="1551" w:bottom="1276" w:left="1418" w:header="709" w:footer="709" w:gutter="0"/>
          <w:cols w:num="2" w:space="710" w:equalWidth="0">
            <w:col w:w="3333" w:space="710"/>
            <w:col w:w="4887"/>
          </w:cols>
          <w:docGrid w:linePitch="360"/>
        </w:sectPr>
      </w:pPr>
    </w:p>
    <w:p w14:paraId="66F9CA5F"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Gender distribution of learners with an official decision of SEN in special schools, based on the enrolled school population (%)</w:t>
      </w:r>
    </w:p>
    <w:p w14:paraId="17D59DAB" w14:textId="77777777" w:rsidR="009F2D7A" w:rsidRPr="00D739A7" w:rsidRDefault="009F2D7A" w:rsidP="00C4448C">
      <w:pPr>
        <w:pStyle w:val="Agency-body-text-report"/>
      </w:pPr>
      <w:r w:rsidRPr="00D739A7">
        <w:t>The gender distributions have been calculated as follows:</w:t>
      </w:r>
    </w:p>
    <w:p w14:paraId="790E65F6" w14:textId="5B444B2B" w:rsidR="009F2D7A" w:rsidRPr="00D739A7" w:rsidRDefault="00EF3C3C" w:rsidP="00C4448C">
      <w:pPr>
        <w:pStyle w:val="Agency-body-text-report"/>
      </w:pPr>
      <w:r w:rsidRPr="00D739A7">
        <w:t>Boys</w:t>
      </w:r>
      <w:r w:rsidR="009F2D7A" w:rsidRPr="00D739A7">
        <w:t>: The number of boys with an official decision of SEN who are educated in separate special schools (</w:t>
      </w:r>
      <w:r w:rsidR="007237E0" w:rsidRPr="00D739A7">
        <w:t>Q3</w:t>
      </w:r>
      <w:r w:rsidR="009F2D7A" w:rsidRPr="00D739A7">
        <w:t>.4) / The number of learners with an official decision of SEN who are educated in separate special schools (Q3.4) x 100.</w:t>
      </w:r>
    </w:p>
    <w:p w14:paraId="386A7B17" w14:textId="660493F9" w:rsidR="009F2D7A" w:rsidRPr="00D739A7" w:rsidRDefault="00EF3C3C" w:rsidP="00C4448C">
      <w:pPr>
        <w:pStyle w:val="Agency-body-text-report"/>
      </w:pPr>
      <w:r w:rsidRPr="00D739A7">
        <w:t>Girls</w:t>
      </w:r>
      <w:r w:rsidR="009F2D7A" w:rsidRPr="00D739A7">
        <w:t>: The number of girls with an official decision of SEN who are educated in separate special schools (</w:t>
      </w:r>
      <w:r w:rsidR="007237E0" w:rsidRPr="00D739A7">
        <w:t>Q3</w:t>
      </w:r>
      <w:r w:rsidR="009F2D7A" w:rsidRPr="00D739A7">
        <w:t>.4) / The number of learners with an official decision of SEN who are educated in separate special schools (Q3.4) x 100.</w:t>
      </w:r>
    </w:p>
    <w:p w14:paraId="6800EA69" w14:textId="31327644" w:rsidR="009F2D7A" w:rsidRPr="00D739A7" w:rsidRDefault="009F2D7A" w:rsidP="00C4448C">
      <w:pPr>
        <w:pStyle w:val="Agency-body-text-report"/>
        <w:rPr>
          <w:bCs/>
        </w:rPr>
      </w:pPr>
      <w:r w:rsidRPr="00D739A7">
        <w:rPr>
          <w:bCs/>
        </w:rPr>
        <w:t>Data is available from 2</w:t>
      </w:r>
      <w:r w:rsidR="00546544" w:rsidRPr="00D739A7">
        <w:rPr>
          <w:bCs/>
        </w:rPr>
        <w:t>8</w:t>
      </w:r>
      <w:r w:rsidRPr="00D739A7">
        <w:rPr>
          <w:bCs/>
        </w:rPr>
        <w:t xml:space="preserve"> countries.</w:t>
      </w:r>
    </w:p>
    <w:p w14:paraId="062D9BCF" w14:textId="77EFD8E1" w:rsidR="009F2D7A" w:rsidRPr="00D739A7" w:rsidRDefault="009F2D7A" w:rsidP="00C4448C">
      <w:pPr>
        <w:pStyle w:val="Agency-body-text-report"/>
      </w:pPr>
      <w:r w:rsidRPr="00D739A7">
        <w:rPr>
          <w:bCs/>
        </w:rPr>
        <w:t>The proportion of boys with an official decision of SEN in special schools ranges from 5</w:t>
      </w:r>
      <w:r w:rsidR="005056E4" w:rsidRPr="00D739A7">
        <w:rPr>
          <w:bCs/>
        </w:rPr>
        <w:t>9.39</w:t>
      </w:r>
      <w:r w:rsidRPr="00D739A7">
        <w:t>% to 73.</w:t>
      </w:r>
      <w:r w:rsidR="005056E4" w:rsidRPr="00D739A7">
        <w:t>78</w:t>
      </w:r>
      <w:r w:rsidRPr="00D739A7">
        <w:t>%; the total average for the 2</w:t>
      </w:r>
      <w:r w:rsidR="00546544" w:rsidRPr="00D739A7">
        <w:t>8</w:t>
      </w:r>
      <w:r w:rsidRPr="00D739A7">
        <w:t xml:space="preserve"> countries is 6</w:t>
      </w:r>
      <w:r w:rsidR="005056E4" w:rsidRPr="00D739A7">
        <w:t>7.05</w:t>
      </w:r>
      <w:r w:rsidRPr="00D739A7">
        <w:t>%.</w:t>
      </w:r>
    </w:p>
    <w:p w14:paraId="06CBE9DC" w14:textId="47602932" w:rsidR="005056E4" w:rsidRPr="00D739A7" w:rsidRDefault="009F2D7A" w:rsidP="00C4448C">
      <w:pPr>
        <w:pStyle w:val="Agency-body-text-report"/>
      </w:pPr>
      <w:r w:rsidRPr="00D739A7">
        <w:rPr>
          <w:bCs/>
        </w:rPr>
        <w:t>The proportion of girls with an official decision of SEN in special schools ranges from 26.</w:t>
      </w:r>
      <w:r w:rsidR="005056E4" w:rsidRPr="00D739A7">
        <w:rPr>
          <w:bCs/>
        </w:rPr>
        <w:t>22</w:t>
      </w:r>
      <w:r w:rsidRPr="00D739A7">
        <w:t>% to 4</w:t>
      </w:r>
      <w:r w:rsidR="005056E4" w:rsidRPr="00D739A7">
        <w:t>0.61</w:t>
      </w:r>
      <w:r w:rsidRPr="00D739A7">
        <w:t>%; the total average for the 2</w:t>
      </w:r>
      <w:r w:rsidR="00546544" w:rsidRPr="00D739A7">
        <w:t>8</w:t>
      </w:r>
      <w:r w:rsidRPr="00D739A7">
        <w:t xml:space="preserve"> countries is 3</w:t>
      </w:r>
      <w:r w:rsidR="00AB7D3A" w:rsidRPr="00D739A7">
        <w:t>2.95</w:t>
      </w:r>
      <w:r w:rsidRPr="00D739A7">
        <w:t>%.</w:t>
      </w:r>
    </w:p>
    <w:p w14:paraId="0D7F231B" w14:textId="3102A8B8" w:rsidR="009F2D7A" w:rsidRPr="00D739A7" w:rsidRDefault="005056E4" w:rsidP="005056E4">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2AFD10FA" wp14:editId="00E42D23">
            <wp:extent cx="3067050" cy="7577751"/>
            <wp:effectExtent l="0" t="0" r="6350" b="17145"/>
            <wp:docPr id="70" name="Diagram 70" descr="Austria Boys 66.46 Girls 33.54&#10;Belgium (Fl) Boys 64.59 Girls 35.41&#10;Bulgaria Boys 60.73 Girls 39.27&#10;Czech Republic Boys 62.53 Girls 37.47&#10;Estonia Boys 68.09 Girls 31.91&#10;Finland Boys 70.02 Girls 29.98&#10;France Boys 68.13 Girls 31.87&#10;Germany Boys 65.89 Girls 34.11&#10;Greece Boys 66.55 Girls 33.45&#10;Iceland  Boys 73.78 Girls 26.22&#10;Ireland Boys 67.45 Girls 32.55&#10;Italy Boys 70.10 Girls 29.90&#10;Latvia Boys 66.21 Girls 33.79&#10;Lithuania Boys 64.53 Girls 35.47&#10;Luxembourg Boys 0.00 Girls 0.00&#10;Malta Boys 65.52 Girls 34.48&#10;Netherlands Boys 72.65 Girls 27.35 &#10;Poland Boys 64.72 Girls 35.28&#10;Portugal Boys 70.15 Girls 29.85&#10;Serbia Boys 64.32 Girls 35.68&#10;Slovakia Boys 59.39 Girls 40.61&#10;Slovenia Boys 59.94 Girls 40.06&#10;Spain Boys 63.36 Girls 36.64&#10;Sweden Boys 61.26 Girls 38.74&#10;Switzerland Boys 68.12 Girls 31.88&#10;UK (England) Boys 73.69 Girls 26.31&#10;UK (N. Ireland) Boys 70.76 Girls 29.24&#10;UK (Scotland) Boys 70.96 Girls 29.04&#10;UK (Wales) Boys 72.08 Girls 27.92&#10;Total average (29) Boys 67.05 Girls 32.95">
              <a:extLst xmlns:a="http://schemas.openxmlformats.org/drawingml/2006/main">
                <a:ext uri="{FF2B5EF4-FFF2-40B4-BE49-F238E27FC236}">
                  <a16:creationId xmlns:a16="http://schemas.microsoft.com/office/drawing/2014/main" id="{097E9D10-25D4-4A41-B07B-64EE694E4A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61726845" w14:textId="73DE83F8" w:rsidR="009F2D7A" w:rsidRPr="00D739A7" w:rsidRDefault="00CC253F"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55</w:t>
      </w:r>
      <w:r w:rsidRPr="00D739A7">
        <w:fldChar w:fldCharType="end"/>
      </w:r>
      <w:r w:rsidR="009F2D7A" w:rsidRPr="00D739A7">
        <w:t>. Gender distribution of learners with an official decision of SEN in special schools, based on the enrolled school population (%)</w:t>
      </w:r>
    </w:p>
    <w:p w14:paraId="7D17185F"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606E1F">
          <w:type w:val="continuous"/>
          <w:pgSz w:w="11899" w:h="16838"/>
          <w:pgMar w:top="1134" w:right="1551" w:bottom="1276" w:left="1418" w:header="709" w:footer="709" w:gutter="0"/>
          <w:cols w:num="2" w:space="710" w:equalWidth="0">
            <w:col w:w="3333" w:space="710"/>
            <w:col w:w="4887"/>
          </w:cols>
          <w:docGrid w:linePitch="360"/>
        </w:sectPr>
      </w:pPr>
    </w:p>
    <w:p w14:paraId="7A0EF7A2"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ISCED breakdown of learners with an official decision of SEN in special schools, based on the enrolled school population (%)</w:t>
      </w:r>
    </w:p>
    <w:p w14:paraId="2B3EFD43" w14:textId="77777777" w:rsidR="009F2D7A" w:rsidRPr="00D739A7" w:rsidRDefault="009F2D7A" w:rsidP="00C4448C">
      <w:pPr>
        <w:pStyle w:val="Agency-body-text-report"/>
      </w:pPr>
      <w:r w:rsidRPr="00D739A7">
        <w:t>The ISCED breakdowns have been calculated as follows:</w:t>
      </w:r>
    </w:p>
    <w:p w14:paraId="2A86AD1C" w14:textId="77777777" w:rsidR="009F2D7A" w:rsidRPr="00D739A7" w:rsidRDefault="009F2D7A" w:rsidP="00C4448C">
      <w:pPr>
        <w:pStyle w:val="Agency-body-text-report"/>
      </w:pPr>
      <w:r w:rsidRPr="00D739A7">
        <w:t>ISCED 1: The number of learners in ISCED 1 with an official decision of SEN who are educated in separate special schools (Q3.4) / The number of learners who are enrolled in all formal educational settings (Q1.2) x 100.</w:t>
      </w:r>
    </w:p>
    <w:p w14:paraId="0BABE6BD" w14:textId="77777777" w:rsidR="009F2D7A" w:rsidRPr="00D739A7" w:rsidRDefault="009F2D7A" w:rsidP="00C4448C">
      <w:pPr>
        <w:pStyle w:val="Agency-body-text-report"/>
      </w:pPr>
      <w:r w:rsidRPr="00D739A7">
        <w:t>ISCED 2: The number of learners in ISCED 2 with an official decision of SEN who are educated in separate special schools (Q3.4) / The number of learners who are enrolled in all formal educational settings (Q1.2) x 100.</w:t>
      </w:r>
    </w:p>
    <w:p w14:paraId="5CBF92C9" w14:textId="77777777" w:rsidR="009F2D7A" w:rsidRPr="00D739A7" w:rsidRDefault="009F2D7A" w:rsidP="00C4448C">
      <w:pPr>
        <w:pStyle w:val="Agency-body-text-report"/>
      </w:pPr>
      <w:r w:rsidRPr="00D739A7">
        <w:t>Data is available from 30 countries.</w:t>
      </w:r>
    </w:p>
    <w:p w14:paraId="3C6F16B7" w14:textId="7597AAF2" w:rsidR="009F2D7A" w:rsidRPr="00D739A7" w:rsidRDefault="009F2D7A" w:rsidP="00C4448C">
      <w:pPr>
        <w:pStyle w:val="Agency-body-text-report"/>
      </w:pPr>
      <w:r w:rsidRPr="00D739A7">
        <w:t>The special school enrolment rates in ISCED 1 range from</w:t>
      </w:r>
      <w:r w:rsidR="0002117F" w:rsidRPr="00D739A7">
        <w:t xml:space="preserve"> 0.02</w:t>
      </w:r>
      <w:r w:rsidRPr="00D739A7">
        <w:t xml:space="preserve">% to </w:t>
      </w:r>
      <w:r w:rsidR="00AB7D3A" w:rsidRPr="00D739A7">
        <w:t>3.43</w:t>
      </w:r>
      <w:r w:rsidRPr="00D739A7">
        <w:t>%; the total average for the 30 countries is 0.7</w:t>
      </w:r>
      <w:r w:rsidR="00AB7D3A" w:rsidRPr="00D739A7">
        <w:t>0</w:t>
      </w:r>
      <w:r w:rsidRPr="00D739A7">
        <w:t>%.</w:t>
      </w:r>
    </w:p>
    <w:p w14:paraId="0CC74153" w14:textId="7ECD9697" w:rsidR="009F2D7A" w:rsidRPr="00D739A7" w:rsidRDefault="009F2D7A" w:rsidP="00C4448C">
      <w:pPr>
        <w:pStyle w:val="Agency-body-text-report"/>
      </w:pPr>
      <w:r w:rsidRPr="00D739A7">
        <w:t xml:space="preserve">The special school enrolment rates in ISCED 2 range from 0.00% to </w:t>
      </w:r>
      <w:r w:rsidR="00AB7D3A" w:rsidRPr="00D739A7">
        <w:t>2.63</w:t>
      </w:r>
      <w:r w:rsidRPr="00D739A7">
        <w:t>%; the total average for the 30 countries is 0.</w:t>
      </w:r>
      <w:r w:rsidR="00AB7D3A" w:rsidRPr="00D739A7">
        <w:t>72</w:t>
      </w:r>
      <w:r w:rsidRPr="00D739A7">
        <w:t>%.</w:t>
      </w:r>
    </w:p>
    <w:p w14:paraId="513D530E" w14:textId="3588CD9F" w:rsidR="009F2D7A" w:rsidRPr="00D739A7" w:rsidRDefault="00AB7D3A" w:rsidP="00AB7D3A">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585724C" wp14:editId="5193A699">
            <wp:extent cx="3103880" cy="7578090"/>
            <wp:effectExtent l="0" t="0" r="7620" b="16510"/>
            <wp:docPr id="71" name="Diagram 71" descr="Austria ISCED 1 - 0.40 ISCED 2 - 0.64&#10;Belgium (Fl) ISCED 1 - 3.43 ISCED 2 - 2.63&#10;Bulgaria ISCED 1 - 0.27 ISCED 2 - 0.26&#10;Czech Republic ISCED 1 - 1.24 ISCED 2 - 1.36&#10;Estonia ISCED 1 - 1.46 ISCED 2 - 1.17&#10;Finland ISCED 1 - 0.40 ISCED 2 - 0.33&#10;France ISCED 1 - 0.52 ISCED 2 - 0.07&#10;Germany ISCED 1 - 1.15 ISCED 2 - 1.94&#10;Greece ISCED 1 - 0.42 ISCED 2 - 0.53&#10;Iceland  ISCED 1 - 0.25 ISCED 2 - 0.11&#10;Ireland ISCED 1 - 0.39 ISCED 2 - 0.38&#10;Italy ISCED 1 - 0.03 ISCED 2 - 0.00&#10;Latvia ISCED 1 - 2.02 ISCED 2 - 1.23&#10;Lithuania ISCED 1 - 0.38 ISCED 2 - 0.72&#10;Luxembourg ISCED 1 - 0.18 ISCED 2 - 0.17&#10;Malta ISCED 1 - 0.12 ISCED 2 - 0.41&#10;Netherlands ISCED 1 - 1.31 ISCED 2 - 1.89&#10;Norway ISCED 1 - 0.10 ISCED 2 - 0.12&#10;Poland ISCED 1 - 0.84 ISCED 2 - 0.68&#10;Portugal ISCED 1 - 0.02 ISCED 2 - 0.09&#10;Serbia ISCED 1 - 0.23 ISCED 2 - 0.32&#10;Slovakia ISCED 1 - 1.69 ISCED 2 - 1.97&#10;Slovenia ISCED 1 - 1.26 ISCED 2 - 0.49&#10;Spain ISCED 1 - 0.35 ISCED 2 - 0.22&#10;Sweden ISCED 1 - 0.53 ISCED 2 - 0.37&#10;Switzerland ISCED 1 - 1.17 ISCED 2 - 0.79&#10;UK (England) ISCED 1 - 0.69 ISCED 2 - 0.57&#10;UK (N. Ireland) ISCED 1 - 0.86 ISCED 2 - 0.66&#10;UK (Scotland) ISCED 1 - 0.54 ISCED 2 - 0.32&#10;UK (Wales) ISCED 1 - 0.35 ISCED 2 - 0.53&#10;Total average (30) ISCED 1 - 0.70 ISCED 2 - 0.72">
              <a:extLst xmlns:a="http://schemas.openxmlformats.org/drawingml/2006/main">
                <a:ext uri="{FF2B5EF4-FFF2-40B4-BE49-F238E27FC236}">
                  <a16:creationId xmlns:a16="http://schemas.microsoft.com/office/drawing/2014/main" id="{7E495FD6-3FF5-4257-B9AE-25C6C46641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8A81248" w14:textId="67AF43C2" w:rsidR="009F2D7A" w:rsidRPr="00D739A7" w:rsidRDefault="002B3830"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56</w:t>
      </w:r>
      <w:r w:rsidRPr="00D739A7">
        <w:fldChar w:fldCharType="end"/>
      </w:r>
      <w:r w:rsidR="009F2D7A" w:rsidRPr="00D739A7">
        <w:t>. ISCED breakdown of learners with an official decision of SEN in special schools, based on the enrolled school population (%)</w:t>
      </w:r>
    </w:p>
    <w:p w14:paraId="22D237F6"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606E1F">
          <w:type w:val="continuous"/>
          <w:pgSz w:w="11899" w:h="16838"/>
          <w:pgMar w:top="1134" w:right="1551" w:bottom="1276" w:left="1418" w:header="709" w:footer="709" w:gutter="0"/>
          <w:cols w:num="2" w:space="710" w:equalWidth="0">
            <w:col w:w="3333" w:space="710"/>
            <w:col w:w="4887"/>
          </w:cols>
          <w:docGrid w:linePitch="360"/>
        </w:sectPr>
      </w:pPr>
    </w:p>
    <w:p w14:paraId="75B9B01B" w14:textId="77777777" w:rsidR="009F2D7A" w:rsidRPr="00D739A7" w:rsidRDefault="009F2D7A" w:rsidP="004A29D9">
      <w:pPr>
        <w:pStyle w:val="Agency-heading-4-report"/>
        <w:rPr>
          <w:bCs w:val="0"/>
          <w:i w:val="0"/>
        </w:rPr>
        <w:sectPr w:rsidR="009F2D7A" w:rsidRPr="00D739A7" w:rsidSect="00751B98">
          <w:pgSz w:w="11899" w:h="16838"/>
          <w:pgMar w:top="1134" w:right="1551" w:bottom="1276" w:left="1418" w:header="709" w:footer="709" w:gutter="0"/>
          <w:cols w:space="710"/>
          <w:docGrid w:linePitch="360"/>
        </w:sectPr>
      </w:pPr>
      <w:r w:rsidRPr="00D739A7">
        <w:lastRenderedPageBreak/>
        <w:t>ISCED distribution of learners with an official decision of SEN in special schools, based on the enrolled school population (%)</w:t>
      </w:r>
    </w:p>
    <w:p w14:paraId="6FA5F08B" w14:textId="77777777" w:rsidR="009F2D7A" w:rsidRPr="00D739A7" w:rsidRDefault="009F2D7A" w:rsidP="00C4448C">
      <w:pPr>
        <w:pStyle w:val="Agency-body-text-report"/>
      </w:pPr>
      <w:r w:rsidRPr="00D739A7">
        <w:t>The ISCED distributions have been calculated as follows:</w:t>
      </w:r>
    </w:p>
    <w:p w14:paraId="4C0A04B3" w14:textId="77777777" w:rsidR="009F2D7A" w:rsidRPr="00D739A7" w:rsidRDefault="009F2D7A" w:rsidP="00C4448C">
      <w:pPr>
        <w:pStyle w:val="Agency-body-text-report"/>
      </w:pPr>
      <w:r w:rsidRPr="00D739A7">
        <w:t>ISCED 1: The number of learners in ISCED 1 with an official decision of SEN who are educated in separate special schools (Q3.4) / The number of learners in ISCED 1 who are enrolled in all formal educational settings (Q1.2) x 100.</w:t>
      </w:r>
    </w:p>
    <w:p w14:paraId="376318C6" w14:textId="77777777" w:rsidR="009F2D7A" w:rsidRPr="00D739A7" w:rsidRDefault="009F2D7A" w:rsidP="00C4448C">
      <w:pPr>
        <w:pStyle w:val="Agency-body-text-report"/>
      </w:pPr>
      <w:r w:rsidRPr="00D739A7">
        <w:t>ISCED 2: The number of learners in ISCED 2 with an official decision of SEN who are educated in separate special schools (Q3.4) / The number of learners in ISCED 2 who are enrolled in all formal educational settings (Q1.2) x 100.</w:t>
      </w:r>
    </w:p>
    <w:p w14:paraId="6FBA4449" w14:textId="77777777" w:rsidR="009F2D7A" w:rsidRPr="00D739A7" w:rsidRDefault="009F2D7A" w:rsidP="00C4448C">
      <w:pPr>
        <w:pStyle w:val="Agency-body-text-report"/>
      </w:pPr>
      <w:r w:rsidRPr="00D739A7">
        <w:t>Data is available from 30 countries.</w:t>
      </w:r>
    </w:p>
    <w:p w14:paraId="57DA94FC" w14:textId="58ADB21D" w:rsidR="009F2D7A" w:rsidRPr="00D739A7" w:rsidRDefault="00F13636" w:rsidP="00C4448C">
      <w:pPr>
        <w:pStyle w:val="Agency-body-text-report"/>
      </w:pPr>
      <w:r w:rsidRPr="00D739A7">
        <w:t>Within ISCED 1, t</w:t>
      </w:r>
      <w:r w:rsidR="009F2D7A" w:rsidRPr="00D739A7">
        <w:t>he proportion of learners with an official decision of SEN in special schools ranges from 0.0</w:t>
      </w:r>
      <w:r w:rsidR="00727901" w:rsidRPr="00D739A7">
        <w:t>3</w:t>
      </w:r>
      <w:r w:rsidR="009F2D7A" w:rsidRPr="00D739A7">
        <w:t xml:space="preserve">% to </w:t>
      </w:r>
      <w:r w:rsidR="00AB7D3A" w:rsidRPr="00D739A7">
        <w:t>5.20</w:t>
      </w:r>
      <w:r w:rsidR="009F2D7A" w:rsidRPr="00D739A7">
        <w:t>%; the total average for the 30 countries is 1.</w:t>
      </w:r>
      <w:r w:rsidR="00AB7D3A" w:rsidRPr="00D739A7">
        <w:t>18</w:t>
      </w:r>
      <w:r w:rsidR="009F2D7A" w:rsidRPr="00D739A7">
        <w:t>%.</w:t>
      </w:r>
    </w:p>
    <w:p w14:paraId="77927A1C" w14:textId="15B8B9A0" w:rsidR="009F2D7A" w:rsidRPr="00D739A7" w:rsidRDefault="00F13636" w:rsidP="00C4448C">
      <w:pPr>
        <w:pStyle w:val="Agency-body-text-report"/>
      </w:pPr>
      <w:r w:rsidRPr="00D739A7">
        <w:t>Within ISCED 2, t</w:t>
      </w:r>
      <w:r w:rsidR="009F2D7A" w:rsidRPr="00D739A7">
        <w:t xml:space="preserve">he proportion of learners with an official decision of SEN in special schools ranges from 0.01% to </w:t>
      </w:r>
      <w:r w:rsidR="00AB7D3A" w:rsidRPr="00D739A7">
        <w:t>7.75</w:t>
      </w:r>
      <w:r w:rsidR="009F2D7A" w:rsidRPr="00D739A7">
        <w:t>%; the total average for the 30 countries is 1.</w:t>
      </w:r>
      <w:r w:rsidR="00AB7D3A" w:rsidRPr="00D739A7">
        <w:t>7</w:t>
      </w:r>
      <w:r w:rsidR="009F2D7A" w:rsidRPr="00D739A7">
        <w:t>5%.</w:t>
      </w:r>
    </w:p>
    <w:p w14:paraId="61E6FF7F" w14:textId="0536BE07" w:rsidR="009F2D7A" w:rsidRPr="00D739A7" w:rsidRDefault="00AB7D3A" w:rsidP="00AB7D3A">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6322B5E2" wp14:editId="1284B5FC">
            <wp:extent cx="3041650" cy="7588250"/>
            <wp:effectExtent l="0" t="0" r="6350" b="6350"/>
            <wp:docPr id="72" name="Diagram 72" descr="Austria ISCED 1 - 0.73 ISCED 2 - 1.42&#10;Belgium (Fl) ISCED 1 - 5.20 ISCED 2 - 7.75&#10;Bulgaria ISCED 1 - 0.46 ISCED 2 - 0.63&#10;Czech Republic ISCED 1 - 2.07 ISCED 2 - 3.41&#10;Estonia ISCED 1 - 2.08 ISCED 2 - 3.92&#10;Finland ISCED 1 - 0.60 ISCED 2 - 0.99&#10;France ISCED 1 - 0.92 ISCED 2 - 0.15&#10;Germany ISCED 1 - 2.92 ISCED 2 - 3.20&#10;Greece ISCED 1 - 0.63 ISCED 2 - 1.61&#10;Iceland  ISCED 1 - 0.35 ISCED 2 - 0.41&#10;Ireland ISCED 1 - 0.52 ISCED 2 - 1.48&#10;Italy ISCED 1 - 0.04 ISCED 2 - 0.01&#10;Latvia ISCED 1 - 2.95 ISCED 2 - 3.89&#10;Lithuania ISCED 1 - 0.93 ISCED 2 - 1.22&#10;Luxembourg ISCED 1 - 0.29 ISCED 2 - 0.47&#10;Malta ISCED 1 - 0.17 ISCED 2 - 1.26&#10;Netherlands ISCED 1 - 2.20 ISCED 2 - 4.65&#10;Norway ISCED 1 - 0.15 ISCED 2 - 0.41&#10;Poland ISCED 1 - 1.23 ISCED 2 - 2.16&#10;Portugal ISCED 1 - 0.03 ISCED 2 - 0.26&#10;Serbia ISCED 1 - 0.45 ISCED 2 - 0.65&#10;Slovakia ISCED 1 - 3.57 ISCED 2 - 3.73&#10;Slovenia ISCED 1 - 1.79 ISCED 2 - 1.65&#10;Spain ISCED 1 - 0.54 ISCED 2 - 0.62&#10;Sweden ISCED 1 - 0.79 ISCED 2 - 1.16&#10;Switzerland ISCED 1 - 1.76 ISCED 2 - 2.36&#10;UK (England) ISCED 1 - 1.00 ISCED 2 - 1.84&#10;UK (N. Ireland) ISCED 1 - 1.43 ISCED 2 - 1.65&#10;UK (Scotland) ISCED 1 - 0.82 ISCED 2 - 0.94&#10;UK (Wales) ISCED 1 - 0.62 ISCED 2 - 1.23&#10;Total average (30) ISCED 1 - 1.18 ISCED 2 - 1.75">
              <a:extLst xmlns:a="http://schemas.openxmlformats.org/drawingml/2006/main">
                <a:ext uri="{FF2B5EF4-FFF2-40B4-BE49-F238E27FC236}">
                  <a16:creationId xmlns:a16="http://schemas.microsoft.com/office/drawing/2014/main" id="{07FD19AD-1A57-4670-8D70-BB539FC5DD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75E49648" w14:textId="60D107F3" w:rsidR="009F2D7A" w:rsidRPr="00D739A7" w:rsidRDefault="002B3830"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57</w:t>
      </w:r>
      <w:r w:rsidRPr="00D739A7">
        <w:fldChar w:fldCharType="end"/>
      </w:r>
      <w:r w:rsidR="009F2D7A" w:rsidRPr="00D739A7">
        <w:t>. ISCED distribution of learners with an official decision of SEN in special schools, based on the enrolled school population (%)</w:t>
      </w:r>
    </w:p>
    <w:p w14:paraId="5D663E9E"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0265AE">
          <w:type w:val="continuous"/>
          <w:pgSz w:w="11899" w:h="16838"/>
          <w:pgMar w:top="1134" w:right="1551" w:bottom="1276" w:left="1418" w:header="709" w:footer="709" w:gutter="0"/>
          <w:cols w:num="2" w:space="710" w:equalWidth="0">
            <w:col w:w="3333" w:space="710"/>
            <w:col w:w="4887"/>
          </w:cols>
          <w:docGrid w:linePitch="360"/>
        </w:sectPr>
      </w:pPr>
    </w:p>
    <w:p w14:paraId="66E3410D" w14:textId="4712134B" w:rsidR="009F2D7A" w:rsidRPr="00D739A7" w:rsidRDefault="00436B97" w:rsidP="004A29D9">
      <w:pPr>
        <w:pStyle w:val="Agency-heading-3-report"/>
        <w:rPr>
          <w:b w:val="0"/>
        </w:rPr>
        <w:sectPr w:rsidR="009F2D7A" w:rsidRPr="00D739A7" w:rsidSect="00751B98">
          <w:type w:val="continuous"/>
          <w:pgSz w:w="11899" w:h="16838"/>
          <w:pgMar w:top="1134" w:right="1551" w:bottom="1276" w:left="1418" w:header="709" w:footer="709" w:gutter="0"/>
          <w:cols w:space="710"/>
          <w:docGrid w:linePitch="360"/>
        </w:sectPr>
      </w:pPr>
      <w:bookmarkStart w:id="63" w:name="_Toc35943053"/>
      <w:r w:rsidRPr="00D739A7">
        <w:lastRenderedPageBreak/>
        <w:t>Indicator </w:t>
      </w:r>
      <w:r w:rsidR="00903978" w:rsidRPr="00D739A7">
        <w:t>2.</w:t>
      </w:r>
      <w:r w:rsidRPr="00D739A7">
        <w:t>3</w:t>
      </w:r>
      <w:r w:rsidR="009F2D7A" w:rsidRPr="00D739A7">
        <w:t>b.5: the percentage of learners with an official decision of SEN in fully separate educational settings, based on the enrolled school population (%)</w:t>
      </w:r>
      <w:bookmarkEnd w:id="63"/>
    </w:p>
    <w:p w14:paraId="37437F24" w14:textId="31805B41" w:rsidR="009F2D7A" w:rsidRPr="00D739A7" w:rsidRDefault="009F2D7A" w:rsidP="00C4448C">
      <w:pPr>
        <w:pStyle w:val="Agency-body-text-report"/>
      </w:pPr>
      <w:r w:rsidRPr="00D739A7">
        <w:t>The data focuses on learners with an official decision of SEN</w:t>
      </w:r>
      <w:r w:rsidR="00F65254" w:rsidRPr="00D739A7">
        <w:t>,</w:t>
      </w:r>
      <w:r w:rsidRPr="00D739A7">
        <w:t xml:space="preserve"> in line with the EASIE operational definition, who are enrolled in fully separate educational settings, i.e. special classes and special schools</w:t>
      </w:r>
      <w:r w:rsidR="00F65254" w:rsidRPr="00D739A7">
        <w:t>,</w:t>
      </w:r>
      <w:r w:rsidRPr="00D739A7">
        <w:t xml:space="preserve"> in line with the 80% placement benchmark (or the most relevant proxy for this benchmark).</w:t>
      </w:r>
    </w:p>
    <w:p w14:paraId="337165BD" w14:textId="77777777" w:rsidR="009F2D7A" w:rsidRPr="00D739A7" w:rsidRDefault="009F2D7A" w:rsidP="00C4448C">
      <w:pPr>
        <w:pStyle w:val="Agency-body-text-report"/>
      </w:pPr>
      <w:r w:rsidRPr="00D739A7">
        <w:t>This indicator has been calculated as follows: The number of learners with an official decision of SEN who are educated in separate special classes in mainstream schools (Q3.3) + The number of learners with an official decision of SEN who are educated in separate special schools (Q3.4) / The number of learners who are enrolled in all formal educational settings (Q1.2) x 100.</w:t>
      </w:r>
    </w:p>
    <w:p w14:paraId="2058DF73" w14:textId="404F9F29" w:rsidR="009F2D7A" w:rsidRPr="00D739A7" w:rsidRDefault="009F2D7A" w:rsidP="00C4448C">
      <w:pPr>
        <w:pStyle w:val="Agency-body-text-report"/>
      </w:pPr>
      <w:r w:rsidRPr="00D739A7">
        <w:t>Data is available from 2</w:t>
      </w:r>
      <w:r w:rsidR="00AE250B" w:rsidRPr="00D739A7">
        <w:t>3</w:t>
      </w:r>
      <w:r w:rsidRPr="00D739A7">
        <w:t xml:space="preserve"> countries.</w:t>
      </w:r>
    </w:p>
    <w:p w14:paraId="0C8105D0" w14:textId="1E8F6D4D" w:rsidR="009F2D7A" w:rsidRPr="00D739A7" w:rsidRDefault="009F2D7A" w:rsidP="00C4448C">
      <w:pPr>
        <w:pStyle w:val="Agency-body-text-report"/>
      </w:pPr>
      <w:r w:rsidRPr="00D739A7">
        <w:t>The fully separate enrolment rates for learners with an official decision of SEN range from 0.55% to 5.</w:t>
      </w:r>
      <w:r w:rsidR="00AE250B" w:rsidRPr="00D739A7">
        <w:t>63</w:t>
      </w:r>
      <w:r w:rsidRPr="00D739A7">
        <w:t>%; the total average for the 2</w:t>
      </w:r>
      <w:r w:rsidR="00AE250B" w:rsidRPr="00D739A7">
        <w:t>3</w:t>
      </w:r>
      <w:r w:rsidRPr="00D739A7">
        <w:t xml:space="preserve"> countries is 1.</w:t>
      </w:r>
      <w:r w:rsidR="00AE250B" w:rsidRPr="00D739A7">
        <w:t>55</w:t>
      </w:r>
      <w:r w:rsidRPr="00D739A7">
        <w:t>%.</w:t>
      </w:r>
    </w:p>
    <w:p w14:paraId="664671C1" w14:textId="0E054A19" w:rsidR="009F2D7A" w:rsidRPr="00D739A7" w:rsidRDefault="00AE250B" w:rsidP="00AE250B">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4E2165AF" wp14:editId="3FCCF7DE">
            <wp:extent cx="3041650" cy="7586804"/>
            <wp:effectExtent l="0" t="0" r="6350" b="8255"/>
            <wp:docPr id="73" name="Diagram 73" descr="Austria 2.09&#10;Bulgaria 0.55&#10;Czech Republic 3.24&#10;Estonia 4.62&#10;Finland 4.54&#10;France 1.39&#10;Greece 1.02&#10;Iceland  1.26&#10;Ireland 1.42&#10;Latvia 4.09&#10;Lithuania 1.43&#10;Luxembourg 0.75&#10;Norway 0.64&#10;Poland 1.63&#10;Portugal 1.12&#10;Serbia 0.79&#10;Slovakia 5.63&#10;Slovenia 2.03&#10;Spain 0.72&#10;Switzerland 3.86&#10;UK (England) 1.35&#10;UK (N. Ireland) 2.33&#10;UK (Wales) 1.56&#10;Total average (23) 1.55">
              <a:extLst xmlns:a="http://schemas.openxmlformats.org/drawingml/2006/main">
                <a:ext uri="{FF2B5EF4-FFF2-40B4-BE49-F238E27FC236}">
                  <a16:creationId xmlns:a16="http://schemas.microsoft.com/office/drawing/2014/main" id="{A1E0A2B1-3BB9-4561-B0A7-DBCEC1C3FD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786D474" w14:textId="19EDA975" w:rsidR="009F2D7A" w:rsidRPr="00D739A7" w:rsidRDefault="002B3830"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58</w:t>
      </w:r>
      <w:r w:rsidRPr="00D739A7">
        <w:fldChar w:fldCharType="end"/>
      </w:r>
      <w:r w:rsidR="009F2D7A" w:rsidRPr="00D739A7">
        <w:t>. Percentage of learners with an official decision of SEN in fully separate educational settings, based on the enrolled school population (%)</w:t>
      </w:r>
    </w:p>
    <w:p w14:paraId="4A9129BA"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0265AE">
          <w:type w:val="continuous"/>
          <w:pgSz w:w="11899" w:h="16838"/>
          <w:pgMar w:top="1134" w:right="1551" w:bottom="1276" w:left="1418" w:header="709" w:footer="709" w:gutter="0"/>
          <w:cols w:num="2" w:space="710" w:equalWidth="0">
            <w:col w:w="3333" w:space="710"/>
            <w:col w:w="4887"/>
          </w:cols>
          <w:docGrid w:linePitch="360"/>
        </w:sectPr>
      </w:pPr>
    </w:p>
    <w:p w14:paraId="3DFA9844" w14:textId="77777777" w:rsidR="009F2D7A" w:rsidRPr="00D739A7" w:rsidRDefault="009F2D7A" w:rsidP="004A29D9">
      <w:pPr>
        <w:pStyle w:val="Agency-heading-4-report"/>
      </w:pPr>
      <w:r w:rsidRPr="00D739A7">
        <w:lastRenderedPageBreak/>
        <w:t>Gender breakdown of learners with an official decision of SEN in fully separate educational settings, based on the enrolled school population (%)</w:t>
      </w:r>
    </w:p>
    <w:p w14:paraId="51B03E6C"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71578747" w14:textId="77777777" w:rsidR="009F2D7A" w:rsidRPr="00D739A7" w:rsidRDefault="009F2D7A" w:rsidP="00F65254">
      <w:pPr>
        <w:pStyle w:val="Agency-body-text-report"/>
      </w:pPr>
      <w:r w:rsidRPr="00D739A7">
        <w:t>The gender breakdowns have been calculated as follows:</w:t>
      </w:r>
    </w:p>
    <w:p w14:paraId="45EDAB06" w14:textId="2A8DE9A8" w:rsidR="009F2D7A" w:rsidRPr="00D739A7" w:rsidRDefault="00EF3C3C" w:rsidP="00F65254">
      <w:pPr>
        <w:pStyle w:val="Agency-body-text-report"/>
      </w:pPr>
      <w:r w:rsidRPr="00D739A7">
        <w:t>Boys</w:t>
      </w:r>
      <w:r w:rsidR="009F2D7A" w:rsidRPr="00D739A7">
        <w:t>: The number of boys with an official decision of SEN who are educated in separate special classes in mainstream schools (</w:t>
      </w:r>
      <w:r w:rsidR="007237E0" w:rsidRPr="00D739A7">
        <w:t>Q3</w:t>
      </w:r>
      <w:r w:rsidR="009F2D7A" w:rsidRPr="00D739A7">
        <w:t>.3) + The number of boys with an official decision of SEN who are educated in separate special schools (</w:t>
      </w:r>
      <w:r w:rsidR="007237E0" w:rsidRPr="00D739A7">
        <w:t>Q3</w:t>
      </w:r>
      <w:r w:rsidR="009F2D7A" w:rsidRPr="00D739A7">
        <w:t>.4) / The number of learners who are enrolled in all formal educational settings (Q1.2) x 100.</w:t>
      </w:r>
    </w:p>
    <w:p w14:paraId="49C6E550" w14:textId="222DFD5E" w:rsidR="009F2D7A" w:rsidRPr="00D739A7" w:rsidRDefault="00EF3C3C" w:rsidP="00F65254">
      <w:pPr>
        <w:pStyle w:val="Agency-body-text-report"/>
      </w:pPr>
      <w:r w:rsidRPr="00D739A7">
        <w:t>Girls</w:t>
      </w:r>
      <w:r w:rsidR="009F2D7A" w:rsidRPr="00D739A7">
        <w:t>: The number of girls with an official decision of SEN who are educated in separate special classes in mainstream schools (</w:t>
      </w:r>
      <w:r w:rsidR="007237E0" w:rsidRPr="00D739A7">
        <w:t>Q3</w:t>
      </w:r>
      <w:r w:rsidR="009F2D7A" w:rsidRPr="00D739A7">
        <w:t>.3) + The number of girls with an official decision of SEN who are educated in separate special schools (</w:t>
      </w:r>
      <w:r w:rsidR="007237E0" w:rsidRPr="00D739A7">
        <w:t>Q3</w:t>
      </w:r>
      <w:r w:rsidR="009F2D7A" w:rsidRPr="00D739A7">
        <w:t>.4) / The number of learners who are enrolled in all formal educational settings (Q1.2) x 100.</w:t>
      </w:r>
    </w:p>
    <w:p w14:paraId="6E58099F" w14:textId="093746D4" w:rsidR="009F2D7A" w:rsidRPr="00D739A7" w:rsidRDefault="009F2D7A" w:rsidP="00F65254">
      <w:pPr>
        <w:pStyle w:val="Agency-body-text-report"/>
        <w:rPr>
          <w:bCs/>
        </w:rPr>
      </w:pPr>
      <w:r w:rsidRPr="00D739A7">
        <w:rPr>
          <w:bCs/>
        </w:rPr>
        <w:t xml:space="preserve">Data is available from </w:t>
      </w:r>
      <w:r w:rsidR="00AE250B" w:rsidRPr="00D739A7">
        <w:rPr>
          <w:bCs/>
        </w:rPr>
        <w:t>21</w:t>
      </w:r>
      <w:r w:rsidRPr="00D739A7">
        <w:rPr>
          <w:bCs/>
        </w:rPr>
        <w:t xml:space="preserve"> countries.</w:t>
      </w:r>
    </w:p>
    <w:p w14:paraId="4276179E" w14:textId="21E45FD4" w:rsidR="009F2D7A" w:rsidRPr="00D739A7" w:rsidRDefault="009F2D7A" w:rsidP="00F65254">
      <w:pPr>
        <w:pStyle w:val="Agency-body-text-report"/>
      </w:pPr>
      <w:r w:rsidRPr="00D739A7">
        <w:t xml:space="preserve">The fully separate placement enrolment rates for </w:t>
      </w:r>
      <w:r w:rsidR="00EF3C3C" w:rsidRPr="00D739A7">
        <w:t>boys</w:t>
      </w:r>
      <w:r w:rsidRPr="00D739A7">
        <w:t xml:space="preserve"> with an official decision of SEN range from 0.3</w:t>
      </w:r>
      <w:r w:rsidR="00AE250B" w:rsidRPr="00D739A7">
        <w:t>3</w:t>
      </w:r>
      <w:r w:rsidRPr="00D739A7">
        <w:t>% to</w:t>
      </w:r>
      <w:r w:rsidR="0002117F" w:rsidRPr="00D739A7">
        <w:t xml:space="preserve"> 3.29</w:t>
      </w:r>
      <w:r w:rsidRPr="00D739A7">
        <w:t xml:space="preserve">%; the total average for the </w:t>
      </w:r>
      <w:r w:rsidR="00AE250B" w:rsidRPr="00D739A7">
        <w:t>21</w:t>
      </w:r>
      <w:r w:rsidRPr="00D739A7">
        <w:t xml:space="preserve"> countries is 1.</w:t>
      </w:r>
      <w:r w:rsidR="00AE250B" w:rsidRPr="00D739A7">
        <w:t>05</w:t>
      </w:r>
      <w:r w:rsidRPr="00D739A7">
        <w:t>%.</w:t>
      </w:r>
    </w:p>
    <w:p w14:paraId="1F509CAF" w14:textId="513D05AE" w:rsidR="00F65254" w:rsidRPr="00D739A7" w:rsidRDefault="009F2D7A" w:rsidP="00F65254">
      <w:pPr>
        <w:pStyle w:val="Agency-body-text-report"/>
      </w:pPr>
      <w:r w:rsidRPr="00D739A7">
        <w:t xml:space="preserve">The fully separate placement enrolment rates for </w:t>
      </w:r>
      <w:r w:rsidR="00EF3C3C" w:rsidRPr="00D739A7">
        <w:t>girls</w:t>
      </w:r>
      <w:r w:rsidRPr="00D739A7">
        <w:t xml:space="preserve"> with an official decision of SEN range from 0.2</w:t>
      </w:r>
      <w:r w:rsidR="00AE250B" w:rsidRPr="00D739A7">
        <w:t>2</w:t>
      </w:r>
      <w:r w:rsidRPr="00D739A7">
        <w:t>% to 2.</w:t>
      </w:r>
      <w:r w:rsidR="00AE250B" w:rsidRPr="00D739A7">
        <w:t>38</w:t>
      </w:r>
      <w:r w:rsidRPr="00D739A7">
        <w:t xml:space="preserve">%; the total average for the </w:t>
      </w:r>
      <w:r w:rsidR="00AE250B" w:rsidRPr="00D739A7">
        <w:t>21</w:t>
      </w:r>
      <w:r w:rsidRPr="00D739A7">
        <w:t xml:space="preserve"> countries is 0.</w:t>
      </w:r>
      <w:r w:rsidR="00AE250B" w:rsidRPr="00D739A7">
        <w:t>53</w:t>
      </w:r>
      <w:r w:rsidRPr="00D739A7">
        <w:t>%.</w:t>
      </w:r>
    </w:p>
    <w:p w14:paraId="49F932A7" w14:textId="43130DB9" w:rsidR="009F2D7A" w:rsidRPr="00D739A7" w:rsidRDefault="00AE250B" w:rsidP="00AE250B">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AA191C2" wp14:editId="0735647B">
            <wp:extent cx="3067050" cy="7577751"/>
            <wp:effectExtent l="0" t="0" r="6350" b="17145"/>
            <wp:docPr id="74" name="Diagram 74" descr="Austria Boys 1.39 Girls 0.70&#10;Bulgaria Boys 0.33 Girls 0.22&#10;Czech Republic Boys 2.04 Girls 1.20&#10;Estonia Boys 3.29 Girls 1.34&#10;Finland Boys 3.18 Girls 1.36&#10;France Boys 0.91 Girls 0.48&#10;Greece Boys 0.68 Girls 0.34&#10;Iceland  Boys 0.96 Girls 0.30&#10;Ireland Boys 1.05 Girls 0.37&#10;Latvia Boys 2.71 Girls 1.38&#10;Lithuania Boys 0.92 Girls 0.50 &#10;Poland Boys 1.05 Girls 0.58&#10;Portugal Boys 0.71 Girls 0.41&#10;Serbia Boys 0.50 Girls 0.29&#10;Slovakia Boys 3.24 Girls 2.38&#10;Slovenia Boys 1.22 Girls 0.81&#10;Spain Boys 0.46 Girls 0.26&#10;Switzerland Boys 2.51 Girls 1.36&#10;UK (England) Boys 1.00 Girls 0.35&#10;UK (N. Ireland) Boys 1.67 Girls 0.66&#10;UK (Wales) Boys 1.13 Girls 0.43&#10;Total average (21) Boys 1.05 Girls 0.53">
              <a:extLst xmlns:a="http://schemas.openxmlformats.org/drawingml/2006/main">
                <a:ext uri="{FF2B5EF4-FFF2-40B4-BE49-F238E27FC236}">
                  <a16:creationId xmlns:a16="http://schemas.microsoft.com/office/drawing/2014/main" id="{F1135BBD-2276-4A3F-937F-AC7E6433FD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680AEB1" w14:textId="42B9F5D7" w:rsidR="00F65254" w:rsidRPr="00D739A7" w:rsidRDefault="002B3830" w:rsidP="004A29D9">
      <w:pPr>
        <w:pStyle w:val="Agency-caption-report"/>
        <w:rPr>
          <w:rFonts w:cs="Calibri"/>
          <w:b w:val="0"/>
          <w:bCs w:val="0"/>
        </w:rPr>
        <w:sectPr w:rsidR="00F65254" w:rsidRPr="00D739A7" w:rsidSect="000265A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00B54F4E" w:rsidRPr="00D739A7">
        <w:t>59</w:t>
      </w:r>
      <w:r w:rsidRPr="00D739A7">
        <w:rPr>
          <w:b w:val="0"/>
          <w:bCs w:val="0"/>
        </w:rPr>
        <w:fldChar w:fldCharType="end"/>
      </w:r>
      <w:r w:rsidR="00F65254" w:rsidRPr="00D739A7">
        <w:t>. Gender breakdown of learners with an official decision of SEN in fully separate educational settings, based on the enrolled school population (%)</w:t>
      </w:r>
    </w:p>
    <w:p w14:paraId="41BAC5CB" w14:textId="77777777" w:rsidR="009F2D7A" w:rsidRPr="00D739A7" w:rsidRDefault="009F2D7A" w:rsidP="004A29D9">
      <w:pPr>
        <w:pStyle w:val="Agency-heading-4-report"/>
      </w:pPr>
      <w:r w:rsidRPr="00D739A7">
        <w:lastRenderedPageBreak/>
        <w:t>Gender distribution of learners with an official decision of SEN in fully separate educational settings, based on the enrolled school population (%)</w:t>
      </w:r>
    </w:p>
    <w:p w14:paraId="3542E293"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61FAF578" w14:textId="77777777" w:rsidR="009F2D7A" w:rsidRPr="00AC2D89" w:rsidRDefault="009F2D7A" w:rsidP="00E45013">
      <w:pPr>
        <w:pStyle w:val="Agency-body-text-report"/>
        <w:rPr>
          <w:sz w:val="23"/>
          <w:szCs w:val="23"/>
        </w:rPr>
      </w:pPr>
      <w:r w:rsidRPr="00AC2D89">
        <w:rPr>
          <w:sz w:val="23"/>
          <w:szCs w:val="23"/>
        </w:rPr>
        <w:t>The gender distributions have been calculated as follows:</w:t>
      </w:r>
    </w:p>
    <w:p w14:paraId="73A7F527" w14:textId="7CD0BC51" w:rsidR="009F2D7A" w:rsidRPr="00AC2D89" w:rsidRDefault="00EF3C3C" w:rsidP="00E45013">
      <w:pPr>
        <w:pStyle w:val="Agency-body-text-report"/>
        <w:rPr>
          <w:sz w:val="23"/>
          <w:szCs w:val="23"/>
        </w:rPr>
      </w:pPr>
      <w:r w:rsidRPr="00AC2D89">
        <w:rPr>
          <w:sz w:val="23"/>
          <w:szCs w:val="23"/>
        </w:rPr>
        <w:t>Boys</w:t>
      </w:r>
      <w:r w:rsidR="009F2D7A" w:rsidRPr="00AC2D89">
        <w:rPr>
          <w:sz w:val="23"/>
          <w:szCs w:val="23"/>
        </w:rPr>
        <w:t>: The number of boys with an official decision of SEN who are educated in separate special classes in mainstream schools (</w:t>
      </w:r>
      <w:r w:rsidR="007237E0" w:rsidRPr="00AC2D89">
        <w:rPr>
          <w:sz w:val="23"/>
          <w:szCs w:val="23"/>
        </w:rPr>
        <w:t>Q3</w:t>
      </w:r>
      <w:r w:rsidR="009F2D7A" w:rsidRPr="00AC2D89">
        <w:rPr>
          <w:sz w:val="23"/>
          <w:szCs w:val="23"/>
        </w:rPr>
        <w:t>.3) + The number of boys with an official decision of SEN who are educated in separate special schools (</w:t>
      </w:r>
      <w:r w:rsidR="007237E0" w:rsidRPr="00AC2D89">
        <w:rPr>
          <w:sz w:val="23"/>
          <w:szCs w:val="23"/>
        </w:rPr>
        <w:t>Q3</w:t>
      </w:r>
      <w:r w:rsidR="009F2D7A" w:rsidRPr="00AC2D89">
        <w:rPr>
          <w:sz w:val="23"/>
          <w:szCs w:val="23"/>
        </w:rPr>
        <w:t>.4) / The number of learners with an official decision of SEN who are educated in separate special classes in mainstream schools (Q3.3) + The number of learners with an official decision of SEN who are educated in separate special schools (Q3.4) x 100.</w:t>
      </w:r>
    </w:p>
    <w:p w14:paraId="0D74BCFA" w14:textId="0C2870D3" w:rsidR="009F2D7A" w:rsidRPr="00AC2D89" w:rsidRDefault="00EF3C3C" w:rsidP="00E45013">
      <w:pPr>
        <w:pStyle w:val="Agency-body-text-report"/>
        <w:rPr>
          <w:sz w:val="23"/>
          <w:szCs w:val="23"/>
        </w:rPr>
      </w:pPr>
      <w:r w:rsidRPr="00AC2D89">
        <w:rPr>
          <w:sz w:val="23"/>
          <w:szCs w:val="23"/>
        </w:rPr>
        <w:t>Girls</w:t>
      </w:r>
      <w:r w:rsidR="009F2D7A" w:rsidRPr="00AC2D89">
        <w:rPr>
          <w:sz w:val="23"/>
          <w:szCs w:val="23"/>
        </w:rPr>
        <w:t>: The number of girls with an official decision of SEN who are educated in separate special classes in mainstream schools (</w:t>
      </w:r>
      <w:r w:rsidR="007237E0" w:rsidRPr="00AC2D89">
        <w:rPr>
          <w:sz w:val="23"/>
          <w:szCs w:val="23"/>
        </w:rPr>
        <w:t>Q3</w:t>
      </w:r>
      <w:r w:rsidR="009F2D7A" w:rsidRPr="00AC2D89">
        <w:rPr>
          <w:sz w:val="23"/>
          <w:szCs w:val="23"/>
        </w:rPr>
        <w:t>.3) + The number of girls with an official decision of SEN who are educated in separate special schools (</w:t>
      </w:r>
      <w:r w:rsidR="007237E0" w:rsidRPr="00AC2D89">
        <w:rPr>
          <w:sz w:val="23"/>
          <w:szCs w:val="23"/>
        </w:rPr>
        <w:t>Q3</w:t>
      </w:r>
      <w:r w:rsidR="009F2D7A" w:rsidRPr="00AC2D89">
        <w:rPr>
          <w:sz w:val="23"/>
          <w:szCs w:val="23"/>
        </w:rPr>
        <w:t>.4) / The number of learners with an official decision of SEN who are educated in separate special classes in mainstream schools (Q3.3) + The number of learners with an official decision of SEN who are educated in separate special schools (Q3.4) x 100.</w:t>
      </w:r>
    </w:p>
    <w:p w14:paraId="52827432" w14:textId="39288D72" w:rsidR="009F2D7A" w:rsidRPr="00AC2D89" w:rsidRDefault="009F2D7A" w:rsidP="00E45013">
      <w:pPr>
        <w:pStyle w:val="Agency-body-text-report"/>
        <w:rPr>
          <w:sz w:val="23"/>
          <w:szCs w:val="23"/>
        </w:rPr>
      </w:pPr>
      <w:r w:rsidRPr="00AC2D89">
        <w:rPr>
          <w:sz w:val="23"/>
          <w:szCs w:val="23"/>
        </w:rPr>
        <w:t xml:space="preserve">Data is available from </w:t>
      </w:r>
      <w:r w:rsidR="00AE250B" w:rsidRPr="00AC2D89">
        <w:rPr>
          <w:sz w:val="23"/>
          <w:szCs w:val="23"/>
        </w:rPr>
        <w:t>21</w:t>
      </w:r>
      <w:r w:rsidRPr="00AC2D89">
        <w:rPr>
          <w:sz w:val="23"/>
          <w:szCs w:val="23"/>
        </w:rPr>
        <w:t xml:space="preserve"> countries.</w:t>
      </w:r>
    </w:p>
    <w:p w14:paraId="71B096E6" w14:textId="34EFAF56" w:rsidR="009F2D7A" w:rsidRPr="00AC2D89" w:rsidRDefault="009F2D7A" w:rsidP="00E45013">
      <w:pPr>
        <w:pStyle w:val="Agency-body-text-report"/>
        <w:rPr>
          <w:sz w:val="23"/>
          <w:szCs w:val="23"/>
        </w:rPr>
      </w:pPr>
      <w:r w:rsidRPr="00AC2D89">
        <w:rPr>
          <w:sz w:val="23"/>
          <w:szCs w:val="23"/>
        </w:rPr>
        <w:t>The proportion of boys with an official decision of SEN in fully separate educational settings ranges from 57.</w:t>
      </w:r>
      <w:r w:rsidR="00AE250B" w:rsidRPr="00AC2D89">
        <w:rPr>
          <w:sz w:val="23"/>
          <w:szCs w:val="23"/>
        </w:rPr>
        <w:t>66</w:t>
      </w:r>
      <w:r w:rsidRPr="00AC2D89">
        <w:rPr>
          <w:sz w:val="23"/>
          <w:szCs w:val="23"/>
        </w:rPr>
        <w:t>% to 7</w:t>
      </w:r>
      <w:r w:rsidR="00AE250B" w:rsidRPr="00AC2D89">
        <w:rPr>
          <w:sz w:val="23"/>
          <w:szCs w:val="23"/>
        </w:rPr>
        <w:t>6.39</w:t>
      </w:r>
      <w:r w:rsidRPr="00AC2D89">
        <w:rPr>
          <w:sz w:val="23"/>
          <w:szCs w:val="23"/>
        </w:rPr>
        <w:t xml:space="preserve">%; the total average for the </w:t>
      </w:r>
      <w:r w:rsidR="00AE250B" w:rsidRPr="00AC2D89">
        <w:rPr>
          <w:sz w:val="23"/>
          <w:szCs w:val="23"/>
        </w:rPr>
        <w:t>21</w:t>
      </w:r>
      <w:r w:rsidRPr="00AC2D89">
        <w:rPr>
          <w:sz w:val="23"/>
          <w:szCs w:val="23"/>
        </w:rPr>
        <w:t xml:space="preserve"> countries is 6</w:t>
      </w:r>
      <w:r w:rsidR="00AE250B" w:rsidRPr="00AC2D89">
        <w:rPr>
          <w:sz w:val="23"/>
          <w:szCs w:val="23"/>
        </w:rPr>
        <w:t>6.53</w:t>
      </w:r>
      <w:r w:rsidRPr="00AC2D89">
        <w:rPr>
          <w:sz w:val="23"/>
          <w:szCs w:val="23"/>
        </w:rPr>
        <w:t>%.</w:t>
      </w:r>
    </w:p>
    <w:p w14:paraId="1E99F59C" w14:textId="74DF843A" w:rsidR="009F2D7A" w:rsidRPr="00D739A7" w:rsidRDefault="009F2D7A" w:rsidP="00E45013">
      <w:pPr>
        <w:pStyle w:val="Agency-body-text-report"/>
        <w:rPr>
          <w:sz w:val="22"/>
          <w:szCs w:val="22"/>
        </w:rPr>
      </w:pPr>
      <w:r w:rsidRPr="00AC2D89">
        <w:rPr>
          <w:sz w:val="23"/>
          <w:szCs w:val="23"/>
        </w:rPr>
        <w:t xml:space="preserve">The proportion of girls with an official decision of SEN in fully </w:t>
      </w:r>
      <w:r w:rsidRPr="00AC2D89">
        <w:rPr>
          <w:sz w:val="23"/>
          <w:szCs w:val="23"/>
        </w:rPr>
        <w:t>separate educational settings ranges from 2</w:t>
      </w:r>
      <w:r w:rsidR="00AE250B" w:rsidRPr="00AC2D89">
        <w:rPr>
          <w:sz w:val="23"/>
          <w:szCs w:val="23"/>
        </w:rPr>
        <w:t>3.61</w:t>
      </w:r>
      <w:r w:rsidRPr="00AC2D89">
        <w:rPr>
          <w:sz w:val="23"/>
          <w:szCs w:val="23"/>
        </w:rPr>
        <w:t>% to 42.</w:t>
      </w:r>
      <w:r w:rsidR="00AE250B" w:rsidRPr="00AC2D89">
        <w:rPr>
          <w:sz w:val="23"/>
          <w:szCs w:val="23"/>
        </w:rPr>
        <w:t>34</w:t>
      </w:r>
      <w:r w:rsidRPr="00AC2D89">
        <w:rPr>
          <w:sz w:val="23"/>
          <w:szCs w:val="23"/>
        </w:rPr>
        <w:t xml:space="preserve">%; the total average for the </w:t>
      </w:r>
      <w:r w:rsidR="00AE250B" w:rsidRPr="00AC2D89">
        <w:rPr>
          <w:sz w:val="23"/>
          <w:szCs w:val="23"/>
        </w:rPr>
        <w:t>21</w:t>
      </w:r>
      <w:r w:rsidRPr="00AC2D89">
        <w:rPr>
          <w:sz w:val="23"/>
          <w:szCs w:val="23"/>
        </w:rPr>
        <w:t xml:space="preserve"> countries is 3</w:t>
      </w:r>
      <w:r w:rsidR="00AE250B" w:rsidRPr="00AC2D89">
        <w:rPr>
          <w:sz w:val="23"/>
          <w:szCs w:val="23"/>
        </w:rPr>
        <w:t>3.47</w:t>
      </w:r>
      <w:r w:rsidRPr="00AC2D89">
        <w:rPr>
          <w:sz w:val="23"/>
          <w:szCs w:val="23"/>
        </w:rPr>
        <w:t>%.</w:t>
      </w:r>
    </w:p>
    <w:p w14:paraId="0135E546" w14:textId="1F408EAA" w:rsidR="009F2D7A" w:rsidRPr="00D739A7" w:rsidRDefault="00AE250B" w:rsidP="00AE250B">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7494CDB4" wp14:editId="5BE1DA9B">
            <wp:extent cx="3103880" cy="7020000"/>
            <wp:effectExtent l="0" t="0" r="7620" b="15875"/>
            <wp:docPr id="75" name="Diagram 75" descr="Austria Boys 66.46 Girls 33.54&#10;Bulgaria Boys 60.63 Girls 39.37&#10;Czech Republic Boys 63.00 Girls 37.00&#10;Estonia Boys 71.11 Girls 28.89&#10;Finland Boys 70.00 Girls 30.00&#10;France Boys 65.57 Girls 34.43&#10;Greece Boys 66.37 Girls 33.63&#10;Iceland  Boys 76.39 Girls 23.61&#10;Ireland Boys 74.03 Girls 25.97&#10;Latvia Boys 66.27 Girls 33.73&#10;Lithuania Boys 64.85 Girls 35.15 &#10;Poland Boys 64.44 Girls 35.56&#10;Portugal Boys 63.01 Girls 36.99&#10;Serbia Boys 63.58 Girls 36.42&#10;Slovakia Boys 57.66 Girls 42.34&#10;Slovenia Boys 60.19 Girls 39.81&#10;Spain Boys 63.56 Girls 36.44&#10;Switzerland Boys 64.87 Girls 35.13&#10;UK (England) Boys 73.81 Girls 26.19&#10;UK (N. Ireland) Boys 71.74 Girls 28.26&#10;UK (Wales) Boys 72.69 Girls 27.31&#10;Total average (21) Boys 66.53 Girls 33.47">
              <a:extLst xmlns:a="http://schemas.openxmlformats.org/drawingml/2006/main">
                <a:ext uri="{FF2B5EF4-FFF2-40B4-BE49-F238E27FC236}">
                  <a16:creationId xmlns:a16="http://schemas.microsoft.com/office/drawing/2014/main" id="{50CA2CAC-60BE-4F19-8260-0009B1BCE1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D26470E" w14:textId="747653E2" w:rsidR="009F2D7A" w:rsidRPr="00D739A7" w:rsidRDefault="002B3830" w:rsidP="005C54CC">
      <w:pPr>
        <w:pStyle w:val="Agency-caption-report"/>
        <w:spacing w:before="120" w:after="120"/>
        <w:rPr>
          <w:rFonts w:cs="Calibri"/>
          <w:b w:val="0"/>
          <w:bCs w:val="0"/>
        </w:rPr>
        <w:sectPr w:rsidR="009F2D7A" w:rsidRPr="00D739A7" w:rsidSect="00783F38">
          <w:type w:val="continuous"/>
          <w:pgSz w:w="11899" w:h="16838"/>
          <w:pgMar w:top="1134" w:right="1551" w:bottom="1276" w:left="1418" w:header="709" w:footer="709" w:gutter="0"/>
          <w:cols w:num="2" w:space="710" w:equalWidth="0">
            <w:col w:w="3256" w:space="787"/>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60</w:t>
      </w:r>
      <w:r w:rsidRPr="00D739A7">
        <w:fldChar w:fldCharType="end"/>
      </w:r>
      <w:r w:rsidR="009F2D7A" w:rsidRPr="00D739A7">
        <w:t>. Gender distribution of learners with an official decision of SEN in fully separate educational settings, based on the enrolled school population (%)</w:t>
      </w:r>
    </w:p>
    <w:p w14:paraId="4080CD79" w14:textId="77777777" w:rsidR="009F2D7A" w:rsidRPr="00D739A7" w:rsidRDefault="009F2D7A" w:rsidP="00D52E0D">
      <w:pPr>
        <w:pStyle w:val="Agency-heading-4-report"/>
      </w:pPr>
      <w:r w:rsidRPr="00D739A7">
        <w:lastRenderedPageBreak/>
        <w:t>ISCED breakdown of learners with an official decision of SEN in fully separate educational settings, based on the enrolled school population (%)</w:t>
      </w:r>
    </w:p>
    <w:p w14:paraId="2857740C"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3E0BC913" w14:textId="77777777" w:rsidR="009F2D7A" w:rsidRPr="00D739A7" w:rsidRDefault="009F2D7A" w:rsidP="004A29D9">
      <w:pPr>
        <w:pStyle w:val="Agency-body-text-report"/>
      </w:pPr>
      <w:r w:rsidRPr="00D739A7">
        <w:t>The ISCED breakdowns have been calculated as follows:</w:t>
      </w:r>
    </w:p>
    <w:p w14:paraId="652DBA23" w14:textId="77777777" w:rsidR="009F2D7A" w:rsidRPr="00D739A7" w:rsidRDefault="009F2D7A" w:rsidP="004A29D9">
      <w:pPr>
        <w:pStyle w:val="Agency-body-text-report"/>
      </w:pPr>
      <w:r w:rsidRPr="00D739A7">
        <w:t>ISCED 1: The number of learners in ISCED 1 with an official decision of SEN who are educated in separate special classes in mainstream schools (Q3.3) + The number of learners in ISCED 1 with an official decision of SEN who are educated in separate special schools (Q3.4) / The number of learners who are enrolled in all formal educational settings (Q1.2) x 100.</w:t>
      </w:r>
    </w:p>
    <w:p w14:paraId="264AC18F" w14:textId="77777777" w:rsidR="009F2D7A" w:rsidRPr="00D739A7" w:rsidRDefault="009F2D7A" w:rsidP="004A29D9">
      <w:pPr>
        <w:pStyle w:val="Agency-body-text-report"/>
      </w:pPr>
      <w:r w:rsidRPr="00D739A7">
        <w:t>ISCED 2: The number of learners in ISCED 2 with an official decision of SEN who are educated in separate special classes in mainstream schools (Q3.3) + The number of learners in ISCED 2 with an official decision of SEN who are educated in separate special schools (Q3.4) / The number of learners who are enrolled in all formal educational settings (Q1.2) x 100.</w:t>
      </w:r>
    </w:p>
    <w:p w14:paraId="1CF0538F" w14:textId="3EA1C5E7" w:rsidR="009F2D7A" w:rsidRPr="00D739A7" w:rsidRDefault="009F2D7A" w:rsidP="004A29D9">
      <w:pPr>
        <w:pStyle w:val="Agency-body-text-report"/>
        <w:rPr>
          <w:bCs/>
        </w:rPr>
      </w:pPr>
      <w:r w:rsidRPr="00D739A7">
        <w:rPr>
          <w:bCs/>
        </w:rPr>
        <w:t>Data is available from 2</w:t>
      </w:r>
      <w:r w:rsidR="00AE250B" w:rsidRPr="00D739A7">
        <w:rPr>
          <w:bCs/>
        </w:rPr>
        <w:t>3</w:t>
      </w:r>
      <w:r w:rsidRPr="00D739A7">
        <w:rPr>
          <w:bCs/>
        </w:rPr>
        <w:t xml:space="preserve"> countries.</w:t>
      </w:r>
    </w:p>
    <w:p w14:paraId="4AC248CD" w14:textId="6F9B6815" w:rsidR="009F2D7A" w:rsidRPr="00D739A7" w:rsidRDefault="009F2D7A" w:rsidP="004A29D9">
      <w:pPr>
        <w:pStyle w:val="Agency-body-text-report"/>
      </w:pPr>
      <w:r w:rsidRPr="00D739A7">
        <w:t>The fully separate placement enrolment rates of learners with an official decision of SEN in ISCED 1 range from 0.2</w:t>
      </w:r>
      <w:r w:rsidR="00AE250B" w:rsidRPr="00D739A7">
        <w:t>8</w:t>
      </w:r>
      <w:r w:rsidRPr="00D739A7">
        <w:t>% to 2.8</w:t>
      </w:r>
      <w:r w:rsidR="00AE250B" w:rsidRPr="00D739A7">
        <w:t>5</w:t>
      </w:r>
      <w:r w:rsidRPr="00D739A7">
        <w:t>%; the total average for the 2</w:t>
      </w:r>
      <w:r w:rsidR="00AE250B" w:rsidRPr="00D739A7">
        <w:t>3</w:t>
      </w:r>
      <w:r w:rsidRPr="00D739A7">
        <w:t xml:space="preserve"> countries is 0.9</w:t>
      </w:r>
      <w:r w:rsidR="00AE250B" w:rsidRPr="00D739A7">
        <w:t>3</w:t>
      </w:r>
      <w:r w:rsidRPr="00D739A7">
        <w:t>%.</w:t>
      </w:r>
    </w:p>
    <w:p w14:paraId="73210F66" w14:textId="03436EBE" w:rsidR="00617962" w:rsidRDefault="009F2D7A" w:rsidP="00C16814">
      <w:pPr>
        <w:pStyle w:val="Agency-body-text-report"/>
      </w:pPr>
      <w:r w:rsidRPr="00D739A7">
        <w:t>The fully separate placement enrolment rates of learners with an official decision of SEN in ISCED 2 range from 0.2</w:t>
      </w:r>
      <w:r w:rsidR="00AE250B" w:rsidRPr="00D739A7">
        <w:t>7</w:t>
      </w:r>
      <w:r w:rsidRPr="00D739A7">
        <w:t>% to 3.</w:t>
      </w:r>
      <w:r w:rsidR="00AE250B" w:rsidRPr="00D739A7">
        <w:t>07</w:t>
      </w:r>
      <w:r w:rsidRPr="00D739A7">
        <w:t>%; the total average for the 2</w:t>
      </w:r>
      <w:r w:rsidR="00AE250B" w:rsidRPr="00D739A7">
        <w:t>3</w:t>
      </w:r>
      <w:r w:rsidRPr="00D739A7">
        <w:t xml:space="preserve"> countries is 0.</w:t>
      </w:r>
      <w:r w:rsidR="00AE250B" w:rsidRPr="00D739A7">
        <w:t>63</w:t>
      </w:r>
      <w:r w:rsidRPr="00D739A7">
        <w:t>%.</w:t>
      </w:r>
    </w:p>
    <w:p w14:paraId="29664CFD" w14:textId="5733A3D5" w:rsidR="00754CF1" w:rsidRPr="00D739A7" w:rsidRDefault="00AE250B" w:rsidP="00C16814">
      <w:pPr>
        <w:pStyle w:val="Agency-body-text-report"/>
      </w:pPr>
      <w:r w:rsidRPr="00D739A7">
        <w:rPr>
          <w:rFonts w:cs="Calibri"/>
          <w:noProof/>
        </w:rPr>
        <w:drawing>
          <wp:inline distT="0" distB="0" distL="0" distR="0" wp14:anchorId="01E77147" wp14:editId="266E452A">
            <wp:extent cx="3067050" cy="7200000"/>
            <wp:effectExtent l="0" t="0" r="6350" b="13970"/>
            <wp:docPr id="76" name="Diagram 76" descr="Austria ISCED 1 - 0.80 ISCED 2 - 1.29&#10;Bulgaria ISCED 1 - 0.28 ISCED 2 - 0.27&#10;Czech Republic ISCED 1 - 1.53 ISCED 2 - 1.72&#10;Estonia ISCED 1 - 2.79 ISCED 2 - 1.83&#10;Finland ISCED 1 - 2.85 ISCED 2 - 1.70&#10;France ISCED 1 - 1.08 ISCED 2 - 0.32&#10;Greece ISCED 1 - 0.45 ISCED 2 - 0.57&#10;Iceland  ISCED 1 - 0.76 ISCED 2 - 0.50&#10;Ireland ISCED 1 - 0.93 ISCED 2 - 0.49&#10;Latvia ISCED 1 - 2.63 ISCED 2 - 1.46&#10;Lithuania ISCED 1 - 0.53 ISCED 2 - 0.90&#10;Luxembourg ISCED 1 - 0.43 ISCED 2 - 0.32&#10;Norway ISCED 1 - 0.33 ISCED 2 - 0.31&#10;Poland ISCED 1 - 0.91 ISCED 2 - 0.71&#10;Portugal ISCED 1 - 0.52 ISCED 2 - 0.60&#10;Serbia ISCED 1 - 0.32 ISCED 2 - 0.47&#10;Slovakia ISCED 1 - 2.56 ISCED 2 - 3.07&#10;Slovenia ISCED 1 - 1.43 ISCED 2 - 0.60&#10;Spain ISCED 1 - 0.45 ISCED 2 - 0.27&#10;Switzerland ISCED 1 - 2.31 ISCED 2 - 1.55&#10;UK (England) ISCED 1 - 0.76 ISCED 2 - 0.59&#10;UK (N. Ireland) ISCED 1 - 1.33 ISCED 2 - 1.00&#10;UK (Wales) ISCED 1 - 0.71 ISCED 2 - 0.85&#10;Total average (23) ISCED 1 - 0.93 ISCED 2 - 0.63">
              <a:extLst xmlns:a="http://schemas.openxmlformats.org/drawingml/2006/main">
                <a:ext uri="{FF2B5EF4-FFF2-40B4-BE49-F238E27FC236}">
                  <a16:creationId xmlns:a16="http://schemas.microsoft.com/office/drawing/2014/main" id="{98BAD465-3D51-4A4D-A1BB-667DD89804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4ED36C1" w14:textId="0FD36AAF" w:rsidR="00D52E0D" w:rsidRPr="00D739A7" w:rsidRDefault="00D91447" w:rsidP="0010269E">
      <w:pPr>
        <w:pStyle w:val="Agency-caption-report"/>
        <w:rPr>
          <w:rFonts w:cs="Calibri"/>
          <w:b w:val="0"/>
          <w:bCs w:val="0"/>
        </w:rPr>
        <w:sectPr w:rsidR="00D52E0D" w:rsidRPr="00D739A7" w:rsidSect="008D7723">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61</w:t>
      </w:r>
      <w:r w:rsidRPr="00D739A7">
        <w:fldChar w:fldCharType="end"/>
      </w:r>
      <w:r w:rsidR="009F2D7A" w:rsidRPr="00D739A7">
        <w:t>. ISCED breakdown of learners with an official decision of SEN in fully separate educational settings, based on the enrolled school population (%)</w:t>
      </w:r>
    </w:p>
    <w:p w14:paraId="2B5A7A95" w14:textId="77777777" w:rsidR="009F2D7A" w:rsidRPr="00D739A7" w:rsidRDefault="009F2D7A" w:rsidP="00D52E0D">
      <w:pPr>
        <w:pStyle w:val="Agency-heading-4-report"/>
      </w:pPr>
      <w:r w:rsidRPr="00D739A7">
        <w:lastRenderedPageBreak/>
        <w:t>ISCED distribution of learners with an official decision of SEN in fully separate educational settings, based on the enrolled school population (%)</w:t>
      </w:r>
    </w:p>
    <w:p w14:paraId="491D7241"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09B51670" w14:textId="77777777" w:rsidR="009F2D7A" w:rsidRPr="00D739A7" w:rsidRDefault="009F2D7A" w:rsidP="00754CF1">
      <w:pPr>
        <w:pStyle w:val="Agency-body-text-report"/>
      </w:pPr>
      <w:r w:rsidRPr="00D739A7">
        <w:t>The ISCED distributions have been calculated as follows:</w:t>
      </w:r>
    </w:p>
    <w:p w14:paraId="032A6C9B" w14:textId="77777777" w:rsidR="009F2D7A" w:rsidRPr="00D739A7" w:rsidRDefault="009F2D7A" w:rsidP="00754CF1">
      <w:pPr>
        <w:pStyle w:val="Agency-body-text-report"/>
      </w:pPr>
      <w:r w:rsidRPr="00D739A7">
        <w:t>ISCED 1:</w:t>
      </w:r>
      <w:r w:rsidRPr="00D739A7">
        <w:rPr>
          <w:szCs w:val="20"/>
        </w:rPr>
        <w:t xml:space="preserve"> </w:t>
      </w:r>
      <w:r w:rsidRPr="00D739A7">
        <w:t>The number of learners in ISCED 1 with an official decision of SEN who are educated in separate special classes in mainstream schools (Q3.3) + The number of learners in ISCED 1 with an official decision of SEN who are educated in separate special schools (Q3.4) / The number of learners in ISCED 1 who are enrolled in all formal educational settings (Q1.2) x 100.</w:t>
      </w:r>
    </w:p>
    <w:p w14:paraId="0D952657" w14:textId="77777777" w:rsidR="009F2D7A" w:rsidRPr="00D739A7" w:rsidRDefault="009F2D7A" w:rsidP="00754CF1">
      <w:pPr>
        <w:pStyle w:val="Agency-body-text-report"/>
      </w:pPr>
      <w:r w:rsidRPr="00D739A7">
        <w:t>ISCED 2:</w:t>
      </w:r>
      <w:r w:rsidRPr="00D739A7">
        <w:rPr>
          <w:szCs w:val="20"/>
        </w:rPr>
        <w:t xml:space="preserve"> </w:t>
      </w:r>
      <w:r w:rsidRPr="00D739A7">
        <w:t>The number of learners in ISCED 2 with an official decision of SEN who are educated in separate special classes in mainstream schools (Q3.3) + The number of learners in ISCED 2 with an official decision of SEN who are educated in separate special schools (Q3.4) / The number of learners in ISCED 2 who are enrolled in all formal educational settings (Q1.2) x 100.</w:t>
      </w:r>
    </w:p>
    <w:p w14:paraId="2DEC9BA5" w14:textId="1ED28AD5" w:rsidR="009F2D7A" w:rsidRPr="00D739A7" w:rsidRDefault="009F2D7A" w:rsidP="00754CF1">
      <w:pPr>
        <w:pStyle w:val="Agency-body-text-report"/>
        <w:rPr>
          <w:bCs/>
        </w:rPr>
      </w:pPr>
      <w:r w:rsidRPr="00D739A7">
        <w:rPr>
          <w:bCs/>
        </w:rPr>
        <w:t>Data is available from 2</w:t>
      </w:r>
      <w:r w:rsidR="00381B99" w:rsidRPr="00D739A7">
        <w:rPr>
          <w:bCs/>
        </w:rPr>
        <w:t>3</w:t>
      </w:r>
      <w:r w:rsidRPr="00D739A7">
        <w:rPr>
          <w:bCs/>
        </w:rPr>
        <w:t xml:space="preserve"> countries.</w:t>
      </w:r>
    </w:p>
    <w:p w14:paraId="691BD0B8" w14:textId="3E02D2F8" w:rsidR="009F2D7A" w:rsidRPr="00D739A7" w:rsidRDefault="008139BB" w:rsidP="00754CF1">
      <w:pPr>
        <w:pStyle w:val="Agency-body-text-report"/>
        <w:rPr>
          <w:bCs/>
        </w:rPr>
      </w:pPr>
      <w:r w:rsidRPr="00D739A7">
        <w:rPr>
          <w:bCs/>
        </w:rPr>
        <w:t>Within ISCED 1, t</w:t>
      </w:r>
      <w:r w:rsidR="009F2D7A" w:rsidRPr="00D739A7">
        <w:rPr>
          <w:bCs/>
        </w:rPr>
        <w:t>he proportion of learners with an official decision of SEN in fully separate educational settings ranges from 0.4</w:t>
      </w:r>
      <w:r w:rsidR="00381B99" w:rsidRPr="00D739A7">
        <w:rPr>
          <w:bCs/>
        </w:rPr>
        <w:t>6</w:t>
      </w:r>
      <w:r w:rsidR="009F2D7A" w:rsidRPr="00D739A7">
        <w:rPr>
          <w:bCs/>
        </w:rPr>
        <w:t>% to 5.</w:t>
      </w:r>
      <w:r w:rsidR="00381B99" w:rsidRPr="00D739A7">
        <w:rPr>
          <w:bCs/>
        </w:rPr>
        <w:t>42</w:t>
      </w:r>
      <w:r w:rsidR="009F2D7A" w:rsidRPr="00D739A7">
        <w:rPr>
          <w:bCs/>
        </w:rPr>
        <w:t>%; the total average for the 2</w:t>
      </w:r>
      <w:r w:rsidR="00381B99" w:rsidRPr="00D739A7">
        <w:rPr>
          <w:bCs/>
        </w:rPr>
        <w:t>3</w:t>
      </w:r>
      <w:r w:rsidR="009F2D7A" w:rsidRPr="00D739A7">
        <w:rPr>
          <w:bCs/>
        </w:rPr>
        <w:t xml:space="preserve"> countries is 1.</w:t>
      </w:r>
      <w:r w:rsidR="00381B99" w:rsidRPr="00D739A7">
        <w:rPr>
          <w:bCs/>
        </w:rPr>
        <w:t>47</w:t>
      </w:r>
      <w:r w:rsidR="009F2D7A" w:rsidRPr="00D739A7">
        <w:rPr>
          <w:bCs/>
        </w:rPr>
        <w:t>%.</w:t>
      </w:r>
    </w:p>
    <w:p w14:paraId="17E7D2E9" w14:textId="7CBC1F4F" w:rsidR="00AE250B" w:rsidRPr="00D739A7" w:rsidRDefault="008139BB" w:rsidP="004A29D9">
      <w:pPr>
        <w:pStyle w:val="Agency-body-text-report"/>
        <w:rPr>
          <w:rFonts w:cs="Calibri"/>
        </w:rPr>
      </w:pPr>
      <w:r w:rsidRPr="00D739A7">
        <w:t>Within ISCED 2, t</w:t>
      </w:r>
      <w:r w:rsidR="009F2D7A" w:rsidRPr="00D739A7">
        <w:t>he proportion of learners with an official decision of SEN in fully separate educational settings ranges from 0.6</w:t>
      </w:r>
      <w:r w:rsidR="00381B99" w:rsidRPr="00D739A7">
        <w:t>5</w:t>
      </w:r>
      <w:r w:rsidR="009F2D7A" w:rsidRPr="00D739A7">
        <w:t xml:space="preserve">% to </w:t>
      </w:r>
      <w:r w:rsidR="00381B99" w:rsidRPr="00D739A7">
        <w:t>6.10</w:t>
      </w:r>
      <w:r w:rsidR="009F2D7A" w:rsidRPr="00D739A7">
        <w:t>%; the total average for the 2</w:t>
      </w:r>
      <w:r w:rsidR="00381B99" w:rsidRPr="00D739A7">
        <w:t>3</w:t>
      </w:r>
      <w:r w:rsidR="009F2D7A" w:rsidRPr="00D739A7">
        <w:t xml:space="preserve"> countries is 1.</w:t>
      </w:r>
      <w:r w:rsidR="00381B99" w:rsidRPr="00D739A7">
        <w:t>69</w:t>
      </w:r>
      <w:r w:rsidR="009F2D7A" w:rsidRPr="00D739A7">
        <w:t>%.</w:t>
      </w:r>
    </w:p>
    <w:p w14:paraId="2C0A24B6" w14:textId="7153A43B" w:rsidR="009F2D7A" w:rsidRPr="00D739A7" w:rsidRDefault="00AE250B" w:rsidP="00AE250B">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6508E4FF" wp14:editId="43983C29">
            <wp:extent cx="3041650" cy="7586804"/>
            <wp:effectExtent l="0" t="0" r="6350" b="8255"/>
            <wp:docPr id="77" name="Diagram 77" descr="Austria ISCED 1 - 1.46 ISCED 2 - 2.84&#10;Bulgaria ISCED 1 - 0.48 ISCED 2 - 0.65&#10;Czech Republic ISCED 1 - 2.55 ISCED 2 - 4.29&#10;Estonia ISCED 1 - 3.99 ISCED 2 - 6.10&#10;Finland ISCED 1 - 4.25 ISCED 2 - 5.14&#10;France ISCED 1 - 1.91 ISCED 2 - 0.72&#10;Greece ISCED 1 - 0.67 ISCED 2 - 1.72&#10;Iceland  ISCED 1 - 1.05 ISCED 2 - 1.77&#10;Ireland ISCED 1 - 1.25 ISCED 2 - 1.93&#10;Latvia ISCED 1 - 3.85 ISCED 2 - 4.61&#10;Lithuania ISCED 1 - 1.29 ISCED 2 - 1.52&#10;Luxembourg ISCED 1 - 0.68 ISCED 2 - 0.87&#10;Norway ISCED 1 - 0.46 ISCED 2 - 1.06&#10;Poland ISCED 1 - 1.33 ISCED 2 - 2.26&#10;Portugal ISCED 1 - 0.81 ISCED 2 - 1.67&#10;Serbia ISCED 1 - 0.65 ISCED 2 - 0.94&#10;Slovakia ISCED 1 - 5.42 ISCED 2 - 5.81&#10;Slovenia ISCED 1 - 2.05 ISCED 2 - 1.99&#10;Spain ISCED 1 - 0.69 ISCED 2 - 0.79&#10;Switzerland ISCED 1 - 3.48 ISCED 2 - 4.63&#10;UK (England) ISCED 1 - 1.10 ISCED 2 - 1.93&#10;UK (N. Ireland) ISCED 1 - 2.20 ISCED 2 - 2.51&#10;UK (Wales) ISCED 1 - 1.26 ISCED 2 - 1.96&#10;Total average (23) ISCED 1 - 1.47 ISCED 2 - 1.69">
              <a:extLst xmlns:a="http://schemas.openxmlformats.org/drawingml/2006/main">
                <a:ext uri="{FF2B5EF4-FFF2-40B4-BE49-F238E27FC236}">
                  <a16:creationId xmlns:a16="http://schemas.microsoft.com/office/drawing/2014/main" id="{D0CF2A1B-2C8D-4F32-8B90-630552411D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4DB89DF" w14:textId="10A2890C" w:rsidR="009F2D7A" w:rsidRPr="00D739A7" w:rsidRDefault="00D91447" w:rsidP="0010269E">
      <w:pPr>
        <w:pStyle w:val="Agency-caption-report"/>
        <w:rPr>
          <w:rFonts w:cs="Calibri"/>
          <w:b w:val="0"/>
          <w:bCs w:val="0"/>
        </w:rPr>
        <w:sectPr w:rsidR="009F2D7A" w:rsidRPr="00D739A7" w:rsidSect="008D7723">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62</w:t>
      </w:r>
      <w:r w:rsidRPr="00D739A7">
        <w:fldChar w:fldCharType="end"/>
      </w:r>
      <w:r w:rsidR="009F2D7A" w:rsidRPr="00D739A7">
        <w:t>. ISCED distribution of learners with an official decision of SEN in fully separate educational settings, based on the enrolled school population (%)</w:t>
      </w:r>
    </w:p>
    <w:p w14:paraId="05451671" w14:textId="5AE50778" w:rsidR="009F2D7A" w:rsidRPr="00D739A7" w:rsidRDefault="00903978" w:rsidP="004A29D9">
      <w:pPr>
        <w:pStyle w:val="Agency-heading-2-report"/>
      </w:pPr>
      <w:bookmarkStart w:id="64" w:name="_Toc35943054"/>
      <w:r w:rsidRPr="00D739A7">
        <w:lastRenderedPageBreak/>
        <w:t>2.</w:t>
      </w:r>
      <w:r w:rsidR="009F2D7A" w:rsidRPr="00D739A7">
        <w:t>3c. Distribution of placements, based on the population of learners with an official decision of SEN</w:t>
      </w:r>
      <w:bookmarkEnd w:id="64"/>
    </w:p>
    <w:p w14:paraId="467AAC24" w14:textId="067CFED6" w:rsidR="009F2D7A" w:rsidRPr="00D739A7" w:rsidRDefault="009F2D7A" w:rsidP="004A29D9">
      <w:pPr>
        <w:pStyle w:val="Agency-body-text-report"/>
      </w:pPr>
      <w:r w:rsidRPr="00D739A7">
        <w:t xml:space="preserve">As with the indicators in </w:t>
      </w:r>
      <w:hyperlink w:anchor="ch2section3b" w:history="1">
        <w:r w:rsidR="004E024F" w:rsidRPr="00D739A7">
          <w:rPr>
            <w:rStyle w:val="Hyperlink"/>
          </w:rPr>
          <w:t>section </w:t>
        </w:r>
        <w:r w:rsidR="00903978" w:rsidRPr="00D739A7">
          <w:rPr>
            <w:rStyle w:val="Hyperlink"/>
          </w:rPr>
          <w:t>2.</w:t>
        </w:r>
        <w:r w:rsidRPr="00D739A7">
          <w:rPr>
            <w:rStyle w:val="Hyperlink"/>
          </w:rPr>
          <w:t>3b</w:t>
        </w:r>
      </w:hyperlink>
      <w:r w:rsidRPr="00D739A7">
        <w:t>, the indicators presented in this section relate to the distribution of placements of learners with an official decision of SEN in:</w:t>
      </w:r>
    </w:p>
    <w:p w14:paraId="6B2AB8AB" w14:textId="77777777" w:rsidR="009F2D7A" w:rsidRPr="00D739A7" w:rsidRDefault="009F2D7A" w:rsidP="004A29D9">
      <w:pPr>
        <w:pStyle w:val="Agency-body-text"/>
        <w:numPr>
          <w:ilvl w:val="0"/>
          <w:numId w:val="51"/>
        </w:numPr>
      </w:pPr>
      <w:r w:rsidRPr="00D739A7">
        <w:t>Inclusive settings</w:t>
      </w:r>
    </w:p>
    <w:p w14:paraId="60FB5EEC" w14:textId="77777777" w:rsidR="009F2D7A" w:rsidRPr="00D739A7" w:rsidRDefault="009F2D7A" w:rsidP="004A29D9">
      <w:pPr>
        <w:pStyle w:val="Agency-body-text"/>
        <w:numPr>
          <w:ilvl w:val="0"/>
          <w:numId w:val="51"/>
        </w:numPr>
      </w:pPr>
      <w:r w:rsidRPr="00D739A7">
        <w:t>Separate special classes in mainstream schools</w:t>
      </w:r>
    </w:p>
    <w:p w14:paraId="267565AB" w14:textId="77777777" w:rsidR="009F2D7A" w:rsidRPr="00D739A7" w:rsidRDefault="009F2D7A" w:rsidP="004A29D9">
      <w:pPr>
        <w:pStyle w:val="Agency-body-text"/>
        <w:numPr>
          <w:ilvl w:val="0"/>
          <w:numId w:val="51"/>
        </w:numPr>
      </w:pPr>
      <w:r w:rsidRPr="00D739A7">
        <w:t>Separate special schools</w:t>
      </w:r>
    </w:p>
    <w:p w14:paraId="00CA141C" w14:textId="77777777" w:rsidR="009F2D7A" w:rsidRPr="00D739A7" w:rsidRDefault="009F2D7A" w:rsidP="004A29D9">
      <w:pPr>
        <w:pStyle w:val="Agency-body-text"/>
        <w:numPr>
          <w:ilvl w:val="0"/>
          <w:numId w:val="51"/>
        </w:numPr>
      </w:pPr>
      <w:r w:rsidRPr="00D739A7">
        <w:t>Non-formal settings.</w:t>
      </w:r>
    </w:p>
    <w:p w14:paraId="6372387B" w14:textId="77777777" w:rsidR="009F2D7A" w:rsidRPr="00D739A7" w:rsidRDefault="009F2D7A" w:rsidP="004A29D9">
      <w:pPr>
        <w:pStyle w:val="Agency-body-text-report"/>
      </w:pPr>
      <w:r w:rsidRPr="00D739A7">
        <w:t>However, the data focuses on the population of learners with an official decision of SEN in different settings in relation to the whole school population of learners with an official decision of SEN.</w:t>
      </w:r>
    </w:p>
    <w:p w14:paraId="2FEDBD5F" w14:textId="77777777" w:rsidR="009F2D7A" w:rsidRPr="00D739A7" w:rsidRDefault="009F2D7A" w:rsidP="004A29D9">
      <w:pPr>
        <w:pStyle w:val="Agency-body-text-report"/>
      </w:pPr>
      <w:r w:rsidRPr="00D739A7">
        <w:t>For each of these areas of indicators, gender and ISCED level breakdowns and distributions are presented in separate figures.</w:t>
      </w:r>
    </w:p>
    <w:p w14:paraId="4E86C006" w14:textId="77777777" w:rsidR="009F2D7A" w:rsidRPr="00D739A7" w:rsidRDefault="009F2D7A" w:rsidP="004A29D9">
      <w:pPr>
        <w:pStyle w:val="Agency-body-text-report"/>
        <w:sectPr w:rsidR="009F2D7A" w:rsidRPr="00D739A7" w:rsidSect="00751B98">
          <w:type w:val="continuous"/>
          <w:pgSz w:w="11899" w:h="16838"/>
          <w:pgMar w:top="1134" w:right="1551" w:bottom="1276" w:left="1418" w:header="709" w:footer="709" w:gutter="0"/>
          <w:cols w:space="710"/>
          <w:docGrid w:linePitch="360"/>
        </w:sectPr>
      </w:pPr>
      <w:r w:rsidRPr="00D739A7">
        <w:t xml:space="preserve">All data must be considered in line with the </w:t>
      </w:r>
      <w:hyperlink r:id="rId101" w:history="1">
        <w:r w:rsidRPr="00D739A7">
          <w:rPr>
            <w:color w:val="0000FF"/>
            <w:u w:val="single"/>
          </w:rPr>
          <w:t>Country Background Information</w:t>
        </w:r>
      </w:hyperlink>
      <w:r w:rsidRPr="00D739A7">
        <w:t xml:space="preserve"> relating to the official decision of SEN procedures in the country concerned.</w:t>
      </w:r>
    </w:p>
    <w:p w14:paraId="22819035" w14:textId="0C5D449B" w:rsidR="009F2D7A" w:rsidRPr="00D739A7" w:rsidRDefault="00436B97" w:rsidP="004A29D9">
      <w:pPr>
        <w:pStyle w:val="Agency-heading-3-report"/>
        <w:sectPr w:rsidR="009F2D7A" w:rsidRPr="00D739A7" w:rsidSect="00751B98">
          <w:pgSz w:w="11899" w:h="16838"/>
          <w:pgMar w:top="1134" w:right="1551" w:bottom="1276" w:left="1418" w:header="709" w:footer="709" w:gutter="0"/>
          <w:cols w:space="710"/>
          <w:docGrid w:linePitch="360"/>
        </w:sectPr>
      </w:pPr>
      <w:bookmarkStart w:id="65" w:name="_Toc35943055"/>
      <w:r w:rsidRPr="00D739A7">
        <w:lastRenderedPageBreak/>
        <w:t>Indicator </w:t>
      </w:r>
      <w:r w:rsidR="00903978" w:rsidRPr="00D739A7">
        <w:t>2.</w:t>
      </w:r>
      <w:r w:rsidRPr="00D739A7">
        <w:t>3</w:t>
      </w:r>
      <w:r w:rsidR="009F2D7A" w:rsidRPr="00D739A7">
        <w:t>c.1: the percentage of learners with an official decision of SEN in inclusive education, based on the population of learners with an official decision of SEN (%)</w:t>
      </w:r>
      <w:bookmarkEnd w:id="65"/>
    </w:p>
    <w:p w14:paraId="5F85F58D" w14:textId="5EFF5B61" w:rsidR="009F2D7A" w:rsidRPr="00D739A7" w:rsidRDefault="009F2D7A" w:rsidP="004A29D9">
      <w:pPr>
        <w:pStyle w:val="Agency-body-text-report"/>
      </w:pPr>
      <w:r w:rsidRPr="00D739A7">
        <w:t>The data focuses on learners with an official decision of SEN</w:t>
      </w:r>
      <w:r w:rsidR="004E024F" w:rsidRPr="00D739A7">
        <w:t>,</w:t>
      </w:r>
      <w:r w:rsidRPr="00D739A7">
        <w:t xml:space="preserve"> in line with the EASIE operational definition, who are enrolled in inclusive education</w:t>
      </w:r>
      <w:r w:rsidR="004E024F" w:rsidRPr="00D739A7">
        <w:t>,</w:t>
      </w:r>
      <w:r w:rsidRPr="00D739A7">
        <w:t xml:space="preserve"> in line with the 80% placement benchmark (or the most relevant proxy for this benchmark)</w:t>
      </w:r>
      <w:r w:rsidR="004E024F" w:rsidRPr="00D739A7">
        <w:t>,</w:t>
      </w:r>
      <w:r w:rsidRPr="00D739A7">
        <w:t xml:space="preserve"> in comparison to the whole population of learners with an official decision of SEN.</w:t>
      </w:r>
    </w:p>
    <w:p w14:paraId="312A1A2F" w14:textId="77777777" w:rsidR="009F2D7A" w:rsidRPr="00D739A7" w:rsidRDefault="009F2D7A" w:rsidP="004A29D9">
      <w:pPr>
        <w:pStyle w:val="Agency-body-text-report"/>
      </w:pPr>
      <w:r w:rsidRPr="00D739A7">
        <w:t>This indicator has been calculated as follows: The number of learners with an official decision of SEN who are educated in mainstream classes for at least 80% of the time (Q3.2) / The number of learners with an official decision of SEN (Q3.1) x 100.</w:t>
      </w:r>
    </w:p>
    <w:p w14:paraId="373B4F7F" w14:textId="62FC8EB1" w:rsidR="009F2D7A" w:rsidRPr="00D739A7" w:rsidRDefault="009F2D7A" w:rsidP="004A29D9">
      <w:pPr>
        <w:pStyle w:val="Agency-body-text-report"/>
      </w:pPr>
      <w:r w:rsidRPr="00D739A7">
        <w:t>Data is available from 2</w:t>
      </w:r>
      <w:r w:rsidR="00CC401D" w:rsidRPr="00D739A7">
        <w:t>9</w:t>
      </w:r>
      <w:r w:rsidRPr="00D739A7">
        <w:t xml:space="preserve"> countries.</w:t>
      </w:r>
    </w:p>
    <w:p w14:paraId="79658D7B" w14:textId="314DFA99" w:rsidR="009F2D7A" w:rsidRPr="00D739A7" w:rsidRDefault="009F2D7A" w:rsidP="004A29D9">
      <w:pPr>
        <w:pStyle w:val="Agency-body-text-report"/>
      </w:pPr>
      <w:r w:rsidRPr="00D739A7">
        <w:t xml:space="preserve">The inclusive education enrolment rates of learners with an official decision of SEN, based on the whole population of learners with an official decision of SEN, range from </w:t>
      </w:r>
      <w:r w:rsidR="00CC401D" w:rsidRPr="00D739A7">
        <w:t>11.21</w:t>
      </w:r>
      <w:r w:rsidRPr="00D739A7">
        <w:t>% to 99.</w:t>
      </w:r>
      <w:r w:rsidR="00CC401D" w:rsidRPr="00D739A7">
        <w:t>12</w:t>
      </w:r>
      <w:r w:rsidRPr="00D739A7">
        <w:t>%; the total average for the 2</w:t>
      </w:r>
      <w:r w:rsidR="00CC401D" w:rsidRPr="00D739A7">
        <w:t>9</w:t>
      </w:r>
      <w:r w:rsidRPr="00D739A7">
        <w:t xml:space="preserve"> countries is 6</w:t>
      </w:r>
      <w:r w:rsidR="00CC401D" w:rsidRPr="00D739A7">
        <w:t>4.97</w:t>
      </w:r>
      <w:r w:rsidRPr="00D739A7">
        <w:t>%.</w:t>
      </w:r>
    </w:p>
    <w:p w14:paraId="60056D46" w14:textId="4237E96E" w:rsidR="009F2D7A" w:rsidRPr="00D739A7" w:rsidRDefault="00CC401D" w:rsidP="00CC401D">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3D49D02B" wp14:editId="17564C8C">
            <wp:extent cx="3054350" cy="7306147"/>
            <wp:effectExtent l="0" t="0" r="6350" b="9525"/>
            <wp:docPr id="78" name="Diagram 78" descr="Austria 68.74&#10;Belgium (Fl) 19.11&#10;Bulgaria 81.38&#10;Cyprus 82.47&#10;Czech Republic 68.16&#10;Estonia 37.34&#10;Finland 38.98&#10;France 58.91&#10;Germany 43.39&#10;Greece 71.75&#10;Hungary 66.84&#10;Iceland  91.81&#10;Ireland 79.45&#10;Italy 99.12&#10;Latvia 39.05&#10;Lithuania 89.42&#10;Luxembourg 50.00&#10;Malta 94.65&#10;Norway 91.89&#10;Poland 56.88&#10;Portugal 84.47&#10;Slovakia 62.68&#10;Slovenia 73.80&#10;Spain 80.38&#10;Sweden 11.21&#10;UK (England) 51.96&#10;UK (N. Ireland) 60.00&#10;UK (Scotland) 94.50&#10;UK (Wales) 43.06&#10;Total average (29) 64.97">
              <a:extLst xmlns:a="http://schemas.openxmlformats.org/drawingml/2006/main">
                <a:ext uri="{FF2B5EF4-FFF2-40B4-BE49-F238E27FC236}">
                  <a16:creationId xmlns:a16="http://schemas.microsoft.com/office/drawing/2014/main" id="{5957DFAE-5470-43C9-8DE9-5A0127CE45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B3DFB5C" w14:textId="7F1C71ED" w:rsidR="009F2D7A" w:rsidRPr="00D739A7" w:rsidRDefault="00D91447" w:rsidP="00D91447">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63</w:t>
      </w:r>
      <w:r w:rsidRPr="00D739A7">
        <w:fldChar w:fldCharType="end"/>
      </w:r>
      <w:r w:rsidR="009F2D7A" w:rsidRPr="00D739A7">
        <w:t>. Percentage of learners with an official decision of SEN in inclusive education, based on the population of learners with an official decision of SEN (%)</w:t>
      </w:r>
    </w:p>
    <w:p w14:paraId="23E0C59A"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8D7723">
          <w:type w:val="continuous"/>
          <w:pgSz w:w="11899" w:h="16838"/>
          <w:pgMar w:top="1134" w:right="1551" w:bottom="1276" w:left="1418" w:header="709" w:footer="709" w:gutter="0"/>
          <w:cols w:num="2" w:space="710" w:equalWidth="0">
            <w:col w:w="3333" w:space="710"/>
            <w:col w:w="4887"/>
          </w:cols>
          <w:docGrid w:linePitch="360"/>
        </w:sectPr>
      </w:pPr>
    </w:p>
    <w:p w14:paraId="01095BDF" w14:textId="77777777" w:rsidR="009F2D7A" w:rsidRPr="00D739A7" w:rsidRDefault="009F2D7A" w:rsidP="004A29D9">
      <w:pPr>
        <w:pStyle w:val="Agency-heading-4-report"/>
      </w:pPr>
      <w:r w:rsidRPr="00D739A7">
        <w:lastRenderedPageBreak/>
        <w:t>Gender breakdown of learners with an official decision of SEN in inclusive education, based on the population of learners with an official decision of SEN (%)</w:t>
      </w:r>
    </w:p>
    <w:p w14:paraId="5F1632F5"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71ADBCA4" w14:textId="77777777" w:rsidR="009F2D7A" w:rsidRPr="00D739A7" w:rsidRDefault="009F2D7A" w:rsidP="004E024F">
      <w:pPr>
        <w:pStyle w:val="Agency-body-text-report"/>
      </w:pPr>
      <w:r w:rsidRPr="00D739A7">
        <w:t>The gender breakdowns have been calculated as follows:</w:t>
      </w:r>
    </w:p>
    <w:p w14:paraId="312ACA81" w14:textId="023D30A4" w:rsidR="009F2D7A" w:rsidRPr="00D739A7" w:rsidRDefault="00EF3C3C" w:rsidP="004E024F">
      <w:pPr>
        <w:pStyle w:val="Agency-body-text-report"/>
      </w:pPr>
      <w:r w:rsidRPr="00D739A7">
        <w:t>Boys</w:t>
      </w:r>
      <w:r w:rsidR="009F2D7A" w:rsidRPr="00D739A7">
        <w:t>: The number of boys with an official decision of SEN who are educated in mainstream classes for at least 80% of the time (Q3.2) / The number of learners with an official decision of SEN (Q3.1) x 100.</w:t>
      </w:r>
    </w:p>
    <w:p w14:paraId="51A77221" w14:textId="007FBCC1" w:rsidR="009F2D7A" w:rsidRPr="00D739A7" w:rsidRDefault="00EF3C3C" w:rsidP="004E024F">
      <w:pPr>
        <w:pStyle w:val="Agency-body-text-report"/>
      </w:pPr>
      <w:r w:rsidRPr="00D739A7">
        <w:t>Girls</w:t>
      </w:r>
      <w:r w:rsidR="009F2D7A" w:rsidRPr="00D739A7">
        <w:t>: The number of girls with an official decision of SEN who are educated in mainstream classes for at least 80% of the time (Q3.2) / The number of learners with an official decision of SEN (Q3.1) x 100.</w:t>
      </w:r>
    </w:p>
    <w:p w14:paraId="1FD24FD4" w14:textId="277DC00A" w:rsidR="009F2D7A" w:rsidRPr="00D739A7" w:rsidRDefault="009F2D7A" w:rsidP="004E024F">
      <w:pPr>
        <w:pStyle w:val="Agency-body-text-report"/>
      </w:pPr>
      <w:r w:rsidRPr="00D739A7">
        <w:t>Data is available from 2</w:t>
      </w:r>
      <w:r w:rsidR="00B60B68" w:rsidRPr="00D739A7">
        <w:t>6</w:t>
      </w:r>
      <w:r w:rsidRPr="00D739A7">
        <w:t xml:space="preserve"> countries.</w:t>
      </w:r>
    </w:p>
    <w:p w14:paraId="624D4ACF" w14:textId="1A9A238E" w:rsidR="009F2D7A" w:rsidRPr="00D739A7" w:rsidRDefault="009F2D7A" w:rsidP="004E024F">
      <w:pPr>
        <w:pStyle w:val="Agency-body-text-report"/>
      </w:pPr>
      <w:r w:rsidRPr="00D739A7">
        <w:t xml:space="preserve">The inclusive education enrolment rates of </w:t>
      </w:r>
      <w:r w:rsidR="00932FFF" w:rsidRPr="00D739A7">
        <w:t xml:space="preserve">boys </w:t>
      </w:r>
      <w:r w:rsidRPr="00D739A7">
        <w:t xml:space="preserve">with an official decision of SEN, based on the whole population of learners with an official decision of SEN, range from </w:t>
      </w:r>
      <w:r w:rsidR="00B60B68" w:rsidRPr="00D739A7">
        <w:t>6.62</w:t>
      </w:r>
      <w:r w:rsidRPr="00D739A7">
        <w:t xml:space="preserve">% to </w:t>
      </w:r>
      <w:r w:rsidR="00B60B68" w:rsidRPr="00D739A7">
        <w:t>70.15</w:t>
      </w:r>
      <w:r w:rsidRPr="00D739A7">
        <w:t>%; the total average for the 2</w:t>
      </w:r>
      <w:r w:rsidR="00B60B68" w:rsidRPr="00D739A7">
        <w:t>6</w:t>
      </w:r>
      <w:r w:rsidRPr="00D739A7">
        <w:t xml:space="preserve"> countries is 4</w:t>
      </w:r>
      <w:r w:rsidR="00B60B68" w:rsidRPr="00D739A7">
        <w:t>3.65</w:t>
      </w:r>
      <w:r w:rsidRPr="00D739A7">
        <w:t>%.</w:t>
      </w:r>
    </w:p>
    <w:p w14:paraId="4A3BDC63" w14:textId="519392CC" w:rsidR="009F2D7A" w:rsidRPr="00D739A7" w:rsidRDefault="009F2D7A" w:rsidP="004E024F">
      <w:pPr>
        <w:pStyle w:val="Agency-body-text-report"/>
      </w:pPr>
      <w:r w:rsidRPr="00D739A7">
        <w:t xml:space="preserve">The inclusive education enrolment rates of </w:t>
      </w:r>
      <w:r w:rsidR="00932FFF" w:rsidRPr="00D739A7">
        <w:t xml:space="preserve">girls </w:t>
      </w:r>
      <w:r w:rsidRPr="00D739A7">
        <w:t xml:space="preserve">with an official decision of SEN, based on the whole population of learners with an official decision of SEN, range from </w:t>
      </w:r>
      <w:r w:rsidR="00B60B68" w:rsidRPr="00D739A7">
        <w:t>4.</w:t>
      </w:r>
      <w:r w:rsidR="0002117F" w:rsidRPr="00D739A7">
        <w:t>5</w:t>
      </w:r>
      <w:r w:rsidR="00B60B68" w:rsidRPr="00D739A7">
        <w:t>8</w:t>
      </w:r>
      <w:r w:rsidRPr="00D739A7">
        <w:t>% to 3</w:t>
      </w:r>
      <w:r w:rsidR="00B60B68" w:rsidRPr="00D739A7">
        <w:t>7.71</w:t>
      </w:r>
      <w:r w:rsidRPr="00D739A7">
        <w:t>%; the total average for the 2</w:t>
      </w:r>
      <w:r w:rsidR="00B60B68" w:rsidRPr="00D739A7">
        <w:t>6</w:t>
      </w:r>
      <w:r w:rsidRPr="00D739A7">
        <w:t xml:space="preserve"> countries is </w:t>
      </w:r>
      <w:r w:rsidR="00B60B68" w:rsidRPr="00D739A7">
        <w:t>20.84</w:t>
      </w:r>
      <w:r w:rsidRPr="00D739A7">
        <w:t>%.</w:t>
      </w:r>
    </w:p>
    <w:p w14:paraId="2CD8C4A8" w14:textId="37CEBBB6" w:rsidR="009F2D7A" w:rsidRPr="00D739A7" w:rsidRDefault="00B60B68" w:rsidP="005724D7">
      <w:pPr>
        <w:spacing w:before="120" w:after="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3F2D6A44" wp14:editId="06866181">
            <wp:extent cx="3060700" cy="7448550"/>
            <wp:effectExtent l="0" t="0" r="12700" b="6350"/>
            <wp:docPr id="79" name="Diagram 79" descr="Austria Boys 42.96 Girls 25.78&#10;Belgium (Fl) Boys 14.18 Girls 4.93&#10;Bulgaria Boys 52.35 Girls 29.03&#10;Cyprus Boys 55.53 Girls 26.94&#10;Czech Republic Boys 47.53 Girls 20.64&#10;Estonia Boys 24.27 Girls 13.07&#10;Finland Boys 27.29 Girls 11.69&#10;France Boys 43.07 Girls 15.84&#10;Germany Boys 28.25 Girls 15.13&#10;Greece Boys 50.09 Girls 21.66&#10;Hungary Boys 44.44 Girls 22.40&#10;Iceland  Boys 59.85 Girls 31.97&#10;Ireland Boys 57.72 Girls 21.73&#10;Italy Boys 70.15 Girls 28.97  &#10;Lithuania Boys 59.01 Girls 30.41  &#10;Malta Boys 64.35 Girls 30.30  &#10;Poland Boys 37.74 Girls 19.14&#10;Portugal Boys 52.58 Girls 31.89&#10;Slovakia Boys 38.11 Girls 24.57&#10;Slovenia Boys 50.58 Girls 23.22&#10;Spain Boys 54.92 Girls 25.47&#10;Sweden Boys 6.62 Girls 4.58&#10;UK (England) Boys 38.21 Girls 13.75&#10;UK (N. Ireland) Boys 43.98 Girls 16.02&#10;UK (Scotland) Boys 56.79 Girls 37.71&#10;UK (Wales) Boys 31.76 Girls 11.29&#10;Total average (26) Boys 43.65 Girls 20.84">
              <a:extLst xmlns:a="http://schemas.openxmlformats.org/drawingml/2006/main">
                <a:ext uri="{FF2B5EF4-FFF2-40B4-BE49-F238E27FC236}">
                  <a16:creationId xmlns:a16="http://schemas.microsoft.com/office/drawing/2014/main" id="{F2C86D0F-935A-4BAC-9658-1D89CDD076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2FD21D9" w14:textId="317D06FB" w:rsidR="009F2D7A" w:rsidRPr="00D739A7" w:rsidRDefault="00D91447" w:rsidP="00D91447">
      <w:pPr>
        <w:pStyle w:val="Agency-caption-report"/>
        <w:spacing w:before="120" w:after="120"/>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64</w:t>
      </w:r>
      <w:r w:rsidRPr="00D739A7">
        <w:fldChar w:fldCharType="end"/>
      </w:r>
      <w:r w:rsidR="009F2D7A" w:rsidRPr="00D739A7">
        <w:t>. Gender breakdown of learners with an official decision of SEN in inclusive education, based on the population of learners with an official decision of SEN (%)</w:t>
      </w:r>
    </w:p>
    <w:p w14:paraId="140839E2"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8D7723">
          <w:type w:val="continuous"/>
          <w:pgSz w:w="11899" w:h="16838"/>
          <w:pgMar w:top="1134" w:right="1551" w:bottom="1276" w:left="1418" w:header="709" w:footer="709" w:gutter="0"/>
          <w:cols w:num="2" w:space="710" w:equalWidth="0">
            <w:col w:w="3333" w:space="710"/>
            <w:col w:w="4887"/>
          </w:cols>
          <w:docGrid w:linePitch="360"/>
        </w:sectPr>
      </w:pPr>
    </w:p>
    <w:p w14:paraId="1AA1417C" w14:textId="77777777" w:rsidR="009F2D7A" w:rsidRPr="00D739A7" w:rsidRDefault="009F2D7A" w:rsidP="004A29D9">
      <w:pPr>
        <w:pStyle w:val="Agency-heading-4-report"/>
      </w:pPr>
      <w:r w:rsidRPr="00D739A7">
        <w:lastRenderedPageBreak/>
        <w:t>Gender distribution of learners with an official decision of SEN in inclusive education, based on the population of learners with an official decision of SEN (%)</w:t>
      </w:r>
    </w:p>
    <w:p w14:paraId="3759F63C"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11481A84" w14:textId="77777777" w:rsidR="009F2D7A" w:rsidRPr="00D739A7" w:rsidRDefault="009F2D7A" w:rsidP="005724D7">
      <w:pPr>
        <w:pStyle w:val="Agency-body-text-report"/>
      </w:pPr>
      <w:r w:rsidRPr="00D739A7">
        <w:t>The gender distributions have been calculated as follows:</w:t>
      </w:r>
    </w:p>
    <w:p w14:paraId="162DEEB5" w14:textId="25737DF8" w:rsidR="009F2D7A" w:rsidRPr="00D739A7" w:rsidRDefault="00EF3C3C" w:rsidP="005724D7">
      <w:pPr>
        <w:pStyle w:val="Agency-body-text-report"/>
        <w:rPr>
          <w:szCs w:val="20"/>
        </w:rPr>
      </w:pPr>
      <w:r w:rsidRPr="00D739A7">
        <w:t>Boys</w:t>
      </w:r>
      <w:r w:rsidR="009F2D7A" w:rsidRPr="00D739A7">
        <w:t>:</w:t>
      </w:r>
      <w:r w:rsidR="009F2D7A" w:rsidRPr="00D739A7">
        <w:rPr>
          <w:szCs w:val="20"/>
        </w:rPr>
        <w:t xml:space="preserve"> The number of boys with an official decision of SEN who are educated in mainstream classes for at least 80% of the time (Q3.2) / The number of learners with an official decision of SEN who are educated in mainstream classes for at least 80% of the time (Q3.2) x 100.</w:t>
      </w:r>
    </w:p>
    <w:p w14:paraId="7B2B446E" w14:textId="5AB44F1C" w:rsidR="009F2D7A" w:rsidRPr="00D739A7" w:rsidRDefault="00EF3C3C" w:rsidP="005724D7">
      <w:pPr>
        <w:pStyle w:val="Agency-body-text-report"/>
        <w:rPr>
          <w:szCs w:val="20"/>
        </w:rPr>
      </w:pPr>
      <w:r w:rsidRPr="00D739A7">
        <w:t>Girls</w:t>
      </w:r>
      <w:r w:rsidR="009F2D7A" w:rsidRPr="00D739A7">
        <w:t>:</w:t>
      </w:r>
      <w:r w:rsidR="009F2D7A" w:rsidRPr="00D739A7">
        <w:rPr>
          <w:szCs w:val="20"/>
        </w:rPr>
        <w:t xml:space="preserve"> The number of girls with an official decision of SEN who are educated in mainstream classes for at least 80% of the time (Q3.2) / The number of learners with an official decision of SEN who are educated in mainstream classes for at least 80% of the time (Q3.2) x 100.</w:t>
      </w:r>
    </w:p>
    <w:p w14:paraId="45ED3662" w14:textId="1B76EAA2" w:rsidR="009F2D7A" w:rsidRPr="00D739A7" w:rsidRDefault="009F2D7A" w:rsidP="005724D7">
      <w:pPr>
        <w:pStyle w:val="Agency-body-text-report"/>
      </w:pPr>
      <w:r w:rsidRPr="00D739A7">
        <w:t>Data is available from 2</w:t>
      </w:r>
      <w:r w:rsidR="00B60B68" w:rsidRPr="00D739A7">
        <w:t>6</w:t>
      </w:r>
      <w:r w:rsidRPr="00D739A7">
        <w:t xml:space="preserve"> countries.</w:t>
      </w:r>
    </w:p>
    <w:p w14:paraId="384C2259" w14:textId="0214443E" w:rsidR="009F2D7A" w:rsidRPr="00D739A7" w:rsidRDefault="009F2D7A" w:rsidP="005724D7">
      <w:pPr>
        <w:pStyle w:val="Agency-body-text-report"/>
        <w:rPr>
          <w:bCs/>
        </w:rPr>
      </w:pPr>
      <w:r w:rsidRPr="00D739A7">
        <w:rPr>
          <w:bCs/>
        </w:rPr>
        <w:t>The proportion of boys with an official decision of SEN in inclusive education, based on the population of learners with an official decision of SEN, ranges from 5</w:t>
      </w:r>
      <w:r w:rsidR="00B60B68" w:rsidRPr="00D739A7">
        <w:rPr>
          <w:bCs/>
        </w:rPr>
        <w:t>9.11</w:t>
      </w:r>
      <w:r w:rsidRPr="00D739A7">
        <w:rPr>
          <w:bCs/>
        </w:rPr>
        <w:t>% to 7</w:t>
      </w:r>
      <w:r w:rsidR="00B60B68" w:rsidRPr="00D739A7">
        <w:rPr>
          <w:bCs/>
        </w:rPr>
        <w:t>4.20</w:t>
      </w:r>
      <w:r w:rsidRPr="00D739A7">
        <w:rPr>
          <w:bCs/>
        </w:rPr>
        <w:t>%; the total average for the 2</w:t>
      </w:r>
      <w:r w:rsidR="00B60B68" w:rsidRPr="00D739A7">
        <w:rPr>
          <w:bCs/>
        </w:rPr>
        <w:t>6</w:t>
      </w:r>
      <w:r w:rsidRPr="00D739A7">
        <w:rPr>
          <w:bCs/>
        </w:rPr>
        <w:t xml:space="preserve"> countries is 67.</w:t>
      </w:r>
      <w:r w:rsidR="00B60B68" w:rsidRPr="00D739A7">
        <w:rPr>
          <w:bCs/>
        </w:rPr>
        <w:t>68</w:t>
      </w:r>
      <w:r w:rsidRPr="00D739A7">
        <w:rPr>
          <w:bCs/>
        </w:rPr>
        <w:t>%.</w:t>
      </w:r>
    </w:p>
    <w:p w14:paraId="5BCE7484" w14:textId="6F10B11A" w:rsidR="009F2D7A" w:rsidRPr="00D739A7" w:rsidRDefault="009F2D7A" w:rsidP="005724D7">
      <w:pPr>
        <w:pStyle w:val="Agency-body-text-report"/>
        <w:rPr>
          <w:bCs/>
        </w:rPr>
      </w:pPr>
      <w:r w:rsidRPr="00D739A7">
        <w:rPr>
          <w:bCs/>
        </w:rPr>
        <w:t>The proportion of girls with an official decision of SEN in inclusive education, based on the population of learners with an official decision of SEN, ranges from 2</w:t>
      </w:r>
      <w:r w:rsidR="00B60B68" w:rsidRPr="00D739A7">
        <w:rPr>
          <w:bCs/>
        </w:rPr>
        <w:t>5.80</w:t>
      </w:r>
      <w:r w:rsidRPr="00D739A7">
        <w:rPr>
          <w:bCs/>
        </w:rPr>
        <w:t>% to 4</w:t>
      </w:r>
      <w:r w:rsidR="00B60B68" w:rsidRPr="00D739A7">
        <w:rPr>
          <w:bCs/>
        </w:rPr>
        <w:t>0.89</w:t>
      </w:r>
      <w:r w:rsidRPr="00D739A7">
        <w:rPr>
          <w:bCs/>
        </w:rPr>
        <w:t>%; the total average for the 2</w:t>
      </w:r>
      <w:r w:rsidR="00B60B68" w:rsidRPr="00D739A7">
        <w:rPr>
          <w:bCs/>
        </w:rPr>
        <w:t>6</w:t>
      </w:r>
      <w:r w:rsidRPr="00D739A7">
        <w:rPr>
          <w:bCs/>
        </w:rPr>
        <w:t xml:space="preserve"> countries is 32.</w:t>
      </w:r>
      <w:r w:rsidR="00B60B68" w:rsidRPr="00D739A7">
        <w:rPr>
          <w:bCs/>
        </w:rPr>
        <w:t>32</w:t>
      </w:r>
      <w:r w:rsidRPr="00D739A7">
        <w:rPr>
          <w:bCs/>
        </w:rPr>
        <w:t>%.</w:t>
      </w:r>
    </w:p>
    <w:p w14:paraId="5B129122" w14:textId="097C922E" w:rsidR="009F2D7A" w:rsidRPr="00D739A7" w:rsidRDefault="00B60B68" w:rsidP="00B60B68">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3C8C57A7" wp14:editId="39933934">
            <wp:extent cx="3048000" cy="7448550"/>
            <wp:effectExtent l="0" t="0" r="12700" b="6350"/>
            <wp:docPr id="80" name="Diagram 80" descr="Austria Boys 62.50 Girls 37.50&#10;Belgium (Fl) Boys 74.20 Girls 25.80&#10;Bulgaria Boys 64.33 Girls 35.67&#10;Cyprus Boys 67.33 Girls 32.67&#10;Czech Republic Boys 69.73 Girls 30.27&#10;Estonia Boys 64.99 Girls 35.01&#10;Finland Boys 70.00 Girls 30.00&#10;France Boys 73.12 Girls 26.88&#10;Germany Boys 65.12 Girls 34.88&#10;Greece Boys 69.81 Girls 30.19&#10;Hungary Boys 66.49 Girls 33.51&#10;Iceland  Boys 65.18 Girls 34.82&#10;Ireland Boys 72.65 Girls 27.35&#10;Italy Boys 70.77 Girls 29.23  &#10;Lithuania Boys 66.00 Girls 34.00  &#10;Malta Boys 67.98 Girls 32.02  &#10;Poland Boys 66.36 Girls 33.64&#10;Portugal Boys 62.25 Girls 37.75&#10;Slovakia Boys 60.80 Girls 39.20&#10;Slovenia Boys 68.53 Girls 31.47&#10;Spain Boys 68.32 Girls 31.68&#10;Sweden Boys 59.11 Girls 40.89&#10;UK (England) Boys 73.54 Girls 26.46&#10;UK (N. Ireland) Boys 73.31 Girls 26.69&#10;UK (Scotland) Boys 60.10 Girls 39.90&#10;UK (Wales) Boys 73.77 Girls 26.23&#10;Total average (26) Boys 67.68 Girls 32.32">
              <a:extLst xmlns:a="http://schemas.openxmlformats.org/drawingml/2006/main">
                <a:ext uri="{FF2B5EF4-FFF2-40B4-BE49-F238E27FC236}">
                  <a16:creationId xmlns:a16="http://schemas.microsoft.com/office/drawing/2014/main" id="{279A67F0-462D-475B-A8DF-19A8C0792C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2569945" w14:textId="36C9AE6A" w:rsidR="009F2D7A" w:rsidRPr="00D739A7" w:rsidRDefault="00D91447" w:rsidP="00783F38">
      <w:pPr>
        <w:pStyle w:val="Agency-caption-report"/>
        <w:spacing w:before="120" w:after="120"/>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65</w:t>
      </w:r>
      <w:r w:rsidRPr="00D739A7">
        <w:fldChar w:fldCharType="end"/>
      </w:r>
      <w:r w:rsidR="009F2D7A" w:rsidRPr="00D739A7">
        <w:t>. Gender distribution of learners with an official decision of SEN in inclusive education, based on the population of learners with an official decision of SEN (%)</w:t>
      </w:r>
    </w:p>
    <w:p w14:paraId="7F42D6B0"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8D7723">
          <w:type w:val="continuous"/>
          <w:pgSz w:w="11899" w:h="16838"/>
          <w:pgMar w:top="1134" w:right="1551" w:bottom="1276" w:left="1418" w:header="709" w:footer="709" w:gutter="0"/>
          <w:cols w:num="2" w:space="710" w:equalWidth="0">
            <w:col w:w="3333" w:space="710"/>
            <w:col w:w="4887"/>
          </w:cols>
          <w:docGrid w:linePitch="360"/>
        </w:sectPr>
      </w:pPr>
    </w:p>
    <w:p w14:paraId="42330A0F" w14:textId="77777777" w:rsidR="009F2D7A" w:rsidRPr="00D739A7" w:rsidRDefault="009F2D7A" w:rsidP="004A29D9">
      <w:pPr>
        <w:pStyle w:val="Agency-heading-4-report"/>
      </w:pPr>
      <w:r w:rsidRPr="00D739A7">
        <w:lastRenderedPageBreak/>
        <w:t>ISCED breakdown of learners with an official decision of SEN in inclusive education, based on the population of learners with an official decision of SEN (%)</w:t>
      </w:r>
    </w:p>
    <w:p w14:paraId="3B15BF7C"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4C5FD050" w14:textId="77777777" w:rsidR="009F2D7A" w:rsidRPr="00D739A7" w:rsidRDefault="009F2D7A" w:rsidP="002B254D">
      <w:pPr>
        <w:pStyle w:val="Agency-body-text-report"/>
      </w:pPr>
      <w:r w:rsidRPr="00D739A7">
        <w:t>The ISCED breakdowns have been calculated as follows:</w:t>
      </w:r>
    </w:p>
    <w:p w14:paraId="12C765DB" w14:textId="4D40C148" w:rsidR="009F2D7A" w:rsidRPr="00D739A7" w:rsidRDefault="009F2D7A" w:rsidP="002B254D">
      <w:pPr>
        <w:pStyle w:val="Agency-body-text-report"/>
      </w:pPr>
      <w:r w:rsidRPr="00D739A7">
        <w:t xml:space="preserve">ISCED 1: The number of learners in </w:t>
      </w:r>
      <w:r w:rsidR="00436B97" w:rsidRPr="00D739A7">
        <w:t>ISCED 1</w:t>
      </w:r>
      <w:r w:rsidRPr="00D739A7">
        <w:t xml:space="preserve"> with an official decision of SEN who are educated in mainstream classes for at least 80% of the time (Q3.2) / The number of learners with an official decision of SEN (Q3.1) x 100.</w:t>
      </w:r>
    </w:p>
    <w:p w14:paraId="069B3F67" w14:textId="72AFA385" w:rsidR="009F2D7A" w:rsidRPr="00D739A7" w:rsidRDefault="009F2D7A" w:rsidP="002B254D">
      <w:pPr>
        <w:pStyle w:val="Agency-body-text-report"/>
      </w:pPr>
      <w:r w:rsidRPr="00D739A7">
        <w:t xml:space="preserve">ISCED 2: The number of learners in </w:t>
      </w:r>
      <w:r w:rsidR="00436B97" w:rsidRPr="00D739A7">
        <w:t>ISCED 2</w:t>
      </w:r>
      <w:r w:rsidRPr="00D739A7">
        <w:t xml:space="preserve"> with an official decision of SEN who are educated in mainstream classes for at least 80% of the time (Q3.2) / The number of learners with an official decision of SEN (Q3.1) x 100.</w:t>
      </w:r>
    </w:p>
    <w:p w14:paraId="0CDC18C7" w14:textId="3561D3F8" w:rsidR="009F2D7A" w:rsidRPr="00D739A7" w:rsidRDefault="009F2D7A" w:rsidP="002B254D">
      <w:pPr>
        <w:pStyle w:val="Agency-body-text-report"/>
        <w:rPr>
          <w:bCs/>
        </w:rPr>
      </w:pPr>
      <w:r w:rsidRPr="00D739A7">
        <w:rPr>
          <w:bCs/>
        </w:rPr>
        <w:t>Data is available from 2</w:t>
      </w:r>
      <w:r w:rsidR="00B60B68" w:rsidRPr="00D739A7">
        <w:rPr>
          <w:bCs/>
        </w:rPr>
        <w:t>9</w:t>
      </w:r>
      <w:r w:rsidRPr="00D739A7">
        <w:rPr>
          <w:bCs/>
        </w:rPr>
        <w:t xml:space="preserve"> countries.</w:t>
      </w:r>
    </w:p>
    <w:p w14:paraId="72AF5345" w14:textId="6D8D4C4B" w:rsidR="009F2D7A" w:rsidRPr="00D739A7" w:rsidRDefault="009F2D7A" w:rsidP="002B254D">
      <w:pPr>
        <w:pStyle w:val="Agency-body-text-report"/>
      </w:pPr>
      <w:r w:rsidRPr="00D739A7">
        <w:t>The inclusive education enrolment rates for learners with an official decision of SEN</w:t>
      </w:r>
      <w:r w:rsidR="002B254D" w:rsidRPr="00D739A7">
        <w:t xml:space="preserve"> in ISCED 1</w:t>
      </w:r>
      <w:r w:rsidRPr="00D739A7">
        <w:t xml:space="preserve">, based on the whole population of learners with an official decision of SEN, range from </w:t>
      </w:r>
      <w:r w:rsidR="00B60B68" w:rsidRPr="00D739A7">
        <w:t>6.85</w:t>
      </w:r>
      <w:r w:rsidRPr="00D739A7">
        <w:t>% to 6</w:t>
      </w:r>
      <w:r w:rsidR="00B60B68" w:rsidRPr="00D739A7">
        <w:t>2.12</w:t>
      </w:r>
      <w:r w:rsidRPr="00D739A7">
        <w:t>%; the total average for the 2</w:t>
      </w:r>
      <w:r w:rsidR="00B60B68" w:rsidRPr="00D739A7">
        <w:t>9</w:t>
      </w:r>
      <w:r w:rsidRPr="00D739A7">
        <w:t xml:space="preserve"> countries is 3</w:t>
      </w:r>
      <w:r w:rsidR="00B60B68" w:rsidRPr="00D739A7">
        <w:t>6.92</w:t>
      </w:r>
      <w:r w:rsidRPr="00D739A7">
        <w:t>%.</w:t>
      </w:r>
    </w:p>
    <w:p w14:paraId="4B1A7B1F" w14:textId="60B4BC60" w:rsidR="009F2D7A" w:rsidRPr="00D739A7" w:rsidRDefault="009F2D7A" w:rsidP="002B254D">
      <w:pPr>
        <w:pStyle w:val="Agency-body-text-report"/>
      </w:pPr>
      <w:r w:rsidRPr="00D739A7">
        <w:t>The inclusive education enrolment rates for learners with an official decision of SEN</w:t>
      </w:r>
      <w:r w:rsidR="002B254D" w:rsidRPr="00D739A7">
        <w:t xml:space="preserve"> in ISCED 2</w:t>
      </w:r>
      <w:r w:rsidRPr="00D739A7">
        <w:t xml:space="preserve">, based on the whole population of learners with an official decision of SEN, range from </w:t>
      </w:r>
      <w:r w:rsidR="00B60B68" w:rsidRPr="00D739A7">
        <w:t>4.36</w:t>
      </w:r>
      <w:r w:rsidRPr="00D739A7">
        <w:t xml:space="preserve">% to </w:t>
      </w:r>
      <w:r w:rsidR="00B60B68" w:rsidRPr="00D739A7">
        <w:t>43.21</w:t>
      </w:r>
      <w:r w:rsidRPr="00D739A7">
        <w:t>%; the total average for the 2</w:t>
      </w:r>
      <w:r w:rsidR="00B60B68" w:rsidRPr="00D739A7">
        <w:t>9</w:t>
      </w:r>
      <w:r w:rsidRPr="00D739A7">
        <w:t xml:space="preserve"> countries is 2</w:t>
      </w:r>
      <w:r w:rsidR="00B60B68" w:rsidRPr="00D739A7">
        <w:t>8.05</w:t>
      </w:r>
      <w:r w:rsidRPr="00D739A7">
        <w:t>%.</w:t>
      </w:r>
    </w:p>
    <w:p w14:paraId="562A3756" w14:textId="2EC79B5C" w:rsidR="009F2D7A" w:rsidRPr="00D739A7" w:rsidRDefault="00B60B68" w:rsidP="00B60B68">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7A5FAFE" wp14:editId="2906B702">
            <wp:extent cx="3067050" cy="7442200"/>
            <wp:effectExtent l="0" t="0" r="6350" b="12700"/>
            <wp:docPr id="81" name="Diagram 81" descr="Austria ISCED 1 - 27.06 ISCED 2 - 41.67&#10;Belgium (Fl) ISCED 1 - 11.73 ISCED 2 - 7.37&#10;Bulgaria ISCED 1 - 43.59 ISCED 2 - 37.79&#10;Cyprus ISCED 1 - 54.60 ISCED 2 - 27.87&#10;Czech Republic ISCED 1 -  33.61 ISCED 2 - 34.55&#10;Estonia ISCED 1 - 24.99 ISCED 2 - 12.35&#10;Finland ISCED 1 - 21.69 ISCED 2 - 17.29&#10;France ISCED 1 - 33.40 ISCED 2 - 25.51&#10;Germany ISCED 1 - 19.36 ISCED 2 - 24.03&#10;Greece ISCED 1 - 39.01 ISCED 2 - 32.74&#10;Hungary ISCED 1 - 28.59 ISCED 2 - 38.25&#10;Iceland  ISCED 1 - 62.12 ISCED 2 - 29.70&#10;Ireland ISCED 1 - 60.23 ISCED 2 - 19.22&#10;Italy ISCED 1 - 55.91 ISCED 2 - 43.21&#10;Latvia ISCED 1 - 25.71 ISCED 2 - 13.34&#10;Lithuania ISCED 1 - 52.41 ISCED 2 - 37.02&#10;Luxembourg ISCED 1 - 35.45 ISCED 2 - 14.55&#10;Malta ISCED 1 - 57.80 ISCED 2 - 34.09&#10;Poland ISCED 1 - 37.93 ISCED 2 - 18.96&#10;Portugal ISCED 1 - 52.06 ISCED 2 - 32.40&#10;Slovakia ISCED 1 - 28.15 ISCED 2 - 34.52&#10;Slovenia ISCED 1 - 39.92 ISCED 2 - 33.88&#10;Spain ISCED 1 - 50.92 ISCED 2 - 29.47&#10;Sweden ISCED 1 - 6.85 ISCED 2 - 4.36&#10;UK (England) ISCED 1 - 33.97 ISCED 2 - 17.98&#10;UK (N. Ireland) ISCED 1 - 28.97 ISCED 2 - 31.03&#10;UK (Scotland) ISCED 1 - 56.71 ISCED 2 - 37.79&#10;UK (Wales) ISCED 1 - 19.80 ISCED 2 - 23.26&#10;Total average (29) ISCED 1 - 36.92 ISCED 2 - 28.05">
              <a:extLst xmlns:a="http://schemas.openxmlformats.org/drawingml/2006/main">
                <a:ext uri="{FF2B5EF4-FFF2-40B4-BE49-F238E27FC236}">
                  <a16:creationId xmlns:a16="http://schemas.microsoft.com/office/drawing/2014/main" id="{3D853287-8F47-4AD1-BFA5-B03F63066D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C99B8D5" w14:textId="12C3436F" w:rsidR="009F2D7A" w:rsidRPr="00D739A7" w:rsidRDefault="00CF365A" w:rsidP="00783F38">
      <w:pPr>
        <w:pStyle w:val="Agency-caption-report"/>
        <w:spacing w:before="120" w:after="120"/>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66</w:t>
      </w:r>
      <w:r w:rsidRPr="00D739A7">
        <w:fldChar w:fldCharType="end"/>
      </w:r>
      <w:r w:rsidR="009F2D7A" w:rsidRPr="00D739A7">
        <w:t>. ISCED breakdown of learners with an official decision of SEN in inclusive education, based on the population of learners with an official decision of SEN (%)</w:t>
      </w:r>
    </w:p>
    <w:p w14:paraId="20548E02"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890A8D">
          <w:type w:val="continuous"/>
          <w:pgSz w:w="11899" w:h="16838"/>
          <w:pgMar w:top="1134" w:right="1551" w:bottom="1276" w:left="1418" w:header="709" w:footer="709" w:gutter="0"/>
          <w:cols w:num="2" w:space="710" w:equalWidth="0">
            <w:col w:w="3333" w:space="710"/>
            <w:col w:w="4887"/>
          </w:cols>
          <w:docGrid w:linePitch="360"/>
        </w:sectPr>
      </w:pPr>
    </w:p>
    <w:p w14:paraId="66D8B944" w14:textId="77777777" w:rsidR="009F2D7A" w:rsidRPr="00D739A7" w:rsidRDefault="009F2D7A" w:rsidP="004A29D9">
      <w:pPr>
        <w:pStyle w:val="Agency-heading-4-report"/>
      </w:pPr>
      <w:r w:rsidRPr="00D739A7">
        <w:lastRenderedPageBreak/>
        <w:t>ISCED distribution of learners with an official decision of SEN in inclusive education, based on the population of learners with an official decision of SEN (%)</w:t>
      </w:r>
    </w:p>
    <w:p w14:paraId="23485E0A"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2A4C7489" w14:textId="77777777" w:rsidR="009F2D7A" w:rsidRPr="00D739A7" w:rsidRDefault="009F2D7A" w:rsidP="002B254D">
      <w:pPr>
        <w:pStyle w:val="Agency-body-text-report"/>
      </w:pPr>
      <w:r w:rsidRPr="00D739A7">
        <w:t>The ISCED distributions have been calculated as follows:</w:t>
      </w:r>
    </w:p>
    <w:p w14:paraId="521F6982" w14:textId="0B06E4AB" w:rsidR="009F2D7A" w:rsidRPr="00D739A7" w:rsidRDefault="009F2D7A" w:rsidP="002B254D">
      <w:pPr>
        <w:pStyle w:val="Agency-body-text-report"/>
        <w:rPr>
          <w:szCs w:val="20"/>
        </w:rPr>
      </w:pPr>
      <w:r w:rsidRPr="00D739A7">
        <w:t>ISCED 1:</w:t>
      </w:r>
      <w:r w:rsidRPr="00D739A7">
        <w:rPr>
          <w:szCs w:val="20"/>
        </w:rPr>
        <w:t xml:space="preserve"> The number of learners in </w:t>
      </w:r>
      <w:r w:rsidR="00436B97" w:rsidRPr="00D739A7">
        <w:rPr>
          <w:szCs w:val="20"/>
        </w:rPr>
        <w:t>ISCED 1</w:t>
      </w:r>
      <w:r w:rsidRPr="00D739A7">
        <w:rPr>
          <w:szCs w:val="20"/>
        </w:rPr>
        <w:t xml:space="preserve"> with an official decision of SEN who are educated in mainstream classes for at least 80% of the time (Q3.2) / The number of learners in </w:t>
      </w:r>
      <w:r w:rsidR="00436B97" w:rsidRPr="00D739A7">
        <w:rPr>
          <w:szCs w:val="20"/>
        </w:rPr>
        <w:t>ISCED 1</w:t>
      </w:r>
      <w:r w:rsidRPr="00D739A7">
        <w:rPr>
          <w:szCs w:val="20"/>
        </w:rPr>
        <w:t xml:space="preserve"> with an official decision of SEN (Q3.1) x 100.</w:t>
      </w:r>
    </w:p>
    <w:p w14:paraId="1A1F93D8" w14:textId="7C78E203" w:rsidR="009F2D7A" w:rsidRPr="00D739A7" w:rsidRDefault="009F2D7A" w:rsidP="002B254D">
      <w:pPr>
        <w:pStyle w:val="Agency-body-text-report"/>
        <w:rPr>
          <w:szCs w:val="20"/>
        </w:rPr>
      </w:pPr>
      <w:r w:rsidRPr="00D739A7">
        <w:t>ISCED 2:</w:t>
      </w:r>
      <w:r w:rsidRPr="00D739A7">
        <w:rPr>
          <w:szCs w:val="20"/>
        </w:rPr>
        <w:t xml:space="preserve"> The number of learners in </w:t>
      </w:r>
      <w:r w:rsidR="00436B97" w:rsidRPr="00D739A7">
        <w:rPr>
          <w:szCs w:val="20"/>
        </w:rPr>
        <w:t>ISCED 2</w:t>
      </w:r>
      <w:r w:rsidRPr="00D739A7">
        <w:rPr>
          <w:szCs w:val="20"/>
        </w:rPr>
        <w:t xml:space="preserve"> with an official decision of SEN who are educated in mainstream classes for at least 80% of the time (Q3.2) / The number of learners in </w:t>
      </w:r>
      <w:r w:rsidR="00436B97" w:rsidRPr="00D739A7">
        <w:rPr>
          <w:szCs w:val="20"/>
        </w:rPr>
        <w:t>ISCED 2</w:t>
      </w:r>
      <w:r w:rsidRPr="00D739A7">
        <w:rPr>
          <w:szCs w:val="20"/>
        </w:rPr>
        <w:t xml:space="preserve"> with an official decision of SEN (Q3.1) x 100.</w:t>
      </w:r>
    </w:p>
    <w:p w14:paraId="4877835C" w14:textId="4DAFA7CD" w:rsidR="009F2D7A" w:rsidRPr="00D739A7" w:rsidRDefault="009F2D7A" w:rsidP="002B254D">
      <w:pPr>
        <w:pStyle w:val="Agency-body-text-report"/>
        <w:rPr>
          <w:bCs/>
        </w:rPr>
      </w:pPr>
      <w:r w:rsidRPr="00D739A7">
        <w:rPr>
          <w:bCs/>
        </w:rPr>
        <w:t>Data is available from 2</w:t>
      </w:r>
      <w:r w:rsidR="00B60B68" w:rsidRPr="00D739A7">
        <w:rPr>
          <w:bCs/>
        </w:rPr>
        <w:t>9</w:t>
      </w:r>
      <w:r w:rsidRPr="00D739A7">
        <w:rPr>
          <w:bCs/>
        </w:rPr>
        <w:t xml:space="preserve"> countries.</w:t>
      </w:r>
    </w:p>
    <w:p w14:paraId="2BF73B9C" w14:textId="21749176" w:rsidR="009F2D7A" w:rsidRPr="00D739A7" w:rsidRDefault="00E43E8C" w:rsidP="002B254D">
      <w:pPr>
        <w:pStyle w:val="Agency-body-text-report"/>
        <w:rPr>
          <w:bCs/>
        </w:rPr>
      </w:pPr>
      <w:r w:rsidRPr="00D739A7">
        <w:rPr>
          <w:bCs/>
        </w:rPr>
        <w:t>Within ISCED 1, t</w:t>
      </w:r>
      <w:r w:rsidR="009F2D7A" w:rsidRPr="00D739A7">
        <w:rPr>
          <w:bCs/>
        </w:rPr>
        <w:t xml:space="preserve">he proportion of learners with an official decision of SEN in inclusive education ranges from </w:t>
      </w:r>
      <w:r w:rsidR="00B60B68" w:rsidRPr="00D739A7">
        <w:rPr>
          <w:bCs/>
        </w:rPr>
        <w:t>11.60</w:t>
      </w:r>
      <w:r w:rsidR="009F2D7A" w:rsidRPr="00D739A7">
        <w:rPr>
          <w:bCs/>
        </w:rPr>
        <w:t>% to 98.</w:t>
      </w:r>
      <w:r w:rsidR="00B92B9D" w:rsidRPr="00D739A7">
        <w:rPr>
          <w:bCs/>
        </w:rPr>
        <w:t>66</w:t>
      </w:r>
      <w:r w:rsidR="009F2D7A" w:rsidRPr="00D739A7">
        <w:rPr>
          <w:bCs/>
        </w:rPr>
        <w:t>%; the total average for the 2</w:t>
      </w:r>
      <w:r w:rsidR="00B60B68" w:rsidRPr="00D739A7">
        <w:rPr>
          <w:bCs/>
        </w:rPr>
        <w:t>9</w:t>
      </w:r>
      <w:r w:rsidR="009F2D7A" w:rsidRPr="00D739A7">
        <w:rPr>
          <w:bCs/>
        </w:rPr>
        <w:t xml:space="preserve"> countries is 6</w:t>
      </w:r>
      <w:r w:rsidR="00B92B9D" w:rsidRPr="00D739A7">
        <w:rPr>
          <w:bCs/>
        </w:rPr>
        <w:t>6.77</w:t>
      </w:r>
      <w:r w:rsidR="009F2D7A" w:rsidRPr="00D739A7">
        <w:rPr>
          <w:bCs/>
        </w:rPr>
        <w:t>%.</w:t>
      </w:r>
    </w:p>
    <w:p w14:paraId="46B6ABAF" w14:textId="7EDCFF9D" w:rsidR="009F2D7A" w:rsidRPr="00D739A7" w:rsidRDefault="00E43E8C" w:rsidP="002B254D">
      <w:pPr>
        <w:pStyle w:val="Agency-body-text-report"/>
        <w:rPr>
          <w:bCs/>
        </w:rPr>
      </w:pPr>
      <w:r w:rsidRPr="00D739A7">
        <w:rPr>
          <w:bCs/>
        </w:rPr>
        <w:t>Within ISCED 2, t</w:t>
      </w:r>
      <w:r w:rsidR="009F2D7A" w:rsidRPr="00D739A7">
        <w:rPr>
          <w:bCs/>
        </w:rPr>
        <w:t xml:space="preserve">he proportion of learners with an official decision of SEN in inclusive education ranges from </w:t>
      </w:r>
      <w:r w:rsidR="00B60B68" w:rsidRPr="00D739A7">
        <w:rPr>
          <w:bCs/>
        </w:rPr>
        <w:t>10.64</w:t>
      </w:r>
      <w:r w:rsidR="009F2D7A" w:rsidRPr="00D739A7">
        <w:rPr>
          <w:bCs/>
        </w:rPr>
        <w:t>% to 99.7</w:t>
      </w:r>
      <w:r w:rsidR="00B92B9D" w:rsidRPr="00D739A7">
        <w:rPr>
          <w:bCs/>
        </w:rPr>
        <w:t>3</w:t>
      </w:r>
      <w:r w:rsidR="009F2D7A" w:rsidRPr="00D739A7">
        <w:rPr>
          <w:bCs/>
        </w:rPr>
        <w:t>%; the total average for the 2</w:t>
      </w:r>
      <w:r w:rsidR="00B60B68" w:rsidRPr="00D739A7">
        <w:rPr>
          <w:bCs/>
        </w:rPr>
        <w:t>9</w:t>
      </w:r>
      <w:r w:rsidR="009F2D7A" w:rsidRPr="00D739A7">
        <w:rPr>
          <w:bCs/>
        </w:rPr>
        <w:t xml:space="preserve"> countries is </w:t>
      </w:r>
      <w:r w:rsidR="00B92B9D" w:rsidRPr="00D739A7">
        <w:rPr>
          <w:bCs/>
        </w:rPr>
        <w:t>62.75</w:t>
      </w:r>
      <w:r w:rsidR="009F2D7A" w:rsidRPr="00D739A7">
        <w:rPr>
          <w:bCs/>
        </w:rPr>
        <w:t>%.</w:t>
      </w:r>
    </w:p>
    <w:p w14:paraId="3515D1A5" w14:textId="1E263AB4" w:rsidR="009F2D7A" w:rsidRPr="00D739A7" w:rsidRDefault="00B60B68" w:rsidP="00B60B68">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53EA4324" wp14:editId="3999666B">
            <wp:extent cx="3103880" cy="7487216"/>
            <wp:effectExtent l="0" t="0" r="7620" b="6350"/>
            <wp:docPr id="82" name="Diagram 82" descr="Austria ISCED 1 - 69.33 ISCED 2 - 68.36&#10;Belgium (Fl) ISCED 1 - 20.40 ISCED 2 - 17.36&#10;Bulgaria ISCED 1 - 82.02 ISCED 2 - 80.65&#10;Cyprus ISCED 1 - 85.89 ISCED 2 - 76.49&#10;Czech Republic ISCED 1 - 69.14 ISCED 2 - 67.24&#10;Estonia ISCED 1 - 39.76 ISCED 2 - 33.24&#10;Finland ISCED 1 - 36.20 ISCED 2 - 43.13&#10;France ISCED 1 - 51.23 ISCED 2 - 73.27&#10;Germany ISCED 1 - 47.82 ISCED 2 - 40.37&#10;Greece ISCED 1 - 77.55 ISCED 2 - 65.87&#10;Hungary ISCED 1 - 64.99 ISCED 2 - 68.29&#10;Iceland  ISCED 1 - 92.64 ISCED 2 - 90.13&#10;Ireland ISCED 1 - 81.73 ISCED 2 - 73.06&#10;Italy ISCED 1 - 98.66 ISCED 2 - 99.73&#10;Latvia ISCED 1 - 39.63 ISCED 2 - 38.00&#10;Lithuania ISCED 1 - 93.04 ISCED 2 - 84.76&#10;Luxembourg ISCED 1 - 55.32 ISCED 2 - 40.51&#10;Malta ISCED 1 - 98.10 ISCED 2 - 88.94&#10;Norway ISCED 1 - 93.31 ISCED 2 - 89.58&#10;Poland ISCED 1 - 61.03 ISCED 2 - 50.07&#10;Portugal ISCED 1 - 87.88 ISCED 2 - 79.51&#10;Slovakia ISCED 1 - 62.37 ISCED 2 - 62.93&#10;Slovenia ISCED 1 - 68.34 ISCED 2 - 81.47&#10;Spain ISCED 1 - 80.67 ISCED 2 - 79.90&#10;Sweden ISCED 1 - 11.60 ISCED 2 - 10.64&#10;UK (England) ISCED 1 - 55.77 ISCED 2 - 46.01&#10;UK (N. Ireland) ISCED 1 - 55.76 ISCED 2 - 64.58&#10;UK (Scotland) ISCED 1 - 93.93 ISCED 2 - 95.37&#10;UK (Wales) ISCED 1 - 43.99 ISCED 2 - 42.30&#10;Total average (29) ISCED 1 - 66.77 ISCED 2 - 62.75">
              <a:extLst xmlns:a="http://schemas.openxmlformats.org/drawingml/2006/main">
                <a:ext uri="{FF2B5EF4-FFF2-40B4-BE49-F238E27FC236}">
                  <a16:creationId xmlns:a16="http://schemas.microsoft.com/office/drawing/2014/main" id="{F9FDB85E-760B-40D2-AAA9-9A9DA81443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1186E80" w14:textId="0CBF25B1" w:rsidR="009F2D7A" w:rsidRPr="00D739A7" w:rsidRDefault="00CF365A" w:rsidP="00783F38">
      <w:pPr>
        <w:pStyle w:val="Agency-caption-report"/>
        <w:spacing w:before="120" w:after="120"/>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67</w:t>
      </w:r>
      <w:r w:rsidRPr="00D739A7">
        <w:fldChar w:fldCharType="end"/>
      </w:r>
      <w:r w:rsidR="009F2D7A" w:rsidRPr="00D739A7">
        <w:t>. ISCED distribution of learners with an official decision of SEN in inclusive education, based on the population of learners with an official decision of SEN (%)</w:t>
      </w:r>
    </w:p>
    <w:p w14:paraId="4153E9E2"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890A8D">
          <w:type w:val="continuous"/>
          <w:pgSz w:w="11899" w:h="16838"/>
          <w:pgMar w:top="1134" w:right="1551" w:bottom="1276" w:left="1418" w:header="709" w:footer="709" w:gutter="0"/>
          <w:cols w:num="2" w:space="710" w:equalWidth="0">
            <w:col w:w="3333" w:space="710"/>
            <w:col w:w="4887"/>
          </w:cols>
          <w:docGrid w:linePitch="360"/>
        </w:sectPr>
      </w:pPr>
    </w:p>
    <w:p w14:paraId="4B406495" w14:textId="19F3E0C3" w:rsidR="009F2D7A" w:rsidRPr="00D739A7" w:rsidRDefault="00436B97" w:rsidP="004A29D9">
      <w:pPr>
        <w:pStyle w:val="Agency-heading-3-report"/>
      </w:pPr>
      <w:bookmarkStart w:id="66" w:name="_Toc35943056"/>
      <w:r w:rsidRPr="00D739A7">
        <w:lastRenderedPageBreak/>
        <w:t>Indicator </w:t>
      </w:r>
      <w:r w:rsidR="00903978" w:rsidRPr="00D739A7">
        <w:t>2.</w:t>
      </w:r>
      <w:r w:rsidRPr="00D739A7">
        <w:t>3</w:t>
      </w:r>
      <w:r w:rsidR="009F2D7A" w:rsidRPr="00D739A7">
        <w:t>c.2: the percentage of learners with an official decision of SEN in special classes, based on the population of learners with an official decision of SEN (%)</w:t>
      </w:r>
      <w:bookmarkEnd w:id="66"/>
    </w:p>
    <w:p w14:paraId="005F8E09"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6CD8A3F1" w14:textId="020F7A6C" w:rsidR="009F2D7A" w:rsidRPr="00D739A7" w:rsidRDefault="009F2D7A" w:rsidP="00E43E8C">
      <w:pPr>
        <w:pStyle w:val="Agency-body-text-report"/>
        <w:rPr>
          <w:bCs/>
        </w:rPr>
      </w:pPr>
      <w:r w:rsidRPr="00D739A7">
        <w:t>The data focuses on learners with an official decision of SEN</w:t>
      </w:r>
      <w:r w:rsidR="00E43E8C" w:rsidRPr="00D739A7">
        <w:t>,</w:t>
      </w:r>
      <w:r w:rsidRPr="00D739A7">
        <w:t xml:space="preserve"> in line with the EASIE operational definition, who are enrolled in fully separate special classes</w:t>
      </w:r>
      <w:r w:rsidR="00E43E8C" w:rsidRPr="00D739A7">
        <w:t>,</w:t>
      </w:r>
      <w:r w:rsidRPr="00D739A7">
        <w:t xml:space="preserve"> </w:t>
      </w:r>
      <w:r w:rsidRPr="00D739A7">
        <w:rPr>
          <w:bCs/>
        </w:rPr>
        <w:t>in line with the 80% placement benchmark (or the most relevant proxy for this benchmark)</w:t>
      </w:r>
      <w:r w:rsidR="00E43E8C" w:rsidRPr="00D739A7">
        <w:rPr>
          <w:bCs/>
        </w:rPr>
        <w:t>,</w:t>
      </w:r>
      <w:r w:rsidRPr="00D739A7">
        <w:rPr>
          <w:bCs/>
        </w:rPr>
        <w:t xml:space="preserve"> in relation to the whole population of learners with an official decision of SEN.</w:t>
      </w:r>
    </w:p>
    <w:p w14:paraId="4E1648FE" w14:textId="77777777" w:rsidR="009F2D7A" w:rsidRPr="00D739A7" w:rsidRDefault="009F2D7A" w:rsidP="00E43E8C">
      <w:pPr>
        <w:pStyle w:val="Agency-body-text-report"/>
      </w:pPr>
      <w:r w:rsidRPr="00D739A7">
        <w:t>This indicator has been calculated as follows: The number of learners with an official decision of SEN who are educated in separate special classes in mainstream schools (Q3.3) / The number of learners who have an official decision of SEN (Q3.1) x 100.</w:t>
      </w:r>
    </w:p>
    <w:p w14:paraId="47FB047A" w14:textId="072DD7C9" w:rsidR="009F2D7A" w:rsidRPr="00D739A7" w:rsidRDefault="009F2D7A" w:rsidP="00E43E8C">
      <w:pPr>
        <w:pStyle w:val="Agency-body-text-report"/>
      </w:pPr>
      <w:r w:rsidRPr="00D739A7">
        <w:t>Data is available from 2</w:t>
      </w:r>
      <w:r w:rsidR="00B92B9D" w:rsidRPr="00D739A7">
        <w:t>3</w:t>
      </w:r>
      <w:r w:rsidRPr="00D739A7">
        <w:t xml:space="preserve"> countries.</w:t>
      </w:r>
    </w:p>
    <w:p w14:paraId="03E78BC0" w14:textId="33890CE3" w:rsidR="009F2D7A" w:rsidRPr="00D739A7" w:rsidRDefault="009F2D7A" w:rsidP="00E43E8C">
      <w:pPr>
        <w:pStyle w:val="Agency-body-text-report"/>
      </w:pPr>
      <w:r w:rsidRPr="00D739A7">
        <w:t xml:space="preserve">The enrolment rates in special classes for learners with an official decision of SEN, based on the whole population of learners with an official decision of SEN, range from </w:t>
      </w:r>
      <w:r w:rsidR="00B92B9D" w:rsidRPr="00D739A7">
        <w:t>0.79</w:t>
      </w:r>
      <w:r w:rsidRPr="00D739A7">
        <w:t>% to 5</w:t>
      </w:r>
      <w:r w:rsidR="00B92B9D" w:rsidRPr="00D739A7">
        <w:t>1.22</w:t>
      </w:r>
      <w:r w:rsidRPr="00D739A7">
        <w:t>%; the total average for the 2</w:t>
      </w:r>
      <w:r w:rsidR="00B92B9D" w:rsidRPr="00D739A7">
        <w:t>3</w:t>
      </w:r>
      <w:r w:rsidRPr="00D739A7">
        <w:t xml:space="preserve"> countries is 1</w:t>
      </w:r>
      <w:r w:rsidR="00B92B9D" w:rsidRPr="00D739A7">
        <w:t>2.90</w:t>
      </w:r>
      <w:r w:rsidRPr="00D739A7">
        <w:t>%.</w:t>
      </w:r>
    </w:p>
    <w:p w14:paraId="732AAF26" w14:textId="38E36617" w:rsidR="009F2D7A" w:rsidRPr="00D739A7" w:rsidRDefault="00B92B9D" w:rsidP="00B92B9D">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24F78126" wp14:editId="0027A006">
            <wp:extent cx="3103880" cy="7378575"/>
            <wp:effectExtent l="0" t="0" r="7620" b="13335"/>
            <wp:docPr id="83" name="Diagram 83" descr="Bulgaria 0.79&#10;Cyprus 10.30&#10;Czech Republic 6.27&#10;Estonia 26.98&#10;Finland 51.22&#10;France 23.86&#10;Greece 1.02&#10;Hungary 33.16&#10;Iceland  5.78&#10;Ireland 9.52&#10;Latvia 12.51&#10;Lithuania 2.43&#10;Luxembourg 26.36&#10;Norway 5.28&#10;Poland 2.68&#10;Portugal 14.03&#10;Slovakia 13.09&#10;Slovenia 3.59&#10;Spain 4.21&#10;Switzerland 49.23&#10;UK (England) 3.41&#10;UK (N. Ireland) 12.16&#10;UK (Wales) 23.17&#10;Total average (23) 12.90">
              <a:extLst xmlns:a="http://schemas.openxmlformats.org/drawingml/2006/main">
                <a:ext uri="{FF2B5EF4-FFF2-40B4-BE49-F238E27FC236}">
                  <a16:creationId xmlns:a16="http://schemas.microsoft.com/office/drawing/2014/main" id="{D9F091C9-14B6-4B8B-A36A-D6C7822EF1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78E3DAA" w14:textId="20C7753B" w:rsidR="009F2D7A" w:rsidRPr="00D739A7" w:rsidRDefault="00CF365A"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68</w:t>
      </w:r>
      <w:r w:rsidRPr="00D739A7">
        <w:fldChar w:fldCharType="end"/>
      </w:r>
      <w:r w:rsidR="009F2D7A" w:rsidRPr="00D739A7">
        <w:t>. Percentage of learners with an official decision of SEN in special classes, based on the population of learners with an official decision of SEN (%)</w:t>
      </w:r>
    </w:p>
    <w:p w14:paraId="36E07C26"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890A8D">
          <w:type w:val="continuous"/>
          <w:pgSz w:w="11899" w:h="16838"/>
          <w:pgMar w:top="1134" w:right="1551" w:bottom="1276" w:left="1418" w:header="709" w:footer="709" w:gutter="0"/>
          <w:cols w:num="2" w:space="710" w:equalWidth="0">
            <w:col w:w="3333" w:space="710"/>
            <w:col w:w="4887"/>
          </w:cols>
          <w:docGrid w:linePitch="360"/>
        </w:sectPr>
      </w:pPr>
    </w:p>
    <w:p w14:paraId="5D078C07" w14:textId="77777777" w:rsidR="009F2D7A" w:rsidRPr="00D739A7" w:rsidRDefault="009F2D7A" w:rsidP="004A29D9">
      <w:pPr>
        <w:pStyle w:val="Agency-heading-4-report"/>
      </w:pPr>
      <w:r w:rsidRPr="00D739A7">
        <w:lastRenderedPageBreak/>
        <w:t>Gender breakdown of learners with an official decision of SEN in special classes, based on the population of learners with an official decision of SEN (%)</w:t>
      </w:r>
    </w:p>
    <w:p w14:paraId="0593DAAA"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14385160" w14:textId="77777777" w:rsidR="009F2D7A" w:rsidRPr="00D739A7" w:rsidRDefault="009F2D7A" w:rsidP="00E43E8C">
      <w:pPr>
        <w:pStyle w:val="Agency-body-text-report"/>
      </w:pPr>
      <w:r w:rsidRPr="00D739A7">
        <w:t>The gender breakdowns have been calculated as follows:</w:t>
      </w:r>
    </w:p>
    <w:p w14:paraId="4F968A65" w14:textId="0449035B" w:rsidR="009F2D7A" w:rsidRPr="00D739A7" w:rsidRDefault="00EF3C3C" w:rsidP="00E43E8C">
      <w:pPr>
        <w:pStyle w:val="Agency-body-text-report"/>
      </w:pPr>
      <w:r w:rsidRPr="00D739A7">
        <w:t>Boys</w:t>
      </w:r>
      <w:r w:rsidR="009F2D7A" w:rsidRPr="00D739A7">
        <w:t>: The number of boys with an official decision of SEN who are educated in separate special classes in mainstream schools (</w:t>
      </w:r>
      <w:r w:rsidR="007237E0" w:rsidRPr="00D739A7">
        <w:t>Q3</w:t>
      </w:r>
      <w:r w:rsidR="009F2D7A" w:rsidRPr="00D739A7">
        <w:t>.3) / The number of learners who have an official decision of SEN (Q3.1) x 100.</w:t>
      </w:r>
    </w:p>
    <w:p w14:paraId="5D481936" w14:textId="00126299" w:rsidR="009F2D7A" w:rsidRPr="00D739A7" w:rsidRDefault="00EF3C3C" w:rsidP="00E43E8C">
      <w:pPr>
        <w:pStyle w:val="Agency-body-text-report"/>
      </w:pPr>
      <w:r w:rsidRPr="00D739A7">
        <w:t>Girls</w:t>
      </w:r>
      <w:r w:rsidR="009F2D7A" w:rsidRPr="00D739A7">
        <w:t>: The number of girls with an official decision of SEN who are educated in separate special classes in mainstream schools (</w:t>
      </w:r>
      <w:r w:rsidR="007237E0" w:rsidRPr="00D739A7">
        <w:t>Q3</w:t>
      </w:r>
      <w:r w:rsidR="009F2D7A" w:rsidRPr="00D739A7">
        <w:t>.3) / The number of learners who have an official decision of SEN (Q3.1) x 100.</w:t>
      </w:r>
    </w:p>
    <w:p w14:paraId="31FC0243" w14:textId="426E0254" w:rsidR="009F2D7A" w:rsidRPr="00D739A7" w:rsidRDefault="009F2D7A" w:rsidP="00E43E8C">
      <w:pPr>
        <w:pStyle w:val="Agency-body-text-report"/>
        <w:rPr>
          <w:bCs/>
        </w:rPr>
      </w:pPr>
      <w:r w:rsidRPr="00D739A7">
        <w:rPr>
          <w:bCs/>
        </w:rPr>
        <w:t xml:space="preserve">Data is available from </w:t>
      </w:r>
      <w:r w:rsidR="00B92B9D" w:rsidRPr="00D739A7">
        <w:rPr>
          <w:bCs/>
        </w:rPr>
        <w:t>21</w:t>
      </w:r>
      <w:r w:rsidRPr="00D739A7">
        <w:rPr>
          <w:bCs/>
        </w:rPr>
        <w:t xml:space="preserve"> countries.</w:t>
      </w:r>
    </w:p>
    <w:p w14:paraId="2BEF8F6B" w14:textId="74C691F5" w:rsidR="009F2D7A" w:rsidRPr="00D739A7" w:rsidRDefault="009F2D7A" w:rsidP="00E43E8C">
      <w:pPr>
        <w:pStyle w:val="Agency-body-text-report"/>
      </w:pPr>
      <w:r w:rsidRPr="00D739A7">
        <w:t xml:space="preserve">The special class enrolment rates of </w:t>
      </w:r>
      <w:r w:rsidR="000C2B8D" w:rsidRPr="00D739A7">
        <w:t xml:space="preserve">boys </w:t>
      </w:r>
      <w:r w:rsidRPr="00D739A7">
        <w:t xml:space="preserve">with an official decision of SEN, based on the whole population of learners with an official decision of SEN, range from </w:t>
      </w:r>
      <w:r w:rsidR="00B92B9D" w:rsidRPr="00D739A7">
        <w:t>0.46</w:t>
      </w:r>
      <w:r w:rsidRPr="00D739A7">
        <w:t xml:space="preserve">% to </w:t>
      </w:r>
      <w:r w:rsidR="00B92B9D" w:rsidRPr="00D739A7">
        <w:t>35.85</w:t>
      </w:r>
      <w:r w:rsidRPr="00D739A7">
        <w:t xml:space="preserve">%; the total average for the </w:t>
      </w:r>
      <w:r w:rsidR="00B92B9D" w:rsidRPr="00D739A7">
        <w:t>21</w:t>
      </w:r>
      <w:r w:rsidRPr="00D739A7">
        <w:t xml:space="preserve"> countries is 8.</w:t>
      </w:r>
      <w:r w:rsidR="00B92B9D" w:rsidRPr="00D739A7">
        <w:t>58</w:t>
      </w:r>
      <w:r w:rsidRPr="00D739A7">
        <w:t>%.</w:t>
      </w:r>
    </w:p>
    <w:p w14:paraId="205DD5DD" w14:textId="51DEFE0E" w:rsidR="009F2D7A" w:rsidRPr="00D739A7" w:rsidRDefault="009F2D7A" w:rsidP="00E43E8C">
      <w:pPr>
        <w:pStyle w:val="Agency-body-text-report"/>
      </w:pPr>
      <w:r w:rsidRPr="00D739A7">
        <w:t xml:space="preserve">The special class enrolment rates of </w:t>
      </w:r>
      <w:r w:rsidR="000C2B8D" w:rsidRPr="00D739A7">
        <w:t xml:space="preserve">girls </w:t>
      </w:r>
      <w:r w:rsidRPr="00D739A7">
        <w:t>with an official decision of SEN, based on the whole population of learners with an official decision of SEN, range from 0.</w:t>
      </w:r>
      <w:r w:rsidR="00B92B9D" w:rsidRPr="00D739A7">
        <w:t>33</w:t>
      </w:r>
      <w:r w:rsidRPr="00D739A7">
        <w:t>% to 18.9</w:t>
      </w:r>
      <w:r w:rsidR="00B92B9D" w:rsidRPr="00D739A7">
        <w:t>4</w:t>
      </w:r>
      <w:r w:rsidRPr="00D739A7">
        <w:t xml:space="preserve">%; the total average for the </w:t>
      </w:r>
      <w:r w:rsidR="00B92B9D" w:rsidRPr="00D739A7">
        <w:t>21</w:t>
      </w:r>
      <w:r w:rsidRPr="00D739A7">
        <w:t xml:space="preserve"> countries is 4.</w:t>
      </w:r>
      <w:r w:rsidR="00B92B9D" w:rsidRPr="00D739A7">
        <w:t>59</w:t>
      </w:r>
      <w:r w:rsidRPr="00D739A7">
        <w:t>%.</w:t>
      </w:r>
    </w:p>
    <w:p w14:paraId="3DCDDD3E" w14:textId="5BB63CD7" w:rsidR="009F2D7A" w:rsidRPr="00D739A7" w:rsidRDefault="00B92B9D" w:rsidP="00B92B9D">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52C45503" wp14:editId="736BFD92">
            <wp:extent cx="3067050" cy="7487216"/>
            <wp:effectExtent l="0" t="0" r="6350" b="6350"/>
            <wp:docPr id="84" name="Diagram 84" descr="Bulgaria Boys 0.46 Girls 0.33&#10;Cyprus Boys 7.08 Girls 3.22&#10;Czech Republic Boys 4.07 Girls 2.20&#10;Estonia Boys 20.27 Girls 6.72&#10;Finland Boys 35.85 Girls 15.37&#10;France Boys 15.20 Girls 8.66&#10;Greece Boys 0.65 Girls 0.37&#10;Hungary Boys 21.40 Girls 11.77&#10;Iceland  Boys 4.48 Girls 1.30&#10;Ireland Boys 7.78 Girls 1.75&#10;Latvia Boys 8.32 Girls 4.19&#10;Lithuania Boys 1.60 Girls 0.83 &#10;Poland Boys 1.62 Girls 1.07&#10;Portugal Boys 8.73 Girls 5.30&#10;Slovakia Boys 7.13 Girls 5.96&#10;Slovenia Boys 2.22 Girls 1.37&#10;Spain Boys 2.71 Girls 1.50&#10;Switzerland Boys 30.29 Girls 18.94&#10;UK (England) Boys 2.57 Girls 0.84&#10;UK (N. Ireland) Boys 9.13 Girls 3.03&#10;UK (Wales) Boys 17.03 Girls 6.15&#10;Total average (21) Boys 8.58 Girls 4.59">
              <a:extLst xmlns:a="http://schemas.openxmlformats.org/drawingml/2006/main">
                <a:ext uri="{FF2B5EF4-FFF2-40B4-BE49-F238E27FC236}">
                  <a16:creationId xmlns:a16="http://schemas.microsoft.com/office/drawing/2014/main" id="{439BC6B6-C1BA-4F8F-ACA3-5EE015F0FB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DAD6559" w14:textId="71A16958" w:rsidR="009F2D7A" w:rsidRPr="00D739A7" w:rsidRDefault="00CF365A" w:rsidP="00783F38">
      <w:pPr>
        <w:pStyle w:val="Agency-caption-report"/>
        <w:spacing w:before="120" w:after="120"/>
      </w:pPr>
      <w:r w:rsidRPr="00D739A7">
        <w:t xml:space="preserve">Figure </w:t>
      </w:r>
      <w:r w:rsidRPr="00D739A7">
        <w:fldChar w:fldCharType="begin"/>
      </w:r>
      <w:r w:rsidRPr="00D739A7">
        <w:instrText xml:space="preserve"> SEQ Figure \* ARABIC </w:instrText>
      </w:r>
      <w:r w:rsidRPr="00D739A7">
        <w:fldChar w:fldCharType="separate"/>
      </w:r>
      <w:r w:rsidR="00B54F4E" w:rsidRPr="00D739A7">
        <w:t>69</w:t>
      </w:r>
      <w:r w:rsidRPr="00D739A7">
        <w:fldChar w:fldCharType="end"/>
      </w:r>
      <w:r w:rsidR="009F2D7A" w:rsidRPr="00D739A7">
        <w:t>. Gender breakdown of learners with an official decision of SEN in special classes, based on the population of learners with an official decision of SEN (%)</w:t>
      </w:r>
    </w:p>
    <w:p w14:paraId="2015C84C"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890A8D">
          <w:type w:val="continuous"/>
          <w:pgSz w:w="11899" w:h="16838"/>
          <w:pgMar w:top="1134" w:right="1551" w:bottom="1276" w:left="1418" w:header="709" w:footer="709" w:gutter="0"/>
          <w:cols w:num="2" w:space="710" w:equalWidth="0">
            <w:col w:w="3333" w:space="710"/>
            <w:col w:w="4887"/>
          </w:cols>
          <w:docGrid w:linePitch="360"/>
        </w:sectPr>
      </w:pPr>
    </w:p>
    <w:p w14:paraId="7EB1D197" w14:textId="77777777" w:rsidR="009F2D7A" w:rsidRPr="00D739A7" w:rsidRDefault="009F2D7A" w:rsidP="004A29D9">
      <w:pPr>
        <w:pStyle w:val="Agency-heading-4-report"/>
      </w:pPr>
      <w:r w:rsidRPr="00D739A7">
        <w:lastRenderedPageBreak/>
        <w:t>Gender distribution of learners with an official decision of SEN in special classes, based on the population of learners with an official decision of SEN (%)</w:t>
      </w:r>
    </w:p>
    <w:p w14:paraId="06C280B9"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6ED0FE37" w14:textId="77777777" w:rsidR="009F2D7A" w:rsidRPr="00D739A7" w:rsidRDefault="009F2D7A" w:rsidP="008045FC">
      <w:pPr>
        <w:pStyle w:val="Agency-body-text-report"/>
      </w:pPr>
      <w:r w:rsidRPr="00D739A7">
        <w:t>The gender distributions have been calculated as follows:</w:t>
      </w:r>
    </w:p>
    <w:p w14:paraId="62B568FB" w14:textId="5C5D4552" w:rsidR="009F2D7A" w:rsidRPr="00D739A7" w:rsidRDefault="00EF3C3C" w:rsidP="008045FC">
      <w:pPr>
        <w:pStyle w:val="Agency-body-text-report"/>
      </w:pPr>
      <w:r w:rsidRPr="00D739A7">
        <w:t>Boys</w:t>
      </w:r>
      <w:r w:rsidR="009F2D7A" w:rsidRPr="00D739A7">
        <w:t>: The number of boys with an official decision of SEN who are educated in separate special classes in mainstream schools (</w:t>
      </w:r>
      <w:r w:rsidR="007237E0" w:rsidRPr="00D739A7">
        <w:t>Q3</w:t>
      </w:r>
      <w:r w:rsidR="009F2D7A" w:rsidRPr="00D739A7">
        <w:t>.3) / The number of learners with an official decision of SEN who are educated in separate special classes in mainstream schools (Q3.3) x 100.</w:t>
      </w:r>
    </w:p>
    <w:p w14:paraId="64895FB0" w14:textId="01394E69" w:rsidR="009F2D7A" w:rsidRPr="00D739A7" w:rsidRDefault="00EF3C3C" w:rsidP="008045FC">
      <w:pPr>
        <w:pStyle w:val="Agency-body-text-report"/>
      </w:pPr>
      <w:r w:rsidRPr="00D739A7">
        <w:t>Girls</w:t>
      </w:r>
      <w:r w:rsidR="009F2D7A" w:rsidRPr="00D739A7">
        <w:t>: The number of girls with an official decision of SEN who are educated in separate special classes in mainstream schools (</w:t>
      </w:r>
      <w:r w:rsidR="007237E0" w:rsidRPr="00D739A7">
        <w:t>Q3</w:t>
      </w:r>
      <w:r w:rsidR="009F2D7A" w:rsidRPr="00D739A7">
        <w:t>.3) / The number of learners with an official decision of SEN who are educated in separate special classes in mainstream schools (Q3.3) x 100.</w:t>
      </w:r>
    </w:p>
    <w:p w14:paraId="0528E278" w14:textId="45C3E290" w:rsidR="009F2D7A" w:rsidRPr="00D739A7" w:rsidRDefault="009F2D7A" w:rsidP="008045FC">
      <w:pPr>
        <w:pStyle w:val="Agency-body-text-report"/>
        <w:rPr>
          <w:bCs/>
        </w:rPr>
      </w:pPr>
      <w:r w:rsidRPr="00D739A7">
        <w:rPr>
          <w:bCs/>
        </w:rPr>
        <w:t xml:space="preserve">Data is available from </w:t>
      </w:r>
      <w:r w:rsidR="00B92B9D" w:rsidRPr="00D739A7">
        <w:rPr>
          <w:bCs/>
        </w:rPr>
        <w:t>21</w:t>
      </w:r>
      <w:r w:rsidRPr="00D739A7">
        <w:rPr>
          <w:bCs/>
        </w:rPr>
        <w:t xml:space="preserve"> countries.</w:t>
      </w:r>
    </w:p>
    <w:p w14:paraId="0C84CEEB" w14:textId="4D2968F2" w:rsidR="009F2D7A" w:rsidRPr="00D739A7" w:rsidRDefault="009F2D7A" w:rsidP="008045FC">
      <w:pPr>
        <w:pStyle w:val="Agency-body-text-report"/>
        <w:rPr>
          <w:bCs/>
        </w:rPr>
      </w:pPr>
      <w:r w:rsidRPr="00D739A7">
        <w:rPr>
          <w:bCs/>
        </w:rPr>
        <w:t>The proportion of boys with an official decision of SEN in special classes, based on the population of learners with an official decision of SEN, ranges from 5</w:t>
      </w:r>
      <w:r w:rsidR="00B92B9D" w:rsidRPr="00D739A7">
        <w:rPr>
          <w:bCs/>
        </w:rPr>
        <w:t>4.47</w:t>
      </w:r>
      <w:r w:rsidRPr="00D739A7">
        <w:rPr>
          <w:bCs/>
        </w:rPr>
        <w:t xml:space="preserve">% to </w:t>
      </w:r>
      <w:r w:rsidR="00E647FD" w:rsidRPr="00D739A7">
        <w:rPr>
          <w:bCs/>
        </w:rPr>
        <w:t>81.65</w:t>
      </w:r>
      <w:r w:rsidRPr="00D739A7">
        <w:rPr>
          <w:bCs/>
        </w:rPr>
        <w:t xml:space="preserve">%; the total average for the </w:t>
      </w:r>
      <w:r w:rsidR="00B92B9D" w:rsidRPr="00D739A7">
        <w:rPr>
          <w:bCs/>
        </w:rPr>
        <w:t>21</w:t>
      </w:r>
      <w:r w:rsidRPr="00D739A7">
        <w:rPr>
          <w:bCs/>
        </w:rPr>
        <w:t xml:space="preserve"> countries is 65.</w:t>
      </w:r>
      <w:r w:rsidR="00E647FD" w:rsidRPr="00D739A7">
        <w:rPr>
          <w:bCs/>
        </w:rPr>
        <w:t>16</w:t>
      </w:r>
      <w:r w:rsidRPr="00D739A7">
        <w:rPr>
          <w:bCs/>
        </w:rPr>
        <w:t>%.</w:t>
      </w:r>
    </w:p>
    <w:p w14:paraId="5E02BF1F" w14:textId="0BCF4466" w:rsidR="009F2D7A" w:rsidRPr="00D739A7" w:rsidRDefault="009F2D7A" w:rsidP="008045FC">
      <w:pPr>
        <w:pStyle w:val="Agency-body-text-report"/>
        <w:rPr>
          <w:bCs/>
        </w:rPr>
      </w:pPr>
      <w:r w:rsidRPr="00D739A7">
        <w:rPr>
          <w:bCs/>
        </w:rPr>
        <w:t xml:space="preserve">The proportion of girls with an official decision of SEN in special classes, based on the population of learners with an official decision of SEN, ranges from </w:t>
      </w:r>
      <w:r w:rsidR="00B92B9D" w:rsidRPr="00D739A7">
        <w:rPr>
          <w:bCs/>
        </w:rPr>
        <w:t>18.35</w:t>
      </w:r>
      <w:r w:rsidRPr="00D739A7">
        <w:rPr>
          <w:bCs/>
        </w:rPr>
        <w:t>% to 4</w:t>
      </w:r>
      <w:r w:rsidR="00B92B9D" w:rsidRPr="00D739A7">
        <w:rPr>
          <w:bCs/>
        </w:rPr>
        <w:t>5.53</w:t>
      </w:r>
      <w:r w:rsidRPr="00D739A7">
        <w:rPr>
          <w:bCs/>
        </w:rPr>
        <w:t xml:space="preserve">%; the total average for the </w:t>
      </w:r>
      <w:r w:rsidR="00B92B9D" w:rsidRPr="00D739A7">
        <w:rPr>
          <w:bCs/>
        </w:rPr>
        <w:t>21</w:t>
      </w:r>
      <w:r w:rsidRPr="00D739A7">
        <w:rPr>
          <w:bCs/>
        </w:rPr>
        <w:t xml:space="preserve"> countries is 34.</w:t>
      </w:r>
      <w:r w:rsidR="00B92B9D" w:rsidRPr="00D739A7">
        <w:rPr>
          <w:bCs/>
        </w:rPr>
        <w:t>84</w:t>
      </w:r>
      <w:r w:rsidRPr="00D739A7">
        <w:rPr>
          <w:bCs/>
        </w:rPr>
        <w:t>%.</w:t>
      </w:r>
    </w:p>
    <w:p w14:paraId="7E8927FD" w14:textId="598F3B57" w:rsidR="009F2D7A" w:rsidRPr="00D739A7" w:rsidRDefault="00B92B9D" w:rsidP="00B92B9D">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48D1CCB3" wp14:editId="5F9EA903">
            <wp:extent cx="3048000" cy="7376160"/>
            <wp:effectExtent l="0" t="0" r="12700" b="15240"/>
            <wp:docPr id="85" name="Diagram 85" descr="Bulgaria Boys 58.49 Girls 41.51&#10;Cyprus Boys 68.70 Girls 31.30&#10;Czech Republic Boys 64.91 Girls 35.09&#10;Estonia Boys 75.10 Girls 24.90&#10;Finland Boys 70.00 Girls 30.00&#10;France Boys 63.72 Girls 36.28&#10;Greece Boys 63.71 Girls 36.29&#10;Hungary Boys 64.52 Girls 35.48&#10;Iceland  Boys 77.47 Girls 22.53&#10;Ireland Boys 81.65 Girls 18.35&#10;Latvia Boys 66.49 Girls 33.51&#10;Lithuania Boys 65.90 Girls 34.10&#10;Poland Boys 60.29 Girls 39.71&#10;Portugal Boys 62.24 Girls 37.76&#10;Slovakia Boys 54.47 Girls 45.53&#10;Slovenia Boys 61.72 Girls 38.28&#10;Spain Boys 64.28 Girls 35.72&#10;Switzerland Boys 61.53 Girls 38.47&#10;UK (England) Boys 75.36 Girls 24.64&#10;UK (N. Ireland) Boys 75.08 Girls 24.92&#10;UK (Wales) Boys 73.48 Girls 26.52&#10;Total average (21) Boys 65.16 Girls 34.84">
              <a:extLst xmlns:a="http://schemas.openxmlformats.org/drawingml/2006/main">
                <a:ext uri="{FF2B5EF4-FFF2-40B4-BE49-F238E27FC236}">
                  <a16:creationId xmlns:a16="http://schemas.microsoft.com/office/drawing/2014/main" id="{EA0B9677-03A4-4C45-8CB2-9DA0BBD995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ED01E53" w14:textId="165ABF3C" w:rsidR="009F2D7A" w:rsidRPr="00D739A7" w:rsidRDefault="00CF365A" w:rsidP="00CF365A">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70</w:t>
      </w:r>
      <w:r w:rsidRPr="00D739A7">
        <w:fldChar w:fldCharType="end"/>
      </w:r>
      <w:r w:rsidR="009F2D7A" w:rsidRPr="00D739A7">
        <w:t>. Gender distribution of learners with an official decision of SEN in special classes, based on the population of learners with an official decision of SEN (%)</w:t>
      </w:r>
    </w:p>
    <w:p w14:paraId="41285B73"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C544D1">
          <w:type w:val="continuous"/>
          <w:pgSz w:w="11899" w:h="16838"/>
          <w:pgMar w:top="1134" w:right="1551" w:bottom="1276" w:left="1418" w:header="709" w:footer="709" w:gutter="0"/>
          <w:cols w:num="2" w:space="710" w:equalWidth="0">
            <w:col w:w="3333" w:space="710"/>
            <w:col w:w="4887"/>
          </w:cols>
          <w:docGrid w:linePitch="360"/>
        </w:sectPr>
      </w:pPr>
    </w:p>
    <w:p w14:paraId="44492A03" w14:textId="77777777" w:rsidR="009F2D7A" w:rsidRPr="00D739A7" w:rsidRDefault="009F2D7A" w:rsidP="004A29D9">
      <w:pPr>
        <w:pStyle w:val="Agency-heading-4-report"/>
      </w:pPr>
      <w:r w:rsidRPr="00D739A7">
        <w:lastRenderedPageBreak/>
        <w:t>ISCED breakdown of learners with an official decision of SEN in special classes, based on the population of learners with an official decision of SEN (%)</w:t>
      </w:r>
    </w:p>
    <w:p w14:paraId="45DD89C2"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5EFABB0E" w14:textId="77777777" w:rsidR="009F2D7A" w:rsidRPr="00D739A7" w:rsidRDefault="009F2D7A" w:rsidP="008045FC">
      <w:pPr>
        <w:pStyle w:val="Agency-body-text-report"/>
      </w:pPr>
      <w:r w:rsidRPr="00D739A7">
        <w:t>The ISCED breakdowns have been calculated as follows:</w:t>
      </w:r>
    </w:p>
    <w:p w14:paraId="53E6F149" w14:textId="77777777" w:rsidR="009F2D7A" w:rsidRPr="00D739A7" w:rsidRDefault="009F2D7A" w:rsidP="008045FC">
      <w:pPr>
        <w:pStyle w:val="Agency-body-text-report"/>
      </w:pPr>
      <w:r w:rsidRPr="00D739A7">
        <w:t>ISCED 1: The number of learners in ISCED 1 with an official decision of SEN who are educated in separate special classes in mainstream schools (Q3.3) / The number of learners who have an official decision of SEN (Q3.1) x 100.</w:t>
      </w:r>
    </w:p>
    <w:p w14:paraId="5DC35842" w14:textId="77777777" w:rsidR="009F2D7A" w:rsidRPr="00D739A7" w:rsidRDefault="009F2D7A" w:rsidP="008045FC">
      <w:pPr>
        <w:pStyle w:val="Agency-body-text-report"/>
      </w:pPr>
      <w:r w:rsidRPr="00D739A7">
        <w:t>ISCED 2: The number of learners in ISCED 2 with an official decision of SEN who are educated in separate special classes in mainstream schools (Q3.3) / The number of learners who have an official decision of SEN (Q3.1) x 100.</w:t>
      </w:r>
    </w:p>
    <w:p w14:paraId="2A1DB48B" w14:textId="1F5223E3" w:rsidR="009F2D7A" w:rsidRPr="00D739A7" w:rsidRDefault="009F2D7A" w:rsidP="008045FC">
      <w:pPr>
        <w:pStyle w:val="Agency-body-text-report"/>
        <w:rPr>
          <w:bCs/>
        </w:rPr>
      </w:pPr>
      <w:r w:rsidRPr="00D739A7">
        <w:rPr>
          <w:bCs/>
        </w:rPr>
        <w:t>Data is available from 2</w:t>
      </w:r>
      <w:r w:rsidR="00E647FD" w:rsidRPr="00D739A7">
        <w:rPr>
          <w:bCs/>
        </w:rPr>
        <w:t>3</w:t>
      </w:r>
      <w:r w:rsidRPr="00D739A7">
        <w:rPr>
          <w:bCs/>
        </w:rPr>
        <w:t xml:space="preserve"> countries.</w:t>
      </w:r>
    </w:p>
    <w:p w14:paraId="50A406CC" w14:textId="73B60AC6" w:rsidR="009F2D7A" w:rsidRPr="00D739A7" w:rsidRDefault="009F2D7A" w:rsidP="008045FC">
      <w:pPr>
        <w:pStyle w:val="Agency-body-text-report"/>
      </w:pPr>
      <w:r w:rsidRPr="00D739A7">
        <w:t xml:space="preserve">The special class enrolment rates of learners </w:t>
      </w:r>
      <w:r w:rsidR="008045FC" w:rsidRPr="00D739A7">
        <w:t xml:space="preserve">in ISCED 1 </w:t>
      </w:r>
      <w:r w:rsidRPr="00D739A7">
        <w:t xml:space="preserve">with an official decision of SEN, based on the whole population of learners with an official decision of SEN, range from </w:t>
      </w:r>
      <w:r w:rsidR="00E647FD" w:rsidRPr="00D739A7">
        <w:t>0.46</w:t>
      </w:r>
      <w:r w:rsidRPr="00D739A7">
        <w:t>% to 32.</w:t>
      </w:r>
      <w:r w:rsidR="00E647FD" w:rsidRPr="00D739A7">
        <w:t>82</w:t>
      </w:r>
      <w:r w:rsidRPr="00D739A7">
        <w:t>%; the total average for the 2</w:t>
      </w:r>
      <w:r w:rsidR="00E647FD" w:rsidRPr="00D739A7">
        <w:t>3</w:t>
      </w:r>
      <w:r w:rsidRPr="00D739A7">
        <w:t xml:space="preserve"> countries is 7.</w:t>
      </w:r>
      <w:r w:rsidR="00E647FD" w:rsidRPr="00D739A7">
        <w:t>95</w:t>
      </w:r>
      <w:r w:rsidRPr="00D739A7">
        <w:t>%.</w:t>
      </w:r>
    </w:p>
    <w:p w14:paraId="3FA592D5" w14:textId="29C83AE1" w:rsidR="009F2D7A" w:rsidRPr="00D739A7" w:rsidRDefault="009F2D7A" w:rsidP="008045FC">
      <w:pPr>
        <w:pStyle w:val="Agency-body-text-report"/>
      </w:pPr>
      <w:r w:rsidRPr="00D739A7">
        <w:t xml:space="preserve">The special class enrolment rates of learners </w:t>
      </w:r>
      <w:r w:rsidR="00AF12CB" w:rsidRPr="00D739A7">
        <w:t xml:space="preserve">in ISCED 2 </w:t>
      </w:r>
      <w:r w:rsidRPr="00D739A7">
        <w:t>with an official decision of SEN, based on the whole population of learners with an official decision of SEN, range from 0.</w:t>
      </w:r>
      <w:r w:rsidR="00E647FD" w:rsidRPr="00D739A7">
        <w:t>29</w:t>
      </w:r>
      <w:r w:rsidRPr="00D739A7">
        <w:t xml:space="preserve">% to </w:t>
      </w:r>
      <w:r w:rsidR="00E647FD" w:rsidRPr="00D739A7">
        <w:t>19.72</w:t>
      </w:r>
      <w:r w:rsidRPr="00D739A7">
        <w:t>%; the total average for the 2</w:t>
      </w:r>
      <w:r w:rsidR="00E647FD" w:rsidRPr="00D739A7">
        <w:t>3</w:t>
      </w:r>
      <w:r w:rsidRPr="00D739A7">
        <w:t xml:space="preserve"> countries is 4.</w:t>
      </w:r>
      <w:r w:rsidR="00E647FD" w:rsidRPr="00D739A7">
        <w:t>95</w:t>
      </w:r>
      <w:r w:rsidRPr="00D739A7">
        <w:t>%.</w:t>
      </w:r>
    </w:p>
    <w:p w14:paraId="3A330F91" w14:textId="1DA1017B" w:rsidR="009F2D7A" w:rsidRPr="00D739A7" w:rsidRDefault="00E647FD" w:rsidP="00E647FD">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2447F79" wp14:editId="27E548CB">
            <wp:extent cx="3054350" cy="7411720"/>
            <wp:effectExtent l="0" t="0" r="6350" b="17780"/>
            <wp:docPr id="86" name="Diagram 86" descr="Bulgaria ISCED 1 - 0.50 ISCED 2 - 0.29&#10;Cyprus ISCED 1 - 7.06 ISCED 2 - 3.24&#10;Czech Republic ISCED 1 - 2.83 ISCED 2 - 3.45&#10;Estonia ISCED 1 - 18.10 ISCED 2 - 8.88&#10;Finland ISCED 1 - 32.82 ISCED 2 - 18.40&#10;France ISCED 1 - 16.55 ISCED 2 - 7.31&#10;Greece ISCED 1 - 0.46 ISCED 2 - 0.55&#10;Hungary ISCED 1 - 15.40 ISCED 2 - 17.76&#10;Iceland  ISCED 1 - 3.28 ISCED 2 - 2.50&#10;Ireland ISCED 1 - 7.86 ISCED 2 - 1.66&#10;Latvia ISCED 1 - 9.09 ISCED 2 - 3.42&#10;Lithuania ISCED 1 - 1.09 ISCED 2 - 1.34&#10;Luxembourg ISCED 1 - 16.59 ISCED 2 - 9.77&#10;Norway ISCED 1 - 2.84 ISCED 2 - 2.44&#10;Poland ISCED 1 - 1.87 ISCED 2 - 0.82&#10;Portugal ISCED 1 - 6.96 ISCED 2 - 7.07&#10;Slovakia ISCED 1 - 5.80 ISCED 2 - 7.29&#10;Slovenia ISCED 1 - 2.27 ISCED 2 - 1.32&#10;Spain ISCED 1 - 2.67 ISCED 2 - 1.54&#10;Switzerland ISCED 1 - 29.51 ISCED 2 - 19.72&#10;UK (England) ISCED 1 - 2.44 ISCED 2 - 0.97&#10;UK (N. Ireland) ISCED 1 - 7.19 ISCED 2 - 4.96&#10;UK (Wales) ISCED 1 - 12.43 ISCED 2 - 10.74&#10;Total average (23) ISCED 1 - 7.95 ISCED 2 - 4.95">
              <a:extLst xmlns:a="http://schemas.openxmlformats.org/drawingml/2006/main">
                <a:ext uri="{FF2B5EF4-FFF2-40B4-BE49-F238E27FC236}">
                  <a16:creationId xmlns:a16="http://schemas.microsoft.com/office/drawing/2014/main" id="{880E2067-859F-4501-8C39-D04D6844D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53E90052" w14:textId="62DEB164" w:rsidR="009F2D7A" w:rsidRPr="00D739A7" w:rsidRDefault="00E622E1" w:rsidP="00783F38">
      <w:pPr>
        <w:pStyle w:val="Agency-caption-report"/>
        <w:spacing w:before="120" w:after="120"/>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71</w:t>
      </w:r>
      <w:r w:rsidRPr="00D739A7">
        <w:fldChar w:fldCharType="end"/>
      </w:r>
      <w:r w:rsidR="009F2D7A" w:rsidRPr="00D739A7">
        <w:t>. ISCED breakdown of learners with an official decision of SEN in special classes, based on the population of learners with an official decision of SEN (%)</w:t>
      </w:r>
    </w:p>
    <w:p w14:paraId="2CBE310B"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C544D1">
          <w:type w:val="continuous"/>
          <w:pgSz w:w="11899" w:h="16838"/>
          <w:pgMar w:top="1134" w:right="1551" w:bottom="1276" w:left="1418" w:header="709" w:footer="709" w:gutter="0"/>
          <w:cols w:num="2" w:space="710" w:equalWidth="0">
            <w:col w:w="3333" w:space="710"/>
            <w:col w:w="4887"/>
          </w:cols>
          <w:docGrid w:linePitch="360"/>
        </w:sectPr>
      </w:pPr>
    </w:p>
    <w:p w14:paraId="176C3203" w14:textId="77777777" w:rsidR="009F2D7A" w:rsidRPr="00D739A7" w:rsidRDefault="009F2D7A" w:rsidP="004A29D9">
      <w:pPr>
        <w:pStyle w:val="Agency-heading-4-report"/>
      </w:pPr>
      <w:r w:rsidRPr="00D739A7">
        <w:lastRenderedPageBreak/>
        <w:t>ISCED distribution of learners with an official decision of SEN in special classes, based on the population of learners with an official decision of SEN (%)</w:t>
      </w:r>
    </w:p>
    <w:p w14:paraId="2CC76DB7"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79C8CA09" w14:textId="77777777" w:rsidR="009F2D7A" w:rsidRPr="00D739A7" w:rsidRDefault="009F2D7A" w:rsidP="00AF12CB">
      <w:pPr>
        <w:pStyle w:val="Agency-body-text-report"/>
      </w:pPr>
      <w:r w:rsidRPr="00D739A7">
        <w:t>The ISCED distributions have been calculated as follows:</w:t>
      </w:r>
    </w:p>
    <w:p w14:paraId="26FBC331" w14:textId="77777777" w:rsidR="009F2D7A" w:rsidRPr="00D739A7" w:rsidRDefault="009F2D7A" w:rsidP="00AF12CB">
      <w:pPr>
        <w:pStyle w:val="Agency-body-text-report"/>
      </w:pPr>
      <w:r w:rsidRPr="00D739A7">
        <w:t>ISCED 1:</w:t>
      </w:r>
      <w:r w:rsidRPr="00D739A7">
        <w:rPr>
          <w:szCs w:val="20"/>
        </w:rPr>
        <w:t xml:space="preserve"> </w:t>
      </w:r>
      <w:r w:rsidRPr="00D739A7">
        <w:t>The number of learners in ISCED 1 with an official decision of SEN who are educated in separate special classes in mainstream schools (Q3.3) / The number of learners in ISCED 1 who have an official decision of SEN (Q3.1) x 100.</w:t>
      </w:r>
    </w:p>
    <w:p w14:paraId="237BF576" w14:textId="77777777" w:rsidR="009F2D7A" w:rsidRPr="00D739A7" w:rsidRDefault="009F2D7A" w:rsidP="00AF12CB">
      <w:pPr>
        <w:pStyle w:val="Agency-body-text-report"/>
      </w:pPr>
      <w:r w:rsidRPr="00D739A7">
        <w:t>ISCED 2:</w:t>
      </w:r>
      <w:r w:rsidRPr="00D739A7">
        <w:rPr>
          <w:szCs w:val="20"/>
        </w:rPr>
        <w:t xml:space="preserve"> </w:t>
      </w:r>
      <w:r w:rsidRPr="00D739A7">
        <w:t>The number of learners in ISCED 2 with an official decision of SEN who are educated in separate special classes in mainstream schools (Q3.3) / The number of learners in ISCED 2 who have an official decision of SEN (Q3.1) x 100.</w:t>
      </w:r>
    </w:p>
    <w:p w14:paraId="65846E5B" w14:textId="33016673" w:rsidR="009F2D7A" w:rsidRPr="00D739A7" w:rsidRDefault="009F2D7A" w:rsidP="00AF12CB">
      <w:pPr>
        <w:pStyle w:val="Agency-body-text-report"/>
        <w:rPr>
          <w:bCs/>
        </w:rPr>
      </w:pPr>
      <w:r w:rsidRPr="00D739A7">
        <w:rPr>
          <w:bCs/>
        </w:rPr>
        <w:t>Data is available from 2</w:t>
      </w:r>
      <w:r w:rsidR="00E647FD" w:rsidRPr="00D739A7">
        <w:rPr>
          <w:bCs/>
        </w:rPr>
        <w:t>3</w:t>
      </w:r>
      <w:r w:rsidRPr="00D739A7">
        <w:rPr>
          <w:bCs/>
        </w:rPr>
        <w:t xml:space="preserve"> countries.</w:t>
      </w:r>
    </w:p>
    <w:p w14:paraId="248A85A2" w14:textId="467C7169" w:rsidR="009F2D7A" w:rsidRPr="00D739A7" w:rsidRDefault="00AF12CB" w:rsidP="00AF12CB">
      <w:pPr>
        <w:pStyle w:val="Agency-body-text-report"/>
        <w:rPr>
          <w:bCs/>
        </w:rPr>
      </w:pPr>
      <w:r w:rsidRPr="00D739A7">
        <w:rPr>
          <w:bCs/>
        </w:rPr>
        <w:t>Within ISCED 1, t</w:t>
      </w:r>
      <w:r w:rsidR="009F2D7A" w:rsidRPr="00D739A7">
        <w:rPr>
          <w:bCs/>
        </w:rPr>
        <w:t xml:space="preserve">he proportion of learners with an official decision of SEN in special classes ranges from </w:t>
      </w:r>
      <w:r w:rsidR="00E647FD" w:rsidRPr="00D739A7">
        <w:rPr>
          <w:bCs/>
        </w:rPr>
        <w:t>0.92</w:t>
      </w:r>
      <w:r w:rsidR="009F2D7A" w:rsidRPr="00D739A7">
        <w:rPr>
          <w:bCs/>
        </w:rPr>
        <w:t>% to 5</w:t>
      </w:r>
      <w:r w:rsidR="00E647FD" w:rsidRPr="00D739A7">
        <w:rPr>
          <w:bCs/>
        </w:rPr>
        <w:t>4.79</w:t>
      </w:r>
      <w:r w:rsidR="009F2D7A" w:rsidRPr="00D739A7">
        <w:rPr>
          <w:bCs/>
        </w:rPr>
        <w:t>%; the total average for the 2</w:t>
      </w:r>
      <w:r w:rsidR="00E647FD" w:rsidRPr="00D739A7">
        <w:rPr>
          <w:bCs/>
        </w:rPr>
        <w:t>3</w:t>
      </w:r>
      <w:r w:rsidR="009F2D7A" w:rsidRPr="00D739A7">
        <w:rPr>
          <w:bCs/>
        </w:rPr>
        <w:t xml:space="preserve"> countries is 13.</w:t>
      </w:r>
      <w:r w:rsidR="00E647FD" w:rsidRPr="00D739A7">
        <w:rPr>
          <w:bCs/>
        </w:rPr>
        <w:t>41</w:t>
      </w:r>
      <w:r w:rsidR="009F2D7A" w:rsidRPr="00D739A7">
        <w:rPr>
          <w:bCs/>
        </w:rPr>
        <w:t>%.</w:t>
      </w:r>
    </w:p>
    <w:p w14:paraId="713552E4" w14:textId="0CA264DC" w:rsidR="009F2D7A" w:rsidRPr="00D739A7" w:rsidRDefault="00AF12CB" w:rsidP="00AF12CB">
      <w:pPr>
        <w:pStyle w:val="Agency-body-text-report"/>
        <w:rPr>
          <w:bCs/>
        </w:rPr>
      </w:pPr>
      <w:r w:rsidRPr="00D739A7">
        <w:rPr>
          <w:bCs/>
        </w:rPr>
        <w:t>Within ISCED 2, t</w:t>
      </w:r>
      <w:r w:rsidR="009F2D7A" w:rsidRPr="00D739A7">
        <w:rPr>
          <w:bCs/>
        </w:rPr>
        <w:t>he proportion of learners with an official decision of SEN in special classes ranges from</w:t>
      </w:r>
      <w:r w:rsidR="002F6D36" w:rsidRPr="00D739A7">
        <w:rPr>
          <w:bCs/>
        </w:rPr>
        <w:t xml:space="preserve"> 0.62</w:t>
      </w:r>
      <w:r w:rsidR="009F2D7A" w:rsidRPr="00D739A7">
        <w:rPr>
          <w:bCs/>
        </w:rPr>
        <w:t xml:space="preserve">% to </w:t>
      </w:r>
      <w:r w:rsidR="00E647FD" w:rsidRPr="00D739A7">
        <w:rPr>
          <w:bCs/>
        </w:rPr>
        <w:t>49.06</w:t>
      </w:r>
      <w:r w:rsidR="009F2D7A" w:rsidRPr="00D739A7">
        <w:rPr>
          <w:bCs/>
        </w:rPr>
        <w:t>%; the total average for the 2</w:t>
      </w:r>
      <w:r w:rsidR="00E647FD" w:rsidRPr="00D739A7">
        <w:rPr>
          <w:bCs/>
        </w:rPr>
        <w:t>3</w:t>
      </w:r>
      <w:r w:rsidR="009F2D7A" w:rsidRPr="00D739A7">
        <w:rPr>
          <w:bCs/>
        </w:rPr>
        <w:t xml:space="preserve"> countries is 1</w:t>
      </w:r>
      <w:r w:rsidR="00E647FD" w:rsidRPr="00D739A7">
        <w:rPr>
          <w:bCs/>
        </w:rPr>
        <w:t>2.15</w:t>
      </w:r>
      <w:r w:rsidR="009F2D7A" w:rsidRPr="00D739A7">
        <w:rPr>
          <w:bCs/>
        </w:rPr>
        <w:t>%.</w:t>
      </w:r>
    </w:p>
    <w:p w14:paraId="26E5694C" w14:textId="52FA8923" w:rsidR="009F2D7A" w:rsidRPr="00D739A7" w:rsidRDefault="00E647FD" w:rsidP="00E647FD">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7BB49FE0" wp14:editId="0AA12912">
            <wp:extent cx="3060700" cy="7487216"/>
            <wp:effectExtent l="0" t="0" r="12700" b="6350"/>
            <wp:docPr id="87" name="Diagram 87" descr="Bulgaria ISCED 1 - 0.94 ISCED 2 - 0.62&#10;Cyprus ISCED 1 - 11.11 ISCED 2 - 8.89&#10;Czech Republic ISCED 1 - 5.81 ISCED 2 - 6.71&#10;Estonia ISCED 1 - 28.81 ISCED 2 - 23.90&#10;Finland ISCED 1 - 54.79 ISCED 2 - 45.90&#10;France ISCED 1 - 25.39 ISCED 2 - 20.99&#10;Greece ISCED 1 - 0.92 ISCED 2 - 1.12&#10;Hungary ISCED 1 - 35.01 ISCED 2 - 31.71&#10;Iceland  ISCED 1 - 4.89 ISCED 2 - 7.60&#10;Ireland ISCED 1 - 10.67 ISCED 2 - 6.31&#10;Latvia ISCED 1 - 14.01 ISCED 2 - 9.74&#10;Lithuania ISCED 1 - 1.94 ISCED 2 - 3.06&#10;Luxembourg ISCED 1 - 25.89 27.22&#10;Norway ISCED 1 - 4.58 ISCED 2 - 6.41&#10;Poland ISCED 1 - 3.00 ISCED 2 - 2.16&#10;Portugal ISCED 1 - 11.75 ISCED 2 - 17.34&#10;Slovakia ISCED 1 - 12.84 ISCED 2 - 13.29&#10;Slovenia ISCED 1 - 3.89 ISCED 2 - 3.17&#10;Spain ISCED 1 - 4.23 ISCED 2 - 4.18&#10;Switzerland ISCED 1 - 49.35 ISCED 2 - 49.06&#10;UK (England) ISCED 1 - 4.00 ISCED 2 - 2.49&#10;UK (N. Ireland) ISCED 1 - 13.85 ISCED 2 - 10.33&#10;UK (Wales) ISCED 1 - 27.61 ISCED 2 - 19.54&#10;Total average (23) ISCED 1 - 13.41 ISCED 2 - 12.15">
              <a:extLst xmlns:a="http://schemas.openxmlformats.org/drawingml/2006/main">
                <a:ext uri="{FF2B5EF4-FFF2-40B4-BE49-F238E27FC236}">
                  <a16:creationId xmlns:a16="http://schemas.microsoft.com/office/drawing/2014/main" id="{F208608F-532C-4DCC-8CE9-C110490B9F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A0555C9" w14:textId="649C27EB" w:rsidR="009F2D7A" w:rsidRPr="00D739A7" w:rsidRDefault="00E622E1" w:rsidP="00783F38">
      <w:pPr>
        <w:pStyle w:val="Agency-caption-report"/>
        <w:spacing w:before="120" w:after="120"/>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72</w:t>
      </w:r>
      <w:r w:rsidRPr="00D739A7">
        <w:fldChar w:fldCharType="end"/>
      </w:r>
      <w:r w:rsidR="009F2D7A" w:rsidRPr="00D739A7">
        <w:t>. ISCED distribution of learners with an official decision of SEN in special classes, based on the population of learners with an official decision of SEN (%)</w:t>
      </w:r>
    </w:p>
    <w:p w14:paraId="49B8DD4E"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C544D1">
          <w:type w:val="continuous"/>
          <w:pgSz w:w="11899" w:h="16838"/>
          <w:pgMar w:top="1134" w:right="1551" w:bottom="1276" w:left="1418" w:header="709" w:footer="709" w:gutter="0"/>
          <w:cols w:num="2" w:space="710" w:equalWidth="0">
            <w:col w:w="3333" w:space="710"/>
            <w:col w:w="4887"/>
          </w:cols>
          <w:docGrid w:linePitch="360"/>
        </w:sectPr>
      </w:pPr>
    </w:p>
    <w:p w14:paraId="540ED8A5" w14:textId="40A6808B" w:rsidR="009F2D7A" w:rsidRPr="00D739A7" w:rsidRDefault="00436B97" w:rsidP="004A29D9">
      <w:pPr>
        <w:pStyle w:val="Agency-heading-3-report"/>
      </w:pPr>
      <w:bookmarkStart w:id="67" w:name="_Toc35943057"/>
      <w:r w:rsidRPr="00D739A7">
        <w:lastRenderedPageBreak/>
        <w:t>Indicator </w:t>
      </w:r>
      <w:r w:rsidR="00903978" w:rsidRPr="00D739A7">
        <w:t>2.</w:t>
      </w:r>
      <w:r w:rsidRPr="00D739A7">
        <w:t>3</w:t>
      </w:r>
      <w:r w:rsidR="009F2D7A" w:rsidRPr="00D739A7">
        <w:t>c.3: the percentage of learners with an official decision of SEN in special schools, based on the population of learners with an official decision of SEN (%)</w:t>
      </w:r>
      <w:bookmarkEnd w:id="67"/>
    </w:p>
    <w:p w14:paraId="589A0D94"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2907C63A" w14:textId="4299927A" w:rsidR="009F2D7A" w:rsidRPr="00D739A7" w:rsidRDefault="009F2D7A" w:rsidP="00AF12CB">
      <w:pPr>
        <w:pStyle w:val="Agency-body-text-report"/>
        <w:rPr>
          <w:bCs/>
        </w:rPr>
      </w:pPr>
      <w:r w:rsidRPr="00D739A7">
        <w:t>The data focuses on learners with an official decision of SEN</w:t>
      </w:r>
      <w:r w:rsidR="00AF12CB" w:rsidRPr="00D739A7">
        <w:t>,</w:t>
      </w:r>
      <w:r w:rsidRPr="00D739A7">
        <w:t xml:space="preserve"> in line with the EASIE operational definition, who are enrolled in fully separate special schools</w:t>
      </w:r>
      <w:r w:rsidR="00AF12CB" w:rsidRPr="00D739A7">
        <w:t>,</w:t>
      </w:r>
      <w:r w:rsidRPr="00D739A7">
        <w:t xml:space="preserve"> </w:t>
      </w:r>
      <w:r w:rsidRPr="00D739A7">
        <w:rPr>
          <w:bCs/>
        </w:rPr>
        <w:t>in line with the 80% placement benchmark (or the most relevant proxy for this benchmark</w:t>
      </w:r>
      <w:r w:rsidR="00AF12CB" w:rsidRPr="00D739A7">
        <w:rPr>
          <w:bCs/>
        </w:rPr>
        <w:t xml:space="preserve">), </w:t>
      </w:r>
      <w:r w:rsidRPr="00D739A7">
        <w:rPr>
          <w:bCs/>
        </w:rPr>
        <w:t>in relation to the whole population of learners with an official decision of SEN.</w:t>
      </w:r>
    </w:p>
    <w:p w14:paraId="2A4C6248" w14:textId="77777777" w:rsidR="009F2D7A" w:rsidRPr="00D739A7" w:rsidRDefault="009F2D7A" w:rsidP="00AF12CB">
      <w:pPr>
        <w:pStyle w:val="Agency-body-text-report"/>
      </w:pPr>
      <w:r w:rsidRPr="00D739A7">
        <w:t>This indicator has been calculated as follows: The number of learners with an official decision of SEN who are educated in separate special schools (Q3.4) / The number of learners who have an official decision of SEN (Q3.1) x 100.</w:t>
      </w:r>
    </w:p>
    <w:p w14:paraId="4F633B5F" w14:textId="606C1FE6" w:rsidR="009F2D7A" w:rsidRPr="00D739A7" w:rsidRDefault="009F2D7A" w:rsidP="00AF12CB">
      <w:pPr>
        <w:pStyle w:val="Agency-body-text-report"/>
      </w:pPr>
      <w:r w:rsidRPr="00D739A7">
        <w:t xml:space="preserve">Data is available from </w:t>
      </w:r>
      <w:r w:rsidR="00701CE7" w:rsidRPr="00D739A7">
        <w:t>29</w:t>
      </w:r>
      <w:r w:rsidRPr="00D739A7">
        <w:t xml:space="preserve"> countries.</w:t>
      </w:r>
    </w:p>
    <w:p w14:paraId="5E3A85DF" w14:textId="14EEC5FA" w:rsidR="00701CE7" w:rsidRPr="00D739A7" w:rsidRDefault="009F2D7A" w:rsidP="00AF12CB">
      <w:pPr>
        <w:pStyle w:val="Agency-body-text-report"/>
      </w:pPr>
      <w:r w:rsidRPr="00D739A7">
        <w:t>The enrolment rates in special schools for learners with an official decision of SEN, based on the whole population of learners with an official decision of SEN, range from 0.</w:t>
      </w:r>
      <w:r w:rsidR="00701CE7" w:rsidRPr="00D739A7">
        <w:t>88</w:t>
      </w:r>
      <w:r w:rsidRPr="00D739A7">
        <w:t xml:space="preserve">% to 100.00%; the total average for the </w:t>
      </w:r>
      <w:r w:rsidR="00701CE7" w:rsidRPr="00D739A7">
        <w:t>29</w:t>
      </w:r>
      <w:r w:rsidRPr="00D739A7">
        <w:t xml:space="preserve"> countries is 3</w:t>
      </w:r>
      <w:r w:rsidR="00701CE7" w:rsidRPr="00D739A7">
        <w:t>0.24</w:t>
      </w:r>
      <w:r w:rsidRPr="00D739A7">
        <w:t>%.</w:t>
      </w:r>
    </w:p>
    <w:p w14:paraId="729DE990" w14:textId="46FB9BAC" w:rsidR="009F2D7A" w:rsidRPr="00D739A7" w:rsidRDefault="00701CE7" w:rsidP="00701CE7">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404DD9CA" wp14:editId="3B5A4ADA">
            <wp:extent cx="3054350" cy="7405735"/>
            <wp:effectExtent l="0" t="0" r="6350" b="11430"/>
            <wp:docPr id="88" name="Diagram 88" descr="Austria 31.26&#10;Belgium (Fl) 80.89&#10;Bulgaria 17.83&#10;Czech Republic 25.56&#10;Estonia 35.68&#10;Finland 9.80&#10;France 17.23&#10;Germany 56.61&#10;Greece 15.28&#10;Iceland  2.40&#10;Ireland 11.03&#10;Italy 0.88&#10;Latvia 48.44&#10;Lithuania 8.15&#10;Luxembourg 23.64&#10;Malta 5.35&#10;Netherlands 100.00&#10;Norway 2.83&#10;Poland 40.43&#10;Portugal 1.50&#10;Slovakia 24.23&#10;Slovenia 22.61&#10;Spain 15.40&#10;Sweden 88.79&#10;Switzerland 50.77&#10;UK (England) 44.63&#10;UK (N. Ireland) 27.84&#10;UK (Scotland) 3.43&#10;UK (Wales) 30.38&#10;Total average (29) 30.24">
              <a:extLst xmlns:a="http://schemas.openxmlformats.org/drawingml/2006/main">
                <a:ext uri="{FF2B5EF4-FFF2-40B4-BE49-F238E27FC236}">
                  <a16:creationId xmlns:a16="http://schemas.microsoft.com/office/drawing/2014/main" id="{E02C2F6F-10A1-419B-B269-81E1130410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F1622F6" w14:textId="5C648E2B" w:rsidR="009F2D7A" w:rsidRPr="00D739A7" w:rsidRDefault="00E622E1"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73</w:t>
      </w:r>
      <w:r w:rsidRPr="00D739A7">
        <w:fldChar w:fldCharType="end"/>
      </w:r>
      <w:r w:rsidR="009F2D7A" w:rsidRPr="00D739A7">
        <w:t>. Percentage of learners with an official decision of SEN in special schools, based on the population of learners with an official decision of SEN (%)</w:t>
      </w:r>
    </w:p>
    <w:p w14:paraId="7F4815B3"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C544D1">
          <w:type w:val="continuous"/>
          <w:pgSz w:w="11899" w:h="16838"/>
          <w:pgMar w:top="1134" w:right="1551" w:bottom="1276" w:left="1418" w:header="709" w:footer="709" w:gutter="0"/>
          <w:cols w:num="2" w:space="710" w:equalWidth="0">
            <w:col w:w="3333" w:space="710"/>
            <w:col w:w="4887"/>
          </w:cols>
          <w:docGrid w:linePitch="360"/>
        </w:sectPr>
      </w:pPr>
    </w:p>
    <w:p w14:paraId="0B75682B" w14:textId="77777777" w:rsidR="009F2D7A" w:rsidRPr="00D739A7" w:rsidRDefault="009F2D7A" w:rsidP="004A29D9">
      <w:pPr>
        <w:pStyle w:val="Agency-heading-4-report"/>
      </w:pPr>
      <w:r w:rsidRPr="00D739A7">
        <w:lastRenderedPageBreak/>
        <w:t>Gender breakdown of learners with an official decision of SEN in special schools, based on the population of learners with an official decision of SEN (%)</w:t>
      </w:r>
    </w:p>
    <w:p w14:paraId="322A0214"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109E858C" w14:textId="77777777" w:rsidR="009F2D7A" w:rsidRPr="00D739A7" w:rsidRDefault="009F2D7A" w:rsidP="00923F65">
      <w:pPr>
        <w:pStyle w:val="Agency-body-text-report"/>
      </w:pPr>
      <w:r w:rsidRPr="00D739A7">
        <w:t>The gender breakdowns have been calculated as follows:</w:t>
      </w:r>
    </w:p>
    <w:p w14:paraId="2C75FBE4" w14:textId="0E81B750" w:rsidR="009F2D7A" w:rsidRPr="00D739A7" w:rsidRDefault="00EF3C3C" w:rsidP="00923F65">
      <w:pPr>
        <w:pStyle w:val="Agency-body-text-report"/>
      </w:pPr>
      <w:r w:rsidRPr="00D739A7">
        <w:t>Boys</w:t>
      </w:r>
      <w:r w:rsidR="009F2D7A" w:rsidRPr="00D739A7">
        <w:t>: The number of boys with an official decision of SEN who are educated in separate special schools (</w:t>
      </w:r>
      <w:r w:rsidR="007237E0" w:rsidRPr="00D739A7">
        <w:t>Q3</w:t>
      </w:r>
      <w:r w:rsidR="009F2D7A" w:rsidRPr="00D739A7">
        <w:t>.4) / The number of learners who have an official decision of SEN (Q3.1) x 100.</w:t>
      </w:r>
    </w:p>
    <w:p w14:paraId="454D1DDD" w14:textId="21622F23" w:rsidR="009F2D7A" w:rsidRPr="00D739A7" w:rsidRDefault="00EF3C3C" w:rsidP="00923F65">
      <w:pPr>
        <w:pStyle w:val="Agency-body-text-report"/>
      </w:pPr>
      <w:r w:rsidRPr="00D739A7">
        <w:t>Girls</w:t>
      </w:r>
      <w:r w:rsidR="009F2D7A" w:rsidRPr="00D739A7">
        <w:t>: The number of girls with an official decision of SEN who are educated in separate special schools (</w:t>
      </w:r>
      <w:r w:rsidR="007237E0" w:rsidRPr="00D739A7">
        <w:t>Q3</w:t>
      </w:r>
      <w:r w:rsidR="009F2D7A" w:rsidRPr="00D739A7">
        <w:t>.4) / The number of learners who have an official decision of SEN (Q3.1) x 100.</w:t>
      </w:r>
    </w:p>
    <w:p w14:paraId="3A7F7E6D" w14:textId="54D0B9CC" w:rsidR="009F2D7A" w:rsidRPr="00D739A7" w:rsidRDefault="009F2D7A" w:rsidP="00923F65">
      <w:pPr>
        <w:pStyle w:val="Agency-body-text-report"/>
        <w:rPr>
          <w:bCs/>
        </w:rPr>
      </w:pPr>
      <w:r w:rsidRPr="00D739A7">
        <w:rPr>
          <w:bCs/>
        </w:rPr>
        <w:t>Data is available from 2</w:t>
      </w:r>
      <w:r w:rsidR="00F85EE7" w:rsidRPr="00D739A7">
        <w:rPr>
          <w:bCs/>
        </w:rPr>
        <w:t>7</w:t>
      </w:r>
      <w:r w:rsidRPr="00D739A7">
        <w:rPr>
          <w:bCs/>
        </w:rPr>
        <w:t xml:space="preserve"> countries.</w:t>
      </w:r>
    </w:p>
    <w:p w14:paraId="4821FEF4" w14:textId="34B5882B" w:rsidR="009F2D7A" w:rsidRPr="00D739A7" w:rsidRDefault="009F2D7A" w:rsidP="00923F65">
      <w:pPr>
        <w:pStyle w:val="Agency-body-text-report"/>
      </w:pPr>
      <w:r w:rsidRPr="00D739A7">
        <w:t xml:space="preserve">The enrolment rates in special schools for </w:t>
      </w:r>
      <w:r w:rsidR="000C2B8D" w:rsidRPr="00D739A7">
        <w:t xml:space="preserve">boys </w:t>
      </w:r>
      <w:r w:rsidRPr="00D739A7">
        <w:t>with an official decision of SEN, based on the whole population of learners with an official decision of SEN, range from 0.</w:t>
      </w:r>
      <w:r w:rsidR="00F85EE7" w:rsidRPr="00D739A7">
        <w:t>62</w:t>
      </w:r>
      <w:r w:rsidRPr="00D739A7">
        <w:t>% to 72.</w:t>
      </w:r>
      <w:r w:rsidR="00F85EE7" w:rsidRPr="00D739A7">
        <w:t>65</w:t>
      </w:r>
      <w:r w:rsidRPr="00D739A7">
        <w:t>%; the total average for the 2</w:t>
      </w:r>
      <w:r w:rsidR="00F85EE7" w:rsidRPr="00D739A7">
        <w:t>7</w:t>
      </w:r>
      <w:r w:rsidRPr="00D739A7">
        <w:t xml:space="preserve"> countries is 2</w:t>
      </w:r>
      <w:r w:rsidR="00F85EE7" w:rsidRPr="00D739A7">
        <w:t>0.71</w:t>
      </w:r>
      <w:r w:rsidRPr="00D739A7">
        <w:t>%.</w:t>
      </w:r>
    </w:p>
    <w:p w14:paraId="5B3EAAEF" w14:textId="2E972304" w:rsidR="009F2D7A" w:rsidRPr="00D739A7" w:rsidRDefault="009F2D7A" w:rsidP="00923F65">
      <w:pPr>
        <w:pStyle w:val="Agency-body-text-report"/>
      </w:pPr>
      <w:r w:rsidRPr="00D739A7">
        <w:t xml:space="preserve">The enrolment rates in special schools for </w:t>
      </w:r>
      <w:r w:rsidR="000C2B8D" w:rsidRPr="00D739A7">
        <w:t xml:space="preserve">girls </w:t>
      </w:r>
      <w:r w:rsidRPr="00D739A7">
        <w:t>with an official decision of SEN, based on the whole population of learners with an official decision of SEN, range from 0.2</w:t>
      </w:r>
      <w:r w:rsidR="00F85EE7" w:rsidRPr="00D739A7">
        <w:t>6</w:t>
      </w:r>
      <w:r w:rsidRPr="00D739A7">
        <w:t>% to 34.</w:t>
      </w:r>
      <w:r w:rsidR="00F85EE7" w:rsidRPr="00D739A7">
        <w:t>4</w:t>
      </w:r>
      <w:r w:rsidRPr="00D739A7">
        <w:t>0%; the total average for the 2</w:t>
      </w:r>
      <w:r w:rsidR="00F85EE7" w:rsidRPr="00D739A7">
        <w:t>7</w:t>
      </w:r>
      <w:r w:rsidRPr="00D739A7">
        <w:t xml:space="preserve"> countries is 1</w:t>
      </w:r>
      <w:r w:rsidR="00F85EE7" w:rsidRPr="00D739A7">
        <w:t>0.17</w:t>
      </w:r>
      <w:r w:rsidRPr="00D739A7">
        <w:t>%.</w:t>
      </w:r>
    </w:p>
    <w:p w14:paraId="5B78DED5" w14:textId="50145A76" w:rsidR="009F2D7A" w:rsidRPr="00D739A7" w:rsidRDefault="00701CE7" w:rsidP="00701CE7">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179767F8" wp14:editId="7AF6DB73">
            <wp:extent cx="3103880" cy="7370445"/>
            <wp:effectExtent l="0" t="0" r="7620" b="8255"/>
            <wp:docPr id="89" name="Diagram 89" descr="Austria Boys 20.78 Girls 10.49&#10;Belgium (Fl) Boys 52.25 Girls 28.64&#10;Bulgaria Boys 10.83 Girls 7.00&#10;Czech Republic Boys 15.98 Girls 9.58&#10;Estonia Boys 24.29 Girls 11.39&#10;Finland Boys 6.86 Girls 2.94&#10;France Boys 11.74 Girls 5.49&#10;Germany Boys 37.30 Girls 19.31&#10;Greece Boys 10.17 Girls 5.11&#10;Iceland  Boys 1.77 Girls 0.63&#10;Ireland Boys 7.44 Girls 3.59&#10;Italy Boys 0.62 Girls 0.26&#10;Latvia Boys 32.07 Girls 16.37&#10;Lithuania Boys 5.26 Girls 2.89  &#10;Malta Boys 3.50 Girls 1.84&#10;Netherlands Boys 72.65 Girls 27.35 &#10;Poland Boys 26.17 Girls 14.27&#10;Portugal Boys 1.06 Girls 0.45&#10;Slovakia Boys 14.39 Girls 9.84&#10;Slovenia Boys 13.55 Girls 9.06&#10;Spain Boys 9.76 Girls 5.64&#10;Sweden Boys 54.39 Girls 34.40&#10;Switzerland Boys 34.58 Girls 16.19&#10;UK (England) Boys 32.89 Girls 11.74&#10;UK (N. Ireland) Boys 19.70 Girls 8.14&#10;UK (Scotland) Boys 2.44 Girls 1.00&#10;UK (Wales) Boys 21.90 Girls 8.48&#10;Total average (27) Boys 20.71 Girls 10.17">
              <a:extLst xmlns:a="http://schemas.openxmlformats.org/drawingml/2006/main">
                <a:ext uri="{FF2B5EF4-FFF2-40B4-BE49-F238E27FC236}">
                  <a16:creationId xmlns:a16="http://schemas.microsoft.com/office/drawing/2014/main" id="{49C47717-6C86-4840-9064-A0D204C4E6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7096CDE" w14:textId="783DADA1" w:rsidR="009F2D7A" w:rsidRPr="00D739A7" w:rsidRDefault="00783F38"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74</w:t>
      </w:r>
      <w:r w:rsidRPr="00D739A7">
        <w:fldChar w:fldCharType="end"/>
      </w:r>
      <w:r w:rsidR="009F2D7A" w:rsidRPr="00D739A7">
        <w:t>. Gender breakdown of learners with an official decision of SEN in special schools, based on the population of learners with an official decision of SEN (%)</w:t>
      </w:r>
    </w:p>
    <w:p w14:paraId="4FA2522B"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B06942">
          <w:type w:val="continuous"/>
          <w:pgSz w:w="11899" w:h="16838"/>
          <w:pgMar w:top="1134" w:right="1551" w:bottom="1276" w:left="1418" w:header="709" w:footer="709" w:gutter="0"/>
          <w:cols w:num="2" w:space="710" w:equalWidth="0">
            <w:col w:w="3333" w:space="710"/>
            <w:col w:w="4887"/>
          </w:cols>
          <w:docGrid w:linePitch="360"/>
        </w:sectPr>
      </w:pPr>
    </w:p>
    <w:p w14:paraId="21372D70" w14:textId="77777777" w:rsidR="009F2D7A" w:rsidRPr="00D739A7" w:rsidRDefault="009F2D7A" w:rsidP="004A29D9">
      <w:pPr>
        <w:pStyle w:val="Agency-heading-4-report"/>
      </w:pPr>
      <w:r w:rsidRPr="00D739A7">
        <w:lastRenderedPageBreak/>
        <w:t>Gender distribution of learners with an official decision of SEN in special schools, based on the population of learners with an official decision of SEN (%)</w:t>
      </w:r>
    </w:p>
    <w:p w14:paraId="5CD6F827"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3DFAE189" w14:textId="77777777" w:rsidR="009F2D7A" w:rsidRPr="00D739A7" w:rsidRDefault="009F2D7A" w:rsidP="00923F65">
      <w:pPr>
        <w:pStyle w:val="Agency-body-text-report"/>
      </w:pPr>
      <w:r w:rsidRPr="00D739A7">
        <w:t>The gender distributions have been calculated as follows:</w:t>
      </w:r>
    </w:p>
    <w:p w14:paraId="5CAB17CA" w14:textId="4EB72419" w:rsidR="009F2D7A" w:rsidRPr="00D739A7" w:rsidRDefault="00EF3C3C" w:rsidP="00923F65">
      <w:pPr>
        <w:pStyle w:val="Agency-body-text-report"/>
      </w:pPr>
      <w:r w:rsidRPr="00D739A7">
        <w:t>Boys</w:t>
      </w:r>
      <w:r w:rsidR="009F2D7A" w:rsidRPr="00D739A7">
        <w:t>:</w:t>
      </w:r>
      <w:r w:rsidR="009F2D7A" w:rsidRPr="00D739A7">
        <w:rPr>
          <w:szCs w:val="20"/>
        </w:rPr>
        <w:t xml:space="preserve"> </w:t>
      </w:r>
      <w:r w:rsidR="009F2D7A" w:rsidRPr="00D739A7">
        <w:t>The number of boys with an official decision of SEN who are educated in separate special schools (</w:t>
      </w:r>
      <w:r w:rsidR="007237E0" w:rsidRPr="00D739A7">
        <w:t>Q3</w:t>
      </w:r>
      <w:r w:rsidR="009F2D7A" w:rsidRPr="00D739A7">
        <w:t>.4) / The number of learners with an official decision of SEN who are educated in separate special schools (Q3.4) x 100.</w:t>
      </w:r>
    </w:p>
    <w:p w14:paraId="2ABC841D" w14:textId="62F0B520" w:rsidR="009F2D7A" w:rsidRPr="00D739A7" w:rsidRDefault="00EF3C3C" w:rsidP="00923F65">
      <w:pPr>
        <w:pStyle w:val="Agency-body-text-report"/>
      </w:pPr>
      <w:r w:rsidRPr="00D739A7">
        <w:t>Girls</w:t>
      </w:r>
      <w:r w:rsidR="009F2D7A" w:rsidRPr="00D739A7">
        <w:t>:</w:t>
      </w:r>
      <w:r w:rsidR="009F2D7A" w:rsidRPr="00D739A7">
        <w:rPr>
          <w:szCs w:val="20"/>
        </w:rPr>
        <w:t xml:space="preserve"> </w:t>
      </w:r>
      <w:r w:rsidR="009F2D7A" w:rsidRPr="00D739A7">
        <w:t>The number of girls with an official decision of SEN who are educated in separate special schools (</w:t>
      </w:r>
      <w:r w:rsidR="007237E0" w:rsidRPr="00D739A7">
        <w:t>Q3</w:t>
      </w:r>
      <w:r w:rsidR="009F2D7A" w:rsidRPr="00D739A7">
        <w:t>.4) / The number of learners with an official decision of SEN who are educated in separate special schools (Q3.4) x 100.</w:t>
      </w:r>
    </w:p>
    <w:p w14:paraId="1D251D4F" w14:textId="37C5922C" w:rsidR="009F2D7A" w:rsidRPr="00D739A7" w:rsidRDefault="009F2D7A" w:rsidP="00923F65">
      <w:pPr>
        <w:pStyle w:val="Agency-body-text-report"/>
        <w:rPr>
          <w:bCs/>
        </w:rPr>
      </w:pPr>
      <w:r w:rsidRPr="00D739A7">
        <w:rPr>
          <w:bCs/>
        </w:rPr>
        <w:t>Data is available from 2</w:t>
      </w:r>
      <w:r w:rsidR="00F85EE7" w:rsidRPr="00D739A7">
        <w:rPr>
          <w:bCs/>
        </w:rPr>
        <w:t>7</w:t>
      </w:r>
      <w:r w:rsidRPr="00D739A7">
        <w:rPr>
          <w:bCs/>
        </w:rPr>
        <w:t xml:space="preserve"> countries.</w:t>
      </w:r>
    </w:p>
    <w:p w14:paraId="33E23232" w14:textId="544C1E11" w:rsidR="009F2D7A" w:rsidRPr="00D739A7" w:rsidRDefault="009F2D7A" w:rsidP="00923F65">
      <w:pPr>
        <w:pStyle w:val="Agency-body-text-report"/>
        <w:rPr>
          <w:bCs/>
        </w:rPr>
      </w:pPr>
      <w:r w:rsidRPr="00D739A7">
        <w:rPr>
          <w:bCs/>
        </w:rPr>
        <w:t>The proportion of boys with an official decision of SEN in special schools, based on the population of learners with an official decision of SEN, ranges from</w:t>
      </w:r>
      <w:r w:rsidR="002F6D36" w:rsidRPr="00D739A7">
        <w:rPr>
          <w:bCs/>
        </w:rPr>
        <w:t xml:space="preserve"> 59.39</w:t>
      </w:r>
      <w:r w:rsidRPr="00D739A7">
        <w:rPr>
          <w:bCs/>
        </w:rPr>
        <w:t>% to 73.</w:t>
      </w:r>
      <w:r w:rsidR="00F85EE7" w:rsidRPr="00D739A7">
        <w:rPr>
          <w:bCs/>
        </w:rPr>
        <w:t>78</w:t>
      </w:r>
      <w:r w:rsidRPr="00D739A7">
        <w:rPr>
          <w:bCs/>
        </w:rPr>
        <w:t>%; the total average for the 2</w:t>
      </w:r>
      <w:r w:rsidR="00F85EE7" w:rsidRPr="00D739A7">
        <w:rPr>
          <w:bCs/>
        </w:rPr>
        <w:t>7</w:t>
      </w:r>
      <w:r w:rsidRPr="00D739A7">
        <w:rPr>
          <w:bCs/>
        </w:rPr>
        <w:t xml:space="preserve"> countries is 6</w:t>
      </w:r>
      <w:r w:rsidR="00F85EE7" w:rsidRPr="00D739A7">
        <w:rPr>
          <w:bCs/>
        </w:rPr>
        <w:t>7.07</w:t>
      </w:r>
      <w:r w:rsidRPr="00D739A7">
        <w:rPr>
          <w:bCs/>
        </w:rPr>
        <w:t>%.</w:t>
      </w:r>
    </w:p>
    <w:p w14:paraId="6B98D3C2" w14:textId="48F32C27" w:rsidR="00F85EE7" w:rsidRPr="00D739A7" w:rsidRDefault="009F2D7A" w:rsidP="00923F65">
      <w:pPr>
        <w:pStyle w:val="Agency-body-text-report"/>
        <w:rPr>
          <w:bCs/>
        </w:rPr>
      </w:pPr>
      <w:r w:rsidRPr="00D739A7">
        <w:rPr>
          <w:bCs/>
        </w:rPr>
        <w:t>The proportion of girls with an official decision of SEN in special schools, based on the population of learners with an official decision of SEN, ranges from 26.</w:t>
      </w:r>
      <w:r w:rsidR="00F85EE7" w:rsidRPr="00D739A7">
        <w:rPr>
          <w:bCs/>
        </w:rPr>
        <w:t>22</w:t>
      </w:r>
      <w:r w:rsidRPr="00D739A7">
        <w:rPr>
          <w:bCs/>
        </w:rPr>
        <w:t>% to 4</w:t>
      </w:r>
      <w:r w:rsidR="00F85EE7" w:rsidRPr="00D739A7">
        <w:rPr>
          <w:bCs/>
        </w:rPr>
        <w:t>0.61</w:t>
      </w:r>
      <w:r w:rsidRPr="00D739A7">
        <w:rPr>
          <w:bCs/>
        </w:rPr>
        <w:t>%; the total average for the 2</w:t>
      </w:r>
      <w:r w:rsidR="00F85EE7" w:rsidRPr="00D739A7">
        <w:rPr>
          <w:bCs/>
        </w:rPr>
        <w:t>7</w:t>
      </w:r>
      <w:r w:rsidRPr="00D739A7">
        <w:rPr>
          <w:bCs/>
        </w:rPr>
        <w:t xml:space="preserve"> countries is 3</w:t>
      </w:r>
      <w:r w:rsidR="00F85EE7" w:rsidRPr="00D739A7">
        <w:rPr>
          <w:bCs/>
        </w:rPr>
        <w:t>2.93</w:t>
      </w:r>
      <w:r w:rsidRPr="00D739A7">
        <w:rPr>
          <w:bCs/>
        </w:rPr>
        <w:t>%.</w:t>
      </w:r>
    </w:p>
    <w:p w14:paraId="49C54F29" w14:textId="472588AA" w:rsidR="009F2D7A" w:rsidRPr="00D739A7" w:rsidRDefault="00F85EE7" w:rsidP="00F85EE7">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19F3530F" wp14:editId="68D51816">
            <wp:extent cx="3048000" cy="7446645"/>
            <wp:effectExtent l="0" t="0" r="12700" b="8255"/>
            <wp:docPr id="90" name="Diagram 90" descr="Austria Boys 66.46 Girls 33.54&#10;Belgium (Fl) Boys 64.59 Girls 35.41&#10;Bulgaria Boys 60.73 Girls 39.27&#10;Czech Republic Boys 62.53 Girls 37.47&#10;Estonia Boys 68.09 Girls 31.91&#10;Finland Boys 70.02 Girls 29.98&#10;France Boys 68.13 Girls 31.87&#10;Germany Boys 65.89 Girls 34.11&#10;Greece Boys 66.55 Girls 33.45&#10;Iceland  Boys 73.78 Girls 26.22&#10;Ireland Boys 67.45 Girls 32.55&#10;Italy Boys 70.10 Girls 29.90&#10;Latvia Boys 66.21 Girls 33.79&#10;Lithuania Boys 64.53 Girls 35.47  &#10;Malta Boys 65.52 Girls 34.48&#10;Netherlands Boys 72.65 Girls 27.35 &#10;Poland Boys 64.72 Girls 35.28&#10;Portugal Boys 70.15 Girls 29.85&#10;Slovakia Boys 59.39 Girls 40.61&#10;Slovenia Boys 59.94 Girls 40.06&#10;Spain Boys 63.36 Girls 36.64&#10;Sweden Boys 61.26 Girls 38.74&#10;Switzerland Boys 68.12 Girls 31.88&#10;UK (England) Boys 73.69 Girls 26.31&#10;UK (N. Ireland) Boys 70.76 Girls 29.24&#10;UK (Scotland) Boys 70.96 Girls 29.04&#10;UK (Wales) Boys 72.08 Girls 27.92&#10;Total average (27) Boys 67.07 Girls 32.93">
              <a:extLst xmlns:a="http://schemas.openxmlformats.org/drawingml/2006/main">
                <a:ext uri="{FF2B5EF4-FFF2-40B4-BE49-F238E27FC236}">
                  <a16:creationId xmlns:a16="http://schemas.microsoft.com/office/drawing/2014/main" id="{74A74C7A-A6BE-411F-AB92-D6C9D4EABB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17AB256" w14:textId="478DCFEC" w:rsidR="009F2D7A" w:rsidRPr="00D739A7" w:rsidRDefault="00783F38" w:rsidP="00783F38">
      <w:pPr>
        <w:pStyle w:val="Agency-caption-report"/>
        <w:spacing w:before="120" w:after="120"/>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75</w:t>
      </w:r>
      <w:r w:rsidRPr="00D739A7">
        <w:fldChar w:fldCharType="end"/>
      </w:r>
      <w:r w:rsidR="009F2D7A" w:rsidRPr="00D739A7">
        <w:t>. Gender distribution of learners with an official decision of SEN in special schools, based on the population of learners with an official decision of SEN (%)</w:t>
      </w:r>
    </w:p>
    <w:p w14:paraId="4B1849EF"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B06942">
          <w:type w:val="continuous"/>
          <w:pgSz w:w="11899" w:h="16838"/>
          <w:pgMar w:top="1134" w:right="1551" w:bottom="1276" w:left="1418" w:header="709" w:footer="709" w:gutter="0"/>
          <w:cols w:num="2" w:space="710" w:equalWidth="0">
            <w:col w:w="3333" w:space="710"/>
            <w:col w:w="4887"/>
          </w:cols>
          <w:docGrid w:linePitch="360"/>
        </w:sectPr>
      </w:pPr>
    </w:p>
    <w:p w14:paraId="7DD9349B" w14:textId="77777777" w:rsidR="009F2D7A" w:rsidRPr="00D739A7" w:rsidRDefault="009F2D7A" w:rsidP="004A29D9">
      <w:pPr>
        <w:pStyle w:val="Agency-heading-4-report"/>
      </w:pPr>
      <w:r w:rsidRPr="00D739A7">
        <w:lastRenderedPageBreak/>
        <w:t>ISCED breakdown of learners with an official decision of SEN in special schools,</w:t>
      </w:r>
      <w:r w:rsidRPr="00D739A7">
        <w:rPr>
          <w:b/>
        </w:rPr>
        <w:t xml:space="preserve"> </w:t>
      </w:r>
      <w:r w:rsidRPr="00D739A7">
        <w:t>based on the population of learners with an official decision of SEN (%)</w:t>
      </w:r>
    </w:p>
    <w:p w14:paraId="10C415E6"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4D88C822" w14:textId="77777777" w:rsidR="009F2D7A" w:rsidRPr="00D739A7" w:rsidRDefault="009F2D7A" w:rsidP="006C5400">
      <w:pPr>
        <w:pStyle w:val="Agency-body-text-report"/>
      </w:pPr>
      <w:r w:rsidRPr="00D739A7">
        <w:t>The ISCED breakdowns have been calculated as follows:</w:t>
      </w:r>
    </w:p>
    <w:p w14:paraId="1372A74E" w14:textId="77777777" w:rsidR="009F2D7A" w:rsidRPr="00D739A7" w:rsidRDefault="009F2D7A" w:rsidP="006C5400">
      <w:pPr>
        <w:pStyle w:val="Agency-body-text-report"/>
      </w:pPr>
      <w:r w:rsidRPr="00D739A7">
        <w:t>ISCED 1: The number of learners in ISCED 1 with an official decision of SEN who are educated in separate special schools (Q3.4) / The number of learners who have an official decision of SEN (Q3.1) x 100.</w:t>
      </w:r>
    </w:p>
    <w:p w14:paraId="308924D8" w14:textId="77777777" w:rsidR="009F2D7A" w:rsidRPr="00D739A7" w:rsidRDefault="009F2D7A" w:rsidP="006C5400">
      <w:pPr>
        <w:pStyle w:val="Agency-body-text-report"/>
      </w:pPr>
      <w:r w:rsidRPr="00D739A7">
        <w:t>ISCED 2: The number of learners in ISCED 2 with an official decision of SEN who are educated in separate special schools (Q3.4) / The number of learners who have an official decision of SEN (Q3.1) x 100.</w:t>
      </w:r>
    </w:p>
    <w:p w14:paraId="18572D37" w14:textId="0CA898EE" w:rsidR="009F2D7A" w:rsidRPr="00D739A7" w:rsidRDefault="009F2D7A" w:rsidP="006C5400">
      <w:pPr>
        <w:pStyle w:val="Agency-body-text-report"/>
        <w:rPr>
          <w:bCs/>
        </w:rPr>
      </w:pPr>
      <w:r w:rsidRPr="00D739A7">
        <w:rPr>
          <w:bCs/>
        </w:rPr>
        <w:t xml:space="preserve">Data is available from </w:t>
      </w:r>
      <w:r w:rsidR="00F85EE7" w:rsidRPr="00D739A7">
        <w:rPr>
          <w:bCs/>
        </w:rPr>
        <w:t>29</w:t>
      </w:r>
      <w:r w:rsidRPr="00D739A7">
        <w:rPr>
          <w:bCs/>
        </w:rPr>
        <w:t xml:space="preserve"> countries.</w:t>
      </w:r>
    </w:p>
    <w:p w14:paraId="636E5A0A" w14:textId="15BFF712" w:rsidR="009F2D7A" w:rsidRPr="00D739A7" w:rsidRDefault="009F2D7A" w:rsidP="006C5400">
      <w:pPr>
        <w:pStyle w:val="Agency-body-text-report"/>
      </w:pPr>
      <w:r w:rsidRPr="00D739A7">
        <w:t xml:space="preserve">The enrolment rates in special schools for learners </w:t>
      </w:r>
      <w:r w:rsidR="006C5400" w:rsidRPr="00D739A7">
        <w:t xml:space="preserve">in ISCED 1 </w:t>
      </w:r>
      <w:r w:rsidRPr="00D739A7">
        <w:t>with an official decision of SEN, based on the whole population of learners with an official decision of SEN, range from 0.</w:t>
      </w:r>
      <w:r w:rsidR="00F85EE7" w:rsidRPr="00D739A7">
        <w:t>22</w:t>
      </w:r>
      <w:r w:rsidRPr="00D739A7">
        <w:t>% to 5</w:t>
      </w:r>
      <w:r w:rsidR="00F85EE7" w:rsidRPr="00D739A7">
        <w:t>2.20</w:t>
      </w:r>
      <w:r w:rsidRPr="00D739A7">
        <w:t xml:space="preserve">%; the total average for the </w:t>
      </w:r>
      <w:r w:rsidR="00F85EE7" w:rsidRPr="00D739A7">
        <w:t>29</w:t>
      </w:r>
      <w:r w:rsidRPr="00D739A7">
        <w:t xml:space="preserve"> countries is 1</w:t>
      </w:r>
      <w:r w:rsidR="00F85EE7" w:rsidRPr="00D739A7">
        <w:t>4.93</w:t>
      </w:r>
      <w:r w:rsidRPr="00D739A7">
        <w:t>%.</w:t>
      </w:r>
    </w:p>
    <w:p w14:paraId="1B812147" w14:textId="00762D62" w:rsidR="009F2D7A" w:rsidRPr="00D739A7" w:rsidRDefault="009F2D7A" w:rsidP="006C5400">
      <w:pPr>
        <w:pStyle w:val="Agency-body-text-report"/>
      </w:pPr>
      <w:r w:rsidRPr="00D739A7">
        <w:t xml:space="preserve">The enrolment rates in special schools for learners </w:t>
      </w:r>
      <w:r w:rsidR="006C5400" w:rsidRPr="00D739A7">
        <w:t xml:space="preserve">in ISCED 2 </w:t>
      </w:r>
      <w:r w:rsidRPr="00D739A7">
        <w:t>with an official decision of SEN, based on the whole population of learners with an official decision of SEN, range from 0.1</w:t>
      </w:r>
      <w:r w:rsidR="00F85EE7" w:rsidRPr="00D739A7">
        <w:t>2</w:t>
      </w:r>
      <w:r w:rsidRPr="00D739A7">
        <w:t>% to 5</w:t>
      </w:r>
      <w:r w:rsidR="00F85EE7" w:rsidRPr="00D739A7">
        <w:t>9.19</w:t>
      </w:r>
      <w:r w:rsidRPr="00D739A7">
        <w:t xml:space="preserve">%; the total average for the </w:t>
      </w:r>
      <w:r w:rsidR="00F85EE7" w:rsidRPr="00D739A7">
        <w:t>29</w:t>
      </w:r>
      <w:r w:rsidRPr="00D739A7">
        <w:t xml:space="preserve"> countries is 1</w:t>
      </w:r>
      <w:r w:rsidR="00F85EE7" w:rsidRPr="00D739A7">
        <w:t>5.32</w:t>
      </w:r>
      <w:r w:rsidRPr="00D739A7">
        <w:t>%.</w:t>
      </w:r>
    </w:p>
    <w:p w14:paraId="4B62D34C" w14:textId="460D92C7" w:rsidR="009F2D7A" w:rsidRPr="00D739A7" w:rsidRDefault="00F85EE7" w:rsidP="00F85EE7">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9D10B1B" wp14:editId="4633C981">
            <wp:extent cx="3067050" cy="7442200"/>
            <wp:effectExtent l="0" t="0" r="6350" b="12700"/>
            <wp:docPr id="91" name="Diagram 91" descr="Austria ISCED 1 - 11.97 ISCED 2 - 19.29&#10;Belgium (Fl) ISCED 1 - 45.79 ISCED 2 - 35.11&#10;Bulgaria ISCED 1 - 9.05 ISCED 2 - 8.78&#10;Czech Republic ISCED 1 - 12.18 ISCED 2 - 13.38&#10;Estonia ISCED 1 - 19.76 ISCED 2 - 15.92&#10;Finland ISCED 1 - 5.40 ISCED 2 - 4.40&#10;France ISCED 1 - 15.23 ISCED 2 - 2.00&#10;Germany ISCED 1 - 21.12 ISCED 2 - 35.49&#10;Greece ISCED 1 - 6.72 ISCED 2 - 8.56&#10;Iceland  ISCED 1 - 1.65 ISCED 2 - 0.75&#10;Ireland ISCED 1 - 5.60 ISCED 2 - 5.42&#10;Italy ISCED 1 - 0.76 ISCED 2 - 0.12&#10;Latvia ISCED 1 - 30.09 ISCED 2 - 18.34&#10;Lithuania ISCED 1 - 2.83 ISCED 2 - 5.32&#10;Luxembourg ISCED 1 - 12.05 ISCED 2 - 11.59&#10;Malta ISCED 1 - 1.19 ISCED 2 - 4.16&#10;Netherlands ISCED 1 - 40.81 ISCED 2 - 59.19&#10;Norway ISCED 1 - 1.31 ISCED 2 - 1.53&#10;Poland ISCED 1 - 22.35 ISCED 2 - 18.09&#10;Portugal ISCED 1 - 0.22 ISCED 2 - 1.28&#10;Slovakia ISCED 1 - 11.19 ISCED 2 - 13.04&#10;Slovenia ISCED 1 - 16.22 ISCED 2 - 6.39&#10;Spain ISCED 1 - 9.53 ISCED 2 - 5.87&#10;Sweden ISCED 1 - 52.20 ISCED 2 - 36.59&#10;Switzerland ISCED 1 - 30.29 ISCED 2 - 20.48&#10;UK (England) ISCED 1 - 24.51 ISCED 2 - 20.13&#10;UK (N. Ireland) ISCED 1 - 15.78 ISCED 2 - 12.06&#10;UK (Scotland) ISCED 1 - 2.16 ISCED 2 - 1.27&#10;UK (Wales) ISCED 1 - 12.06 ISCED 2 - 18.32&#10;Total average (29) ISCED 1 - 14.93 ISCED 2 - 15.32">
              <a:extLst xmlns:a="http://schemas.openxmlformats.org/drawingml/2006/main">
                <a:ext uri="{FF2B5EF4-FFF2-40B4-BE49-F238E27FC236}">
                  <a16:creationId xmlns:a16="http://schemas.microsoft.com/office/drawing/2014/main" id="{DF11F2DE-B2C6-471E-89CB-EBE966216D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950E427" w14:textId="410CE3BD" w:rsidR="009F2D7A" w:rsidRPr="00D739A7" w:rsidRDefault="00783F38" w:rsidP="00783F38">
      <w:pPr>
        <w:pStyle w:val="Agency-caption-report"/>
        <w:spacing w:before="120" w:after="120"/>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76</w:t>
      </w:r>
      <w:r w:rsidRPr="00D739A7">
        <w:fldChar w:fldCharType="end"/>
      </w:r>
      <w:r w:rsidR="009F2D7A" w:rsidRPr="00D739A7">
        <w:t>. ISCED breakdown of learners with an official decision of SEN in special schools, based on the population of learners with an official decision of SEN (%)</w:t>
      </w:r>
    </w:p>
    <w:p w14:paraId="1F4D61F8"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E65650">
          <w:type w:val="continuous"/>
          <w:pgSz w:w="11899" w:h="16838"/>
          <w:pgMar w:top="1134" w:right="1551" w:bottom="1276" w:left="1418" w:header="709" w:footer="709" w:gutter="0"/>
          <w:cols w:num="2" w:space="710" w:equalWidth="0">
            <w:col w:w="3333" w:space="710"/>
            <w:col w:w="4887"/>
          </w:cols>
          <w:docGrid w:linePitch="360"/>
        </w:sectPr>
      </w:pPr>
    </w:p>
    <w:p w14:paraId="76B42A9A" w14:textId="77777777" w:rsidR="009F2D7A" w:rsidRPr="00D739A7" w:rsidRDefault="009F2D7A" w:rsidP="004A29D9">
      <w:pPr>
        <w:pStyle w:val="Agency-heading-4-report"/>
      </w:pPr>
      <w:r w:rsidRPr="00D739A7">
        <w:lastRenderedPageBreak/>
        <w:t>ISCED distribution of learners with an official decision of SEN in special schools,</w:t>
      </w:r>
      <w:r w:rsidRPr="00D739A7">
        <w:rPr>
          <w:b/>
        </w:rPr>
        <w:t xml:space="preserve"> </w:t>
      </w:r>
      <w:r w:rsidRPr="00D739A7">
        <w:t>based on the population of learners with an official decision of SEN (%)</w:t>
      </w:r>
    </w:p>
    <w:p w14:paraId="78D34908"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5CA5B81B" w14:textId="77777777" w:rsidR="009F2D7A" w:rsidRPr="00D739A7" w:rsidRDefault="009F2D7A" w:rsidP="006C5400">
      <w:pPr>
        <w:pStyle w:val="Agency-body-text-report"/>
      </w:pPr>
      <w:r w:rsidRPr="00D739A7">
        <w:t>The ISCED distributions have been calculated as follows:</w:t>
      </w:r>
    </w:p>
    <w:p w14:paraId="5C94DBEB" w14:textId="77777777" w:rsidR="009F2D7A" w:rsidRPr="00D739A7" w:rsidRDefault="009F2D7A" w:rsidP="006C5400">
      <w:pPr>
        <w:pStyle w:val="Agency-body-text-report"/>
      </w:pPr>
      <w:r w:rsidRPr="00D739A7">
        <w:t>ISCED 1:</w:t>
      </w:r>
      <w:r w:rsidRPr="00D739A7">
        <w:rPr>
          <w:szCs w:val="20"/>
        </w:rPr>
        <w:t xml:space="preserve"> </w:t>
      </w:r>
      <w:r w:rsidRPr="00D739A7">
        <w:t>The number of learners in ISCED 1 with an official decision of SEN who are educated in separate special schools (Q3.4) / The number of learners in ISCED 1 who have an official decision of SEN (Q3.1) x 100.</w:t>
      </w:r>
    </w:p>
    <w:p w14:paraId="55C5A6BA" w14:textId="77777777" w:rsidR="009F2D7A" w:rsidRPr="00D739A7" w:rsidRDefault="009F2D7A" w:rsidP="006C5400">
      <w:pPr>
        <w:pStyle w:val="Agency-body-text-report"/>
      </w:pPr>
      <w:r w:rsidRPr="00D739A7">
        <w:t>ISCED 2:</w:t>
      </w:r>
      <w:r w:rsidRPr="00D739A7">
        <w:rPr>
          <w:szCs w:val="20"/>
        </w:rPr>
        <w:t xml:space="preserve"> </w:t>
      </w:r>
      <w:r w:rsidRPr="00D739A7">
        <w:t>The number of learners in ISCED 2 with an official decision of SEN who are educated in separate special schools (Q3.4) / The number of learners in ISCED 2 who have an official decision of SEN (Q3.1) x 100.</w:t>
      </w:r>
    </w:p>
    <w:p w14:paraId="1A9A1E0A" w14:textId="4363D54B" w:rsidR="009F2D7A" w:rsidRPr="00D739A7" w:rsidRDefault="009F2D7A" w:rsidP="006C5400">
      <w:pPr>
        <w:pStyle w:val="Agency-body-text-report"/>
        <w:rPr>
          <w:bCs/>
        </w:rPr>
      </w:pPr>
      <w:r w:rsidRPr="00D739A7">
        <w:rPr>
          <w:bCs/>
        </w:rPr>
        <w:t xml:space="preserve">Data is available from </w:t>
      </w:r>
      <w:r w:rsidR="00F85EE7" w:rsidRPr="00D739A7">
        <w:rPr>
          <w:bCs/>
        </w:rPr>
        <w:t>29</w:t>
      </w:r>
      <w:r w:rsidRPr="00D739A7">
        <w:rPr>
          <w:bCs/>
        </w:rPr>
        <w:t xml:space="preserve"> countries.</w:t>
      </w:r>
    </w:p>
    <w:p w14:paraId="257F31C3" w14:textId="3252ACFA" w:rsidR="009F2D7A" w:rsidRPr="00D739A7" w:rsidRDefault="00241374" w:rsidP="006C5400">
      <w:pPr>
        <w:pStyle w:val="Agency-body-text-report"/>
        <w:rPr>
          <w:bCs/>
        </w:rPr>
      </w:pPr>
      <w:r w:rsidRPr="00D739A7">
        <w:rPr>
          <w:bCs/>
        </w:rPr>
        <w:t>Within ISCED 1, t</w:t>
      </w:r>
      <w:r w:rsidR="009F2D7A" w:rsidRPr="00D739A7">
        <w:rPr>
          <w:bCs/>
        </w:rPr>
        <w:t>he proportion of learners with an official decision of SEN in special schools ranges from 0.</w:t>
      </w:r>
      <w:r w:rsidR="00F85EE7" w:rsidRPr="00D739A7">
        <w:rPr>
          <w:bCs/>
        </w:rPr>
        <w:t>38</w:t>
      </w:r>
      <w:r w:rsidR="009F2D7A" w:rsidRPr="00D739A7">
        <w:rPr>
          <w:bCs/>
        </w:rPr>
        <w:t xml:space="preserve">% to 100.00%; the total average for the </w:t>
      </w:r>
      <w:r w:rsidR="00F85EE7" w:rsidRPr="00D739A7">
        <w:rPr>
          <w:bCs/>
        </w:rPr>
        <w:t>29</w:t>
      </w:r>
      <w:r w:rsidR="009F2D7A" w:rsidRPr="00D739A7">
        <w:rPr>
          <w:bCs/>
        </w:rPr>
        <w:t xml:space="preserve"> countries is </w:t>
      </w:r>
      <w:r w:rsidR="00F85EE7" w:rsidRPr="00D739A7">
        <w:rPr>
          <w:bCs/>
        </w:rPr>
        <w:t>27.04</w:t>
      </w:r>
      <w:r w:rsidR="009F2D7A" w:rsidRPr="00D739A7">
        <w:rPr>
          <w:bCs/>
        </w:rPr>
        <w:t>%.</w:t>
      </w:r>
    </w:p>
    <w:p w14:paraId="1BA4CE4C" w14:textId="51F07B0F" w:rsidR="009F2D7A" w:rsidRPr="00D739A7" w:rsidRDefault="00241374" w:rsidP="006C5400">
      <w:pPr>
        <w:pStyle w:val="Agency-body-text-report"/>
        <w:rPr>
          <w:bCs/>
        </w:rPr>
      </w:pPr>
      <w:r w:rsidRPr="00D739A7">
        <w:rPr>
          <w:bCs/>
        </w:rPr>
        <w:t>Within ISCED 2, t</w:t>
      </w:r>
      <w:r w:rsidR="009F2D7A" w:rsidRPr="00D739A7">
        <w:rPr>
          <w:bCs/>
        </w:rPr>
        <w:t>he proportion of learners with an official decision of SEN in special schools ranges from 0.2</w:t>
      </w:r>
      <w:r w:rsidR="00F85EE7" w:rsidRPr="00D739A7">
        <w:rPr>
          <w:bCs/>
        </w:rPr>
        <w:t>7</w:t>
      </w:r>
      <w:r w:rsidR="009F2D7A" w:rsidRPr="00D739A7">
        <w:rPr>
          <w:bCs/>
        </w:rPr>
        <w:t xml:space="preserve">% to 100.00%; the total average for the </w:t>
      </w:r>
      <w:r w:rsidR="00F85EE7" w:rsidRPr="00D739A7">
        <w:rPr>
          <w:bCs/>
        </w:rPr>
        <w:t>29</w:t>
      </w:r>
      <w:r w:rsidR="009F2D7A" w:rsidRPr="00D739A7">
        <w:rPr>
          <w:bCs/>
        </w:rPr>
        <w:t xml:space="preserve"> countries is </w:t>
      </w:r>
      <w:r w:rsidR="00F85EE7" w:rsidRPr="00D739A7">
        <w:rPr>
          <w:bCs/>
        </w:rPr>
        <w:t>34.20</w:t>
      </w:r>
      <w:r w:rsidR="009F2D7A" w:rsidRPr="00D739A7">
        <w:rPr>
          <w:bCs/>
        </w:rPr>
        <w:t>%.</w:t>
      </w:r>
    </w:p>
    <w:p w14:paraId="64C6538C" w14:textId="708EEF84" w:rsidR="009F2D7A" w:rsidRPr="00D739A7" w:rsidRDefault="00F85EE7" w:rsidP="00F85EE7">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44A8869D" wp14:editId="1E344C7B">
            <wp:extent cx="3054350" cy="7405735"/>
            <wp:effectExtent l="0" t="0" r="6350" b="11430"/>
            <wp:docPr id="92" name="Diagram 92" descr="Austria ISCED 1 - 30.67 ISCED 2 - 31.64&#10;Belgium (Fl) ISCED 1 - 79.60 ISCED 2 - 82.64&#10;Bulgaria ISCED 1 - 17.04 ISCED 2 - 18.73&#10;Czech Republic ISCED 1 - 25.05 ISCED 2 - 26.05&#10;Estonia ISCED 1 - 31.43 ISCED 2 - 42.85&#10;Finland ISCED 1 - 9.01 ISCED 2 - 10.97&#10;France ISCED 1 - 23.37 ISCED 2 - 5.74&#10;Germany ISCED 1 - 52.18 ISCED 2 - 59.63&#10;Greece ISCED 1 - 13.35 ISCED 2 - 17.23&#10;Iceland  ISCED 1 - 2.47 ISCED 2 - 2.27&#10;Ireland ISCED 1 - 7.60 ISCED 2 - 20.63&#10;Italy ISCED 1 - 1.34 ISCED 2 - 0.27&#10;Latvia ISCED 1 - 46.37 ISCED 2 - 52.26&#10;Lithuania ISCED 1 - 5.02 ISCED 2 - 12.18&#10;Luxembourg ISCED 1 - 18.79 ISCED 2 - 32.28&#10;Malta ISCED 1 - 1.90 ISCED 2 - 11.06&#10;Netherlands ISCED 1 - 100.00 ISCED 2 - 100.00&#10;Norway ISCED 1 - 2.11 ISCED 2 - 4.01&#10;Poland ISCED 1 - 35.96 ISCED 2 - 47.78&#10;Portugal ISCED 1 - 0.38 ISCED 2 - 3.15&#10;Slovakia ISCED 1 - 24.79 ISCED 2 - 23.78&#10;Slovenia ISCED 1 - 27.77 ISCED 2 - 15.36&#10;Spain ISCED 1 - 15.10 ISCED 2 - 15.92&#10;Sweden ISCED 1 - 88.40 ISCED 2 - 89.36&#10;Switzerland ISCED 1 - 50.65 ISCED 2 - 50.94&#10;UK (England) ISCED 1 - 40.23 ISCED 2 - 51.50&#10;UK (N. Ireland) ISCED 1 - 30.39 ISCED 2 - 25.09&#10;UK (Scotland) ISCED 1 - 3.58 ISCED 2 - 3.21&#10;UK (Wales) ISCED 1 - 26.80 ISCED 2 - 33.32&#10;Total average (29) ISCED 1 - 27.04 ISCED 2 - 34.20">
              <a:extLst xmlns:a="http://schemas.openxmlformats.org/drawingml/2006/main">
                <a:ext uri="{FF2B5EF4-FFF2-40B4-BE49-F238E27FC236}">
                  <a16:creationId xmlns:a16="http://schemas.microsoft.com/office/drawing/2014/main" id="{D500B314-6B2C-4758-9A69-B67E9C827B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27801434" w14:textId="4255641F" w:rsidR="009F2D7A" w:rsidRPr="00D739A7" w:rsidRDefault="00783F38"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77</w:t>
      </w:r>
      <w:r w:rsidRPr="00D739A7">
        <w:fldChar w:fldCharType="end"/>
      </w:r>
      <w:r w:rsidR="009F2D7A" w:rsidRPr="00D739A7">
        <w:t>. ISCED distribution of learners with an official decision of SEN in special schools, based on the population of learners with an official decision of SEN (%)</w:t>
      </w:r>
    </w:p>
    <w:p w14:paraId="7793C968"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E65650">
          <w:type w:val="continuous"/>
          <w:pgSz w:w="11899" w:h="16838"/>
          <w:pgMar w:top="1134" w:right="1551" w:bottom="1276" w:left="1418" w:header="709" w:footer="709" w:gutter="0"/>
          <w:cols w:num="2" w:space="710" w:equalWidth="0">
            <w:col w:w="3333" w:space="710"/>
            <w:col w:w="4887"/>
          </w:cols>
          <w:docGrid w:linePitch="360"/>
        </w:sectPr>
      </w:pPr>
    </w:p>
    <w:p w14:paraId="7F9199B2" w14:textId="26C31B23" w:rsidR="009F2D7A" w:rsidRPr="00D739A7" w:rsidRDefault="00436B97" w:rsidP="004A29D9">
      <w:pPr>
        <w:pStyle w:val="Agency-heading-3-report"/>
      </w:pPr>
      <w:bookmarkStart w:id="68" w:name="_Toc35943058"/>
      <w:r w:rsidRPr="00D739A7">
        <w:lastRenderedPageBreak/>
        <w:t>Indicator </w:t>
      </w:r>
      <w:r w:rsidR="00903978" w:rsidRPr="00D739A7">
        <w:t>2.</w:t>
      </w:r>
      <w:r w:rsidRPr="00D739A7">
        <w:t>3</w:t>
      </w:r>
      <w:r w:rsidR="009F2D7A" w:rsidRPr="00D739A7">
        <w:t>c.5: the percentage of learners with an official decision of SEN in fully separate educational settings, based on the population of learners with an official decision of SEN (%)</w:t>
      </w:r>
      <w:bookmarkEnd w:id="68"/>
    </w:p>
    <w:p w14:paraId="0FC23A27"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293DA0A4" w14:textId="11ADDE8C" w:rsidR="009F2D7A" w:rsidRPr="00D739A7" w:rsidRDefault="009F2D7A" w:rsidP="00DC24E7">
      <w:pPr>
        <w:pStyle w:val="Agency-body-text-report"/>
        <w:rPr>
          <w:bCs/>
        </w:rPr>
      </w:pPr>
      <w:r w:rsidRPr="00D739A7">
        <w:t>The data focuses on learners with an official decision of SEN</w:t>
      </w:r>
      <w:r w:rsidR="00DC24E7" w:rsidRPr="00D739A7">
        <w:t>,</w:t>
      </w:r>
      <w:r w:rsidRPr="00D739A7">
        <w:t xml:space="preserve"> in line with the EASIE operational definition, who are enrolled in fully separate education</w:t>
      </w:r>
      <w:r w:rsidR="00DC24E7" w:rsidRPr="00D739A7">
        <w:t>al settings</w:t>
      </w:r>
      <w:r w:rsidRPr="00D739A7">
        <w:t>, i.e. special classes and special schools</w:t>
      </w:r>
      <w:r w:rsidR="00DC24E7" w:rsidRPr="00D739A7">
        <w:t>,</w:t>
      </w:r>
      <w:r w:rsidRPr="00D739A7">
        <w:t xml:space="preserve"> </w:t>
      </w:r>
      <w:r w:rsidRPr="00D739A7">
        <w:rPr>
          <w:bCs/>
        </w:rPr>
        <w:t>in line with the 80% placement benchmark (or the most relevant proxy for this benchmark)</w:t>
      </w:r>
      <w:r w:rsidR="00DC24E7" w:rsidRPr="00D739A7">
        <w:rPr>
          <w:bCs/>
        </w:rPr>
        <w:t>,</w:t>
      </w:r>
      <w:r w:rsidRPr="00D739A7">
        <w:rPr>
          <w:bCs/>
        </w:rPr>
        <w:t xml:space="preserve"> in relation to the whole population of learners with an official decision of SEN.</w:t>
      </w:r>
    </w:p>
    <w:p w14:paraId="3C488F71" w14:textId="77777777" w:rsidR="009F2D7A" w:rsidRPr="00D739A7" w:rsidRDefault="009F2D7A" w:rsidP="00DC24E7">
      <w:pPr>
        <w:pStyle w:val="Agency-body-text-report"/>
      </w:pPr>
      <w:r w:rsidRPr="00D739A7">
        <w:t>This indicator has been calculated as follows: The number of learners with an official decision of SEN who are educated in separate special classes in mainstream schools (Q3.3) + The number of learners with an official decision of SEN who are educated in separate special schools (Q3.4) / The number of learners who have an official decision of SEN (Q3.1) x 100.</w:t>
      </w:r>
    </w:p>
    <w:p w14:paraId="46B3B00D" w14:textId="596F1EE8" w:rsidR="009F2D7A" w:rsidRPr="00D739A7" w:rsidRDefault="009F2D7A" w:rsidP="00DC24E7">
      <w:pPr>
        <w:pStyle w:val="Agency-body-text-report"/>
      </w:pPr>
      <w:r w:rsidRPr="00D739A7">
        <w:t>Data is available from 2</w:t>
      </w:r>
      <w:r w:rsidR="00432288" w:rsidRPr="00D739A7">
        <w:t>0</w:t>
      </w:r>
      <w:r w:rsidRPr="00D739A7">
        <w:t xml:space="preserve"> countries.</w:t>
      </w:r>
    </w:p>
    <w:p w14:paraId="7675BFEE" w14:textId="4DDC4A65" w:rsidR="009F2D7A" w:rsidRPr="00D739A7" w:rsidRDefault="009F2D7A" w:rsidP="00DC24E7">
      <w:pPr>
        <w:pStyle w:val="Agency-body-text-report"/>
      </w:pPr>
      <w:r w:rsidRPr="00D739A7">
        <w:t xml:space="preserve">The enrolment rates in fully separate settings for learners with an official decision of SEN, based on the whole population of learners with an official decision of SEN, range from </w:t>
      </w:r>
      <w:r w:rsidR="000231F0" w:rsidRPr="00D739A7">
        <w:t>8.19</w:t>
      </w:r>
      <w:r w:rsidRPr="00D739A7">
        <w:t>% to 100</w:t>
      </w:r>
      <w:r w:rsidR="00DC24E7" w:rsidRPr="00D739A7">
        <w:t>.00</w:t>
      </w:r>
      <w:r w:rsidRPr="00D739A7">
        <w:t>%; the total average for the 2</w:t>
      </w:r>
      <w:r w:rsidR="00432288" w:rsidRPr="00D739A7">
        <w:t>0</w:t>
      </w:r>
      <w:r w:rsidRPr="00D739A7">
        <w:t xml:space="preserve"> countries is 3</w:t>
      </w:r>
      <w:r w:rsidR="000231F0" w:rsidRPr="00D739A7">
        <w:t>5.85</w:t>
      </w:r>
      <w:r w:rsidRPr="00D739A7">
        <w:t>%.</w:t>
      </w:r>
    </w:p>
    <w:p w14:paraId="56C808D7" w14:textId="0F593342" w:rsidR="00432288" w:rsidRPr="00D739A7" w:rsidRDefault="009F2D7A" w:rsidP="00DC24E7">
      <w:pPr>
        <w:pStyle w:val="Agency-body-text-report"/>
      </w:pPr>
      <w:r w:rsidRPr="00D739A7">
        <w:t>Switzerland, with data of 100</w:t>
      </w:r>
      <w:r w:rsidR="00DC24E7" w:rsidRPr="00D739A7">
        <w:t>.00</w:t>
      </w:r>
      <w:r w:rsidRPr="00D739A7">
        <w:t xml:space="preserve">% for this indicator, should be viewed as an outlier, as data on learners with an official decision of SEN is only available for special classes and special schools and not </w:t>
      </w:r>
      <w:r w:rsidR="00DC24E7" w:rsidRPr="00D739A7">
        <w:t xml:space="preserve">for </w:t>
      </w:r>
      <w:r w:rsidRPr="00D739A7">
        <w:t>any form of inclusive placement.</w:t>
      </w:r>
    </w:p>
    <w:p w14:paraId="30BBC9AD" w14:textId="37B6EF91" w:rsidR="009F2D7A" w:rsidRPr="00D739A7" w:rsidRDefault="00432288" w:rsidP="00432288">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36F31BF4" wp14:editId="73D86A87">
            <wp:extent cx="3103880" cy="7143184"/>
            <wp:effectExtent l="0" t="0" r="7620" b="6985"/>
            <wp:docPr id="93" name="Diagram 93" descr="Bulgaria 18.62&#10;Czech Republic 31.84&#10;Estonia 62.66&#10;Finland 61.02&#10;France 41.09&#10;Greece 16.29&#10;Iceland  8.19&#10;Ireland 20.55&#10;Latvia 60.95&#10;Lithuania 10.58&#10;Luxembourg 50.00&#10;Poland 43.12&#10;Portugal 15.53&#10;Slovakia 37.32&#10;Slovenia 26.20&#10;Spain 19.62&#10;Switzerland 100.00&#10;UK (England) 48.04&#10;UK (N. Ireland) 40.00&#10;UK (Wales) 53.55&#10;Total average (20) 35.85">
              <a:extLst xmlns:a="http://schemas.openxmlformats.org/drawingml/2006/main">
                <a:ext uri="{FF2B5EF4-FFF2-40B4-BE49-F238E27FC236}">
                  <a16:creationId xmlns:a16="http://schemas.microsoft.com/office/drawing/2014/main" id="{418EDBB8-1B9B-4A69-B517-E9F57CA48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2F34AF84" w14:textId="587A4783" w:rsidR="009F2D7A" w:rsidRPr="00D739A7" w:rsidRDefault="00783F38"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78</w:t>
      </w:r>
      <w:r w:rsidRPr="00D739A7">
        <w:fldChar w:fldCharType="end"/>
      </w:r>
      <w:r w:rsidR="009F2D7A" w:rsidRPr="00D739A7">
        <w:t>. Percentage of learners with an official decision of SEN in fully separate educational settings, based on the population of learners with an official decision of SEN (%)</w:t>
      </w:r>
    </w:p>
    <w:p w14:paraId="133E213D"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DC24E7">
          <w:type w:val="continuous"/>
          <w:pgSz w:w="11899" w:h="16838"/>
          <w:pgMar w:top="1134" w:right="1551" w:bottom="1276" w:left="1418" w:header="709" w:footer="709" w:gutter="0"/>
          <w:cols w:num="2" w:space="710" w:equalWidth="0">
            <w:col w:w="3482" w:space="561"/>
            <w:col w:w="4887"/>
          </w:cols>
          <w:docGrid w:linePitch="360"/>
        </w:sectPr>
      </w:pPr>
    </w:p>
    <w:p w14:paraId="518DE32C" w14:textId="77777777" w:rsidR="009F2D7A" w:rsidRPr="00D739A7" w:rsidRDefault="009F2D7A" w:rsidP="004A29D9">
      <w:pPr>
        <w:pStyle w:val="Agency-heading-4-report"/>
      </w:pPr>
      <w:r w:rsidRPr="00D739A7">
        <w:lastRenderedPageBreak/>
        <w:t>Gender breakdown of learners with an official decision of SEN in fully separate educational settings, based on the population of learners with an official decision of SEN (%)</w:t>
      </w:r>
    </w:p>
    <w:p w14:paraId="4B50E9CC"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7A2616A4" w14:textId="77777777" w:rsidR="009F2D7A" w:rsidRPr="00D739A7" w:rsidRDefault="009F2D7A" w:rsidP="007E58DA">
      <w:pPr>
        <w:pStyle w:val="Agency-body-text"/>
      </w:pPr>
      <w:r w:rsidRPr="00D739A7">
        <w:t>The gender breakdowns have been calculated as follows:</w:t>
      </w:r>
    </w:p>
    <w:p w14:paraId="223F821F" w14:textId="7FAA4921" w:rsidR="009F2D7A" w:rsidRPr="00D739A7" w:rsidRDefault="00EF3C3C" w:rsidP="007E58DA">
      <w:pPr>
        <w:pStyle w:val="Agency-body-text"/>
      </w:pPr>
      <w:r w:rsidRPr="00D739A7">
        <w:t>Boys</w:t>
      </w:r>
      <w:r w:rsidR="009F2D7A" w:rsidRPr="00D739A7">
        <w:t>: The number of boys with an official decision of SEN who are educated in separate special classes in mainstream schools (</w:t>
      </w:r>
      <w:r w:rsidR="007237E0" w:rsidRPr="00D739A7">
        <w:t>Q3</w:t>
      </w:r>
      <w:r w:rsidR="009F2D7A" w:rsidRPr="00D739A7">
        <w:t>.3) + The number of boys with an official decision of SEN who are educated in separate special schools (</w:t>
      </w:r>
      <w:r w:rsidR="007237E0" w:rsidRPr="00D739A7">
        <w:t>Q3</w:t>
      </w:r>
      <w:r w:rsidR="009F2D7A" w:rsidRPr="00D739A7">
        <w:t>.4) / The number of learners who have an official decision of SEN (Q3.1) x 100.</w:t>
      </w:r>
    </w:p>
    <w:p w14:paraId="796FB281" w14:textId="0756B661" w:rsidR="009F2D7A" w:rsidRPr="00D739A7" w:rsidRDefault="00EF3C3C" w:rsidP="007E58DA">
      <w:pPr>
        <w:pStyle w:val="Agency-body-text"/>
      </w:pPr>
      <w:r w:rsidRPr="00D739A7">
        <w:t>Girls</w:t>
      </w:r>
      <w:r w:rsidR="009F2D7A" w:rsidRPr="00D739A7">
        <w:t>: The number of girls with an official decision of SEN who are educated in separate special classes in mainstream schools (</w:t>
      </w:r>
      <w:r w:rsidR="007237E0" w:rsidRPr="00D739A7">
        <w:t>Q3</w:t>
      </w:r>
      <w:r w:rsidR="009F2D7A" w:rsidRPr="00D739A7">
        <w:t>.3) + The number of girls with an official decision of SEN who are educated in separate special schools (</w:t>
      </w:r>
      <w:r w:rsidR="007237E0" w:rsidRPr="00D739A7">
        <w:t>Q3</w:t>
      </w:r>
      <w:r w:rsidR="009F2D7A" w:rsidRPr="00D739A7">
        <w:t>.4) / The number of learners who have an official decision of SEN (Q3.1) x 100.</w:t>
      </w:r>
    </w:p>
    <w:p w14:paraId="4D1FF77F" w14:textId="77777777" w:rsidR="009F2D7A" w:rsidRPr="00D739A7" w:rsidRDefault="009F2D7A" w:rsidP="007E58DA">
      <w:pPr>
        <w:pStyle w:val="Agency-body-text"/>
        <w:rPr>
          <w:bCs/>
        </w:rPr>
      </w:pPr>
      <w:r w:rsidRPr="00D739A7">
        <w:rPr>
          <w:bCs/>
        </w:rPr>
        <w:t>Data is available from 19 countries.</w:t>
      </w:r>
    </w:p>
    <w:p w14:paraId="5E66AE0F" w14:textId="55EA3CD6" w:rsidR="009F2D7A" w:rsidRPr="00D739A7" w:rsidRDefault="009F2D7A" w:rsidP="007E58DA">
      <w:pPr>
        <w:pStyle w:val="Agency-body-text"/>
      </w:pPr>
      <w:r w:rsidRPr="00D739A7">
        <w:t>The fully separate placement enrolment rates</w:t>
      </w:r>
      <w:r w:rsidR="00764F41" w:rsidRPr="00D739A7">
        <w:t xml:space="preserve"> for </w:t>
      </w:r>
      <w:r w:rsidR="000C2B8D" w:rsidRPr="00D739A7">
        <w:t>boys</w:t>
      </w:r>
      <w:r w:rsidRPr="00D739A7">
        <w:t xml:space="preserve">, based on the whole population of learners with an official decision of SEN, range from </w:t>
      </w:r>
      <w:r w:rsidR="000231F0" w:rsidRPr="00D739A7">
        <w:t>6.25</w:t>
      </w:r>
      <w:r w:rsidRPr="00D739A7">
        <w:t>% to 6</w:t>
      </w:r>
      <w:r w:rsidR="000231F0" w:rsidRPr="00D739A7">
        <w:t>4.87</w:t>
      </w:r>
      <w:r w:rsidRPr="00D739A7">
        <w:t>%; the total average for the 19 countries is 23.</w:t>
      </w:r>
      <w:r w:rsidR="000231F0" w:rsidRPr="00D739A7">
        <w:t>86</w:t>
      </w:r>
      <w:r w:rsidRPr="00D739A7">
        <w:t>%.</w:t>
      </w:r>
    </w:p>
    <w:p w14:paraId="41E533E5" w14:textId="162CD3C2" w:rsidR="000231F0" w:rsidRPr="00D739A7" w:rsidRDefault="009F2D7A" w:rsidP="007E58DA">
      <w:pPr>
        <w:pStyle w:val="Agency-body-text"/>
      </w:pPr>
      <w:r w:rsidRPr="00D739A7">
        <w:t>The fully separate placement enrolment rates</w:t>
      </w:r>
      <w:r w:rsidR="00764F41" w:rsidRPr="00D739A7">
        <w:t xml:space="preserve"> for </w:t>
      </w:r>
      <w:r w:rsidR="000C2B8D" w:rsidRPr="00D739A7">
        <w:t>girls</w:t>
      </w:r>
      <w:r w:rsidRPr="00D739A7">
        <w:t>, based on the whole population of learners with an official decision of SEN, range from 1.93% to 35.</w:t>
      </w:r>
      <w:r w:rsidR="000231F0" w:rsidRPr="00D739A7">
        <w:t>1</w:t>
      </w:r>
      <w:r w:rsidRPr="00D739A7">
        <w:t>3%; the total average for the 19 countries is 1</w:t>
      </w:r>
      <w:r w:rsidR="000231F0" w:rsidRPr="00D739A7">
        <w:t>1.98</w:t>
      </w:r>
      <w:r w:rsidRPr="00D739A7">
        <w:t>%.</w:t>
      </w:r>
    </w:p>
    <w:p w14:paraId="26DD7375" w14:textId="5D232036" w:rsidR="009F2D7A" w:rsidRPr="00D739A7" w:rsidRDefault="000231F0" w:rsidP="000231F0">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590D57E5" wp14:editId="5005BEDA">
            <wp:extent cx="3060700" cy="7405735"/>
            <wp:effectExtent l="0" t="0" r="12700" b="11430"/>
            <wp:docPr id="94" name="Diagram 94" descr="Bulgaria Boys 11.29 Girls 7.33&#10;Czech Republic Boys 20.06 Girls 11.78&#10;Estonia Boys 44.56 Girls 18.10&#10;Finland Boys 42.71 Girls 18.30&#10;France Boys 26.94 Girls 14.15&#10;Greece Boys 10.82 Girls 5.48&#10;Iceland  Boys 6.25 Girls 1.93&#10;Ireland Boys 15.21 Girls 5.34&#10;Latvia Boys 40.39 Girls 20.56&#10;Lithuania Boys 6.86 Girls 3.72  &#10;Poland Boys 27.79 Girls 15.33&#10;Portugal Boys 9.79 Girls 5.75&#10;Slovakia Boys 21.52 Girls 15.80&#10;Slovenia Boys 15.77 Girls 10.43&#10;Spain Boys 12.47 Girls 7.15&#10;Switzerland Boys 64.87 Girls 35.13&#10;UK (England) Boys 35.46 Girls 12.58&#10;UK (N. Ireland) Boys 28.83 Girls 11.17&#10;UK (Wales) Boys 38.93 Girls 14.63&#10;Total average (19) Boys 23.86 Girls 11.98">
              <a:extLst xmlns:a="http://schemas.openxmlformats.org/drawingml/2006/main">
                <a:ext uri="{FF2B5EF4-FFF2-40B4-BE49-F238E27FC236}">
                  <a16:creationId xmlns:a16="http://schemas.microsoft.com/office/drawing/2014/main" id="{60B802CE-867C-4355-82AE-DCA728DA72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8A30ADA" w14:textId="6E1572B3" w:rsidR="009F2D7A" w:rsidRPr="00D739A7" w:rsidRDefault="00783F38" w:rsidP="00783F38">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79</w:t>
      </w:r>
      <w:r w:rsidRPr="00D739A7">
        <w:fldChar w:fldCharType="end"/>
      </w:r>
      <w:r w:rsidR="009F2D7A" w:rsidRPr="00D739A7">
        <w:t>. Gender breakdown of learners with an official decision of SEN in fully separate educational settings, based on the population of learners with an official decision of SEN (%)</w:t>
      </w:r>
    </w:p>
    <w:p w14:paraId="41E3FB47"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0A3430">
          <w:type w:val="continuous"/>
          <w:pgSz w:w="11899" w:h="16838"/>
          <w:pgMar w:top="1134" w:right="1551" w:bottom="1276" w:left="1418" w:header="709" w:footer="709" w:gutter="0"/>
          <w:cols w:num="2" w:space="710" w:equalWidth="0">
            <w:col w:w="3333" w:space="710"/>
            <w:col w:w="4887"/>
          </w:cols>
          <w:docGrid w:linePitch="360"/>
        </w:sectPr>
      </w:pPr>
    </w:p>
    <w:p w14:paraId="622BA177" w14:textId="77777777" w:rsidR="009F2D7A" w:rsidRPr="00D739A7" w:rsidRDefault="009F2D7A" w:rsidP="004A29D9">
      <w:pPr>
        <w:pStyle w:val="Agency-heading-4-report"/>
      </w:pPr>
      <w:r w:rsidRPr="00D739A7">
        <w:lastRenderedPageBreak/>
        <w:t>Gender distribution of learners with an official decision of SEN in fully separate educational settings, based on the population of learners with an official decision of SEN (%)</w:t>
      </w:r>
    </w:p>
    <w:p w14:paraId="3EDE47CB" w14:textId="77777777" w:rsidR="009F2D7A" w:rsidRPr="00D739A7" w:rsidRDefault="009F2D7A" w:rsidP="009F2D7A">
      <w:pPr>
        <w:keepNext/>
        <w:spacing w:before="240" w:after="240" w:line="240" w:lineRule="auto"/>
        <w:outlineLvl w:val="3"/>
        <w:rPr>
          <w:rFonts w:ascii="Calibri" w:eastAsia="Times New Roman" w:hAnsi="Calibri" w:cs="Calibri"/>
          <w:bCs/>
          <w:i/>
          <w:color w:val="000000"/>
          <w:szCs w:val="28"/>
          <w:lang w:val="en-GB"/>
        </w:rPr>
        <w:sectPr w:rsidR="009F2D7A" w:rsidRPr="00D739A7" w:rsidSect="00751B98">
          <w:pgSz w:w="11899" w:h="16838"/>
          <w:pgMar w:top="1134" w:right="1551" w:bottom="1276" w:left="1418" w:header="709" w:footer="709" w:gutter="0"/>
          <w:cols w:space="710"/>
          <w:docGrid w:linePitch="360"/>
        </w:sectPr>
      </w:pPr>
    </w:p>
    <w:p w14:paraId="7075105C" w14:textId="77777777" w:rsidR="009F2D7A" w:rsidRPr="00D739A7" w:rsidRDefault="009F2D7A" w:rsidP="00783F38">
      <w:pPr>
        <w:pStyle w:val="Agency-body-text-report"/>
        <w:rPr>
          <w:sz w:val="23"/>
          <w:szCs w:val="23"/>
        </w:rPr>
      </w:pPr>
      <w:r w:rsidRPr="00D739A7">
        <w:rPr>
          <w:sz w:val="23"/>
          <w:szCs w:val="23"/>
        </w:rPr>
        <w:t>The gender distributions have been calculated as follows:</w:t>
      </w:r>
    </w:p>
    <w:p w14:paraId="56017C8D" w14:textId="1202FDA9" w:rsidR="009F2D7A" w:rsidRPr="00D739A7" w:rsidRDefault="00EF3C3C" w:rsidP="00783F38">
      <w:pPr>
        <w:pStyle w:val="Agency-body-text-report"/>
        <w:rPr>
          <w:sz w:val="23"/>
          <w:szCs w:val="23"/>
        </w:rPr>
      </w:pPr>
      <w:r w:rsidRPr="00D739A7">
        <w:rPr>
          <w:sz w:val="23"/>
          <w:szCs w:val="23"/>
        </w:rPr>
        <w:t>Boys</w:t>
      </w:r>
      <w:r w:rsidR="009F2D7A" w:rsidRPr="00D739A7">
        <w:rPr>
          <w:sz w:val="23"/>
          <w:szCs w:val="23"/>
        </w:rPr>
        <w:t>: The number of boys with an official decision of SEN who are educated in separate special classes in mainstream schools (</w:t>
      </w:r>
      <w:r w:rsidR="007237E0" w:rsidRPr="00D739A7">
        <w:rPr>
          <w:sz w:val="23"/>
          <w:szCs w:val="23"/>
        </w:rPr>
        <w:t>Q3</w:t>
      </w:r>
      <w:r w:rsidR="009F2D7A" w:rsidRPr="00D739A7">
        <w:rPr>
          <w:sz w:val="23"/>
          <w:szCs w:val="23"/>
        </w:rPr>
        <w:t>.3) + The number of boys with an official decision of SEN who are educated in separate special schools (</w:t>
      </w:r>
      <w:r w:rsidR="007237E0" w:rsidRPr="00D739A7">
        <w:rPr>
          <w:sz w:val="23"/>
          <w:szCs w:val="23"/>
        </w:rPr>
        <w:t>Q3</w:t>
      </w:r>
      <w:r w:rsidR="009F2D7A" w:rsidRPr="00D739A7">
        <w:rPr>
          <w:sz w:val="23"/>
          <w:szCs w:val="23"/>
        </w:rPr>
        <w:t>.4) / The number of learners with an official decision of SEN who are educated in separate special classes in mainstream schools (Q3.3) + The number of learners with an official decision of SEN who are educated in separate special schools (Q3.4) x 100.</w:t>
      </w:r>
    </w:p>
    <w:p w14:paraId="1214130E" w14:textId="3C9EC62C" w:rsidR="009F2D7A" w:rsidRPr="00D739A7" w:rsidRDefault="00EF3C3C" w:rsidP="00783F38">
      <w:pPr>
        <w:pStyle w:val="Agency-body-text-report"/>
        <w:rPr>
          <w:sz w:val="23"/>
          <w:szCs w:val="23"/>
        </w:rPr>
      </w:pPr>
      <w:r w:rsidRPr="00D739A7">
        <w:rPr>
          <w:sz w:val="23"/>
          <w:szCs w:val="23"/>
        </w:rPr>
        <w:t>Girls</w:t>
      </w:r>
      <w:r w:rsidR="009F2D7A" w:rsidRPr="00D739A7">
        <w:rPr>
          <w:sz w:val="23"/>
          <w:szCs w:val="23"/>
        </w:rPr>
        <w:t>: The number of girls with an official decision of SEN who are educated in separate special classes in mainstream schools (</w:t>
      </w:r>
      <w:r w:rsidR="007237E0" w:rsidRPr="00D739A7">
        <w:rPr>
          <w:sz w:val="23"/>
          <w:szCs w:val="23"/>
        </w:rPr>
        <w:t>Q3</w:t>
      </w:r>
      <w:r w:rsidR="009F2D7A" w:rsidRPr="00D739A7">
        <w:rPr>
          <w:sz w:val="23"/>
          <w:szCs w:val="23"/>
        </w:rPr>
        <w:t>.3) + The number of girls with an official decision of SEN who are educated in separate special schools (</w:t>
      </w:r>
      <w:r w:rsidR="007237E0" w:rsidRPr="00D739A7">
        <w:rPr>
          <w:sz w:val="23"/>
          <w:szCs w:val="23"/>
        </w:rPr>
        <w:t>Q3</w:t>
      </w:r>
      <w:r w:rsidR="009F2D7A" w:rsidRPr="00D739A7">
        <w:rPr>
          <w:sz w:val="23"/>
          <w:szCs w:val="23"/>
        </w:rPr>
        <w:t>.4) / The number of learners with an official decision of SEN who are educated in separate special classes in mainstream schools (Q3.3) + The number of learners with an official decision of SEN who are educated in separate special schools (Q3.4) x 100.</w:t>
      </w:r>
    </w:p>
    <w:p w14:paraId="272BADCB" w14:textId="77777777" w:rsidR="009F2D7A" w:rsidRPr="00D739A7" w:rsidRDefault="009F2D7A" w:rsidP="00783F38">
      <w:pPr>
        <w:pStyle w:val="Agency-body-text-report"/>
        <w:rPr>
          <w:sz w:val="23"/>
          <w:szCs w:val="23"/>
        </w:rPr>
      </w:pPr>
      <w:r w:rsidRPr="00D739A7">
        <w:rPr>
          <w:sz w:val="23"/>
          <w:szCs w:val="23"/>
        </w:rPr>
        <w:t>Data is available from 19 countries.</w:t>
      </w:r>
    </w:p>
    <w:p w14:paraId="51B716F1" w14:textId="1E2FE021" w:rsidR="009F2D7A" w:rsidRPr="00D739A7" w:rsidRDefault="009F2D7A" w:rsidP="00783F38">
      <w:pPr>
        <w:pStyle w:val="Agency-body-text-report"/>
        <w:rPr>
          <w:sz w:val="23"/>
          <w:szCs w:val="23"/>
        </w:rPr>
      </w:pPr>
      <w:r w:rsidRPr="00D739A7">
        <w:rPr>
          <w:sz w:val="23"/>
          <w:szCs w:val="23"/>
        </w:rPr>
        <w:t>The proportion of boys with an official decision of SEN in fully separate educational settings, based on the population of learners with an official decision of SEN, ranges from 57.</w:t>
      </w:r>
      <w:r w:rsidR="000231F0" w:rsidRPr="00D739A7">
        <w:rPr>
          <w:sz w:val="23"/>
          <w:szCs w:val="23"/>
        </w:rPr>
        <w:t>66</w:t>
      </w:r>
      <w:r w:rsidRPr="00D739A7">
        <w:rPr>
          <w:sz w:val="23"/>
          <w:szCs w:val="23"/>
        </w:rPr>
        <w:t>% to 7</w:t>
      </w:r>
      <w:r w:rsidR="000231F0" w:rsidRPr="00D739A7">
        <w:rPr>
          <w:sz w:val="23"/>
          <w:szCs w:val="23"/>
        </w:rPr>
        <w:t>6.39</w:t>
      </w:r>
      <w:r w:rsidRPr="00D739A7">
        <w:rPr>
          <w:sz w:val="23"/>
          <w:szCs w:val="23"/>
        </w:rPr>
        <w:t>%; the total average for the 19 countries is 6</w:t>
      </w:r>
      <w:r w:rsidR="000231F0" w:rsidRPr="00D739A7">
        <w:rPr>
          <w:sz w:val="23"/>
          <w:szCs w:val="23"/>
        </w:rPr>
        <w:t>6.56</w:t>
      </w:r>
      <w:r w:rsidRPr="00D739A7">
        <w:rPr>
          <w:sz w:val="23"/>
          <w:szCs w:val="23"/>
        </w:rPr>
        <w:t>%.</w:t>
      </w:r>
    </w:p>
    <w:p w14:paraId="77F852D3" w14:textId="4618EFC0" w:rsidR="000231F0" w:rsidRPr="00D739A7" w:rsidRDefault="009F2D7A" w:rsidP="00783F38">
      <w:pPr>
        <w:pStyle w:val="Agency-body-text-report"/>
        <w:rPr>
          <w:sz w:val="23"/>
          <w:szCs w:val="23"/>
        </w:rPr>
      </w:pPr>
      <w:r w:rsidRPr="00D739A7">
        <w:rPr>
          <w:sz w:val="23"/>
          <w:szCs w:val="23"/>
        </w:rPr>
        <w:t>The proportion of girls with an official decision of SEN in fully separate educational settings, based on the population of learners with an official decision of SEN, ranges from 2</w:t>
      </w:r>
      <w:r w:rsidR="000231F0" w:rsidRPr="00D739A7">
        <w:rPr>
          <w:sz w:val="23"/>
          <w:szCs w:val="23"/>
        </w:rPr>
        <w:t>3.61</w:t>
      </w:r>
      <w:r w:rsidRPr="00D739A7">
        <w:rPr>
          <w:sz w:val="23"/>
          <w:szCs w:val="23"/>
        </w:rPr>
        <w:t>% to 42.</w:t>
      </w:r>
      <w:r w:rsidR="000231F0" w:rsidRPr="00D739A7">
        <w:rPr>
          <w:sz w:val="23"/>
          <w:szCs w:val="23"/>
        </w:rPr>
        <w:t>34</w:t>
      </w:r>
      <w:r w:rsidRPr="00D739A7">
        <w:rPr>
          <w:sz w:val="23"/>
          <w:szCs w:val="23"/>
        </w:rPr>
        <w:t>%; the total average for the 19 countries is 3</w:t>
      </w:r>
      <w:r w:rsidR="000231F0" w:rsidRPr="00D739A7">
        <w:rPr>
          <w:sz w:val="23"/>
          <w:szCs w:val="23"/>
        </w:rPr>
        <w:t>3.44</w:t>
      </w:r>
      <w:r w:rsidRPr="00D739A7">
        <w:rPr>
          <w:sz w:val="23"/>
          <w:szCs w:val="23"/>
        </w:rPr>
        <w:t>%.</w:t>
      </w:r>
    </w:p>
    <w:p w14:paraId="25C38E31" w14:textId="16789A49" w:rsidR="009F2D7A" w:rsidRPr="00D739A7" w:rsidRDefault="000231F0" w:rsidP="000231F0">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2E2AB0F6" wp14:editId="6D98D0BB">
            <wp:extent cx="2964815" cy="7387628"/>
            <wp:effectExtent l="0" t="0" r="6985" b="16510"/>
            <wp:docPr id="95" name="Diagram 95" descr="Bulgaria Boys 60.63 Girls 39.37&#10;Czech Republic Boys 63.00 Girls 37.00&#10;Estonia Boys 71.11 Girls 28.89&#10;Finland Boys 70.00 Girls 30.00&#10;France Boys 65.57 Girls 34.43&#10;Greece Boys 66.37 Girls 33.63&#10;Iceland  Boys 76.39 Girls 23.61&#10;Ireland Boys 74.03 Girls 25.97&#10;Latvia Boys 66.27 Girls 33.73&#10;Lithuania Boys 64.85 Girls 35.15  &#10;Poland Boys 64.44 Girls 35.56&#10;Portugal Boys 63.01 Girls 36.99&#10;Slovakia Boys 57.66 Girls 42.34&#10;Slovenia Boys 60.19 Girls 39.81&#10;Spain Boys 63.56 Girls 36.44&#10;Switzerland Boys 64.87 Girls 35.13&#10;UK (England) Boys 73.81 Girls 26.19&#10;UK (N. Ireland) Boys 72.07 Girls 27.93&#10;UK (Wales) Boys 72.69 Girls 27.31&#10;Total average (19) Boys 66.56 Girls 33.44">
              <a:extLst xmlns:a="http://schemas.openxmlformats.org/drawingml/2006/main">
                <a:ext uri="{FF2B5EF4-FFF2-40B4-BE49-F238E27FC236}">
                  <a16:creationId xmlns:a16="http://schemas.microsoft.com/office/drawing/2014/main" id="{AC819BD7-AE80-4149-AB80-A9E30E1EC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5A32BD60" w14:textId="6A0CA558" w:rsidR="009F2D7A" w:rsidRPr="00D739A7" w:rsidRDefault="00783F38" w:rsidP="00DB526B">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80</w:t>
      </w:r>
      <w:r w:rsidRPr="00D739A7">
        <w:fldChar w:fldCharType="end"/>
      </w:r>
      <w:r w:rsidR="009F2D7A" w:rsidRPr="00D739A7">
        <w:t>. Gender distribution of learners with an official decision of SEN in fully separate educational settings, based on the population of learners with an official decision of SEN (%)</w:t>
      </w:r>
    </w:p>
    <w:p w14:paraId="6797E1F7"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783F38">
          <w:type w:val="continuous"/>
          <w:pgSz w:w="11899" w:h="16838"/>
          <w:pgMar w:top="1134" w:right="1551" w:bottom="1276" w:left="1418" w:header="709" w:footer="709" w:gutter="0"/>
          <w:cols w:num="2" w:space="710" w:equalWidth="0">
            <w:col w:w="3762" w:space="564"/>
            <w:col w:w="4604"/>
          </w:cols>
          <w:docGrid w:linePitch="360"/>
        </w:sectPr>
      </w:pPr>
    </w:p>
    <w:p w14:paraId="48C4B59E" w14:textId="77777777" w:rsidR="009F2D7A" w:rsidRPr="00D739A7" w:rsidRDefault="009F2D7A" w:rsidP="004A29D9">
      <w:pPr>
        <w:pStyle w:val="Agency-heading-4-report"/>
      </w:pPr>
      <w:r w:rsidRPr="00D739A7">
        <w:lastRenderedPageBreak/>
        <w:t>ISCED breakdown of learners with an official decision of SEN in fully separate educational settings, based on the population of learners with an official decision of SEN (%)</w:t>
      </w:r>
    </w:p>
    <w:p w14:paraId="3D785606" w14:textId="77777777" w:rsidR="009F2D7A" w:rsidRPr="00D739A7" w:rsidRDefault="009F2D7A" w:rsidP="009F2D7A">
      <w:pPr>
        <w:spacing w:before="120" w:after="120" w:line="240" w:lineRule="auto"/>
        <w:rPr>
          <w:rFonts w:ascii="Calibri" w:eastAsia="Times New Roman" w:hAnsi="Calibri" w:cs="Calibri"/>
          <w:color w:val="000000"/>
          <w:lang w:val="en-GB"/>
        </w:rPr>
        <w:sectPr w:rsidR="009F2D7A" w:rsidRPr="00D739A7" w:rsidSect="00751B98">
          <w:pgSz w:w="11899" w:h="16838"/>
          <w:pgMar w:top="1134" w:right="1551" w:bottom="1276" w:left="1418" w:header="709" w:footer="709" w:gutter="0"/>
          <w:cols w:space="710"/>
          <w:docGrid w:linePitch="360"/>
        </w:sectPr>
      </w:pPr>
    </w:p>
    <w:p w14:paraId="4C890609" w14:textId="77777777" w:rsidR="009F2D7A" w:rsidRPr="00D739A7" w:rsidRDefault="009F2D7A" w:rsidP="00560B87">
      <w:pPr>
        <w:pStyle w:val="Agency-body-text-report"/>
      </w:pPr>
      <w:r w:rsidRPr="00D739A7">
        <w:t>The ISCED breakdowns have been calculated as follows:</w:t>
      </w:r>
    </w:p>
    <w:p w14:paraId="3FB969A7" w14:textId="77777777" w:rsidR="009F2D7A" w:rsidRPr="00D739A7" w:rsidRDefault="009F2D7A" w:rsidP="00560B87">
      <w:pPr>
        <w:pStyle w:val="Agency-body-text-report"/>
      </w:pPr>
      <w:r w:rsidRPr="00D739A7">
        <w:t>ISCED 1: The number of learners in ISCED 1 with an official decision of SEN who are educated in separate special classes in mainstream schools (Q3.3) + The number of learners in ISCED 1 with an official decision of SEN who are educated in separate special schools (Q3.4) / The number of learners who have an official decision of SEN (Q3.1) x 100.</w:t>
      </w:r>
    </w:p>
    <w:p w14:paraId="4716F21A" w14:textId="77777777" w:rsidR="009F2D7A" w:rsidRPr="00D739A7" w:rsidRDefault="009F2D7A" w:rsidP="00560B87">
      <w:pPr>
        <w:pStyle w:val="Agency-body-text-report"/>
      </w:pPr>
      <w:r w:rsidRPr="00D739A7">
        <w:t>ISCED 2: The number of learners in ISCED 2 with an official decision of SEN who are educated in separate special classes in mainstream schools (Q3.3) + The number of learners in ISCED 2 with an official decision of SEN who are educated in separate special schools (Q3.4) / The number of learners who have an official decision of SEN (Q3.1) x 100.</w:t>
      </w:r>
    </w:p>
    <w:p w14:paraId="56529F65" w14:textId="01EDC793" w:rsidR="009F2D7A" w:rsidRPr="00D739A7" w:rsidRDefault="009F2D7A" w:rsidP="00560B87">
      <w:pPr>
        <w:pStyle w:val="Agency-body-text-report"/>
        <w:rPr>
          <w:bCs/>
        </w:rPr>
      </w:pPr>
      <w:r w:rsidRPr="00D739A7">
        <w:rPr>
          <w:bCs/>
        </w:rPr>
        <w:t>Data is available from 2</w:t>
      </w:r>
      <w:r w:rsidR="000231F0" w:rsidRPr="00D739A7">
        <w:rPr>
          <w:bCs/>
        </w:rPr>
        <w:t>0</w:t>
      </w:r>
      <w:r w:rsidRPr="00D739A7">
        <w:rPr>
          <w:bCs/>
        </w:rPr>
        <w:t xml:space="preserve"> countries.</w:t>
      </w:r>
    </w:p>
    <w:p w14:paraId="3AB9B843" w14:textId="02300FA4" w:rsidR="009F2D7A" w:rsidRPr="00D739A7" w:rsidRDefault="009F2D7A" w:rsidP="00560B87">
      <w:pPr>
        <w:pStyle w:val="Agency-body-text-report"/>
      </w:pPr>
      <w:r w:rsidRPr="00D739A7">
        <w:t>The fully separate placement enrolment rates</w:t>
      </w:r>
      <w:r w:rsidR="00560B87" w:rsidRPr="00D739A7">
        <w:t xml:space="preserve"> in ISCED 1</w:t>
      </w:r>
      <w:r w:rsidRPr="00D739A7">
        <w:t>, based on the whole population of learners with an official decision of SEN, range from 3.</w:t>
      </w:r>
      <w:r w:rsidR="000231F0" w:rsidRPr="00D739A7">
        <w:t>92</w:t>
      </w:r>
      <w:r w:rsidRPr="00D739A7">
        <w:t>% to 5</w:t>
      </w:r>
      <w:r w:rsidR="000231F0" w:rsidRPr="00D739A7">
        <w:t>9.80</w:t>
      </w:r>
      <w:r w:rsidRPr="00D739A7">
        <w:t>%; the total average for the 2</w:t>
      </w:r>
      <w:r w:rsidR="000231F0" w:rsidRPr="00D739A7">
        <w:t>0</w:t>
      </w:r>
      <w:r w:rsidRPr="00D739A7">
        <w:t xml:space="preserve"> countries is 2</w:t>
      </w:r>
      <w:r w:rsidR="000231F0" w:rsidRPr="00D739A7">
        <w:t>1.76</w:t>
      </w:r>
      <w:r w:rsidRPr="00D739A7">
        <w:t>%.</w:t>
      </w:r>
    </w:p>
    <w:p w14:paraId="01DEC2A0" w14:textId="08D4C4EC" w:rsidR="009F2D7A" w:rsidRPr="00D739A7" w:rsidRDefault="009F2D7A" w:rsidP="00560B87">
      <w:pPr>
        <w:pStyle w:val="Agency-body-text-report"/>
      </w:pPr>
      <w:r w:rsidRPr="00D739A7">
        <w:t>The fully separate placement enrolment rates</w:t>
      </w:r>
      <w:r w:rsidR="00560B87" w:rsidRPr="00D739A7">
        <w:t xml:space="preserve"> in ISCED 2</w:t>
      </w:r>
      <w:r w:rsidRPr="00D739A7">
        <w:t>, based on the whole population of learners with an official decision of SEN, range from 3.</w:t>
      </w:r>
      <w:r w:rsidR="000231F0" w:rsidRPr="00D739A7">
        <w:t>25</w:t>
      </w:r>
      <w:r w:rsidRPr="00D739A7">
        <w:t>% to 4</w:t>
      </w:r>
      <w:r w:rsidR="000231F0" w:rsidRPr="00D739A7">
        <w:t>0.20</w:t>
      </w:r>
      <w:r w:rsidRPr="00D739A7">
        <w:t>%; the total average for the 2</w:t>
      </w:r>
      <w:r w:rsidR="000231F0" w:rsidRPr="00D739A7">
        <w:t>0</w:t>
      </w:r>
      <w:r w:rsidRPr="00D739A7">
        <w:t xml:space="preserve"> countries is 1</w:t>
      </w:r>
      <w:r w:rsidR="000231F0" w:rsidRPr="00D739A7">
        <w:t>4.09</w:t>
      </w:r>
      <w:r w:rsidRPr="00D739A7">
        <w:t>%.</w:t>
      </w:r>
    </w:p>
    <w:p w14:paraId="3F4A2D78" w14:textId="428DF593" w:rsidR="009F2D7A" w:rsidRPr="00D739A7" w:rsidRDefault="000231F0" w:rsidP="000231F0">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2797BB90" wp14:editId="4CCBC32A">
            <wp:extent cx="3028950" cy="7387628"/>
            <wp:effectExtent l="0" t="0" r="6350" b="16510"/>
            <wp:docPr id="96" name="Diagram 96" descr="Bulgaria ISCED 1 - 9.55 ISCED 2 - 9.07&#10;Czech Republic ISCED 1 - 15.00 ISCED 2 - 16.83&#10;Estonia ISCED 1 - 37.86 ISCED 2 - 24.80&#10;Finland ISCED 1 - 38.22 ISCED 2 - 22.80&#10;France ISCED 1 - 31.79 ISCED 2 - 9.31&#10;Greece ISCED 1 - 7.18 ISCED 2 - 9.12&#10;Iceland  ISCED 1 - 4.93 ISCED 2 - 3.25&#10;Ireland ISCED 1 - 13.47 ISCED 2 - 7.08&#10;Latvia ISCED 1 - 39.18 ISCED 2 - 21.77&#10;Lithuania ISCED 1 - 3.92 ISCED 2 - 6.66&#10;Luxembourg ISCED 1 - 28.64 ISCED 2 - 21.36&#10;Poland ISCED 1 - 24.21 ISCED 2 - 18.91&#10;Portugal ISCED 1 - 7.18 ISCED 2 -  8.35&#10;Slovakia ISCED 1 - 16.99 ISCED 2 - 20.34&#10;Slovenia ISCED 1 - 18.50 ISCED 2 - 7.70&#10;Spain ISCED 1 - 12.20 ISCED 2 - 7.41&#10;Switzerland ISCED 1 - 59.80 ISCED 2 - 40.20&#10;UK (England) ISCED 1 - 26.94 ISCED 2 - 21.10&#10;UK (N. Ireland) ISCED 1 - 22.98 ISCED 2 - 17.02&#10;UK (Wales) ISCED 1 - 24.49 ISCED 2 - 29.06&#10;Total average (20) ISCED 1 - 21.76 ISCED 2 - 14.09">
              <a:extLst xmlns:a="http://schemas.openxmlformats.org/drawingml/2006/main">
                <a:ext uri="{FF2B5EF4-FFF2-40B4-BE49-F238E27FC236}">
                  <a16:creationId xmlns:a16="http://schemas.microsoft.com/office/drawing/2014/main" id="{1E9992B2-FF0A-4C0E-8E23-933256A651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BBF1AF4" w14:textId="5E8B0901" w:rsidR="009F2D7A" w:rsidRPr="00D739A7" w:rsidRDefault="00783F38" w:rsidP="00DB526B">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81</w:t>
      </w:r>
      <w:r w:rsidRPr="00D739A7">
        <w:fldChar w:fldCharType="end"/>
      </w:r>
      <w:r w:rsidR="009F2D7A" w:rsidRPr="00D739A7">
        <w:t>. ISCED breakdown of learners with an official decision of SEN in fully separate educational settings, based on the population of learners with an official decision of SEN (%)</w:t>
      </w:r>
    </w:p>
    <w:p w14:paraId="0D79CBA0" w14:textId="77777777" w:rsidR="009F2D7A" w:rsidRPr="00D739A7" w:rsidRDefault="009F2D7A" w:rsidP="009F2D7A">
      <w:pPr>
        <w:keepNext/>
        <w:spacing w:before="240" w:after="240" w:line="240" w:lineRule="auto"/>
        <w:rPr>
          <w:rFonts w:ascii="Calibri" w:eastAsia="Times New Roman" w:hAnsi="Calibri" w:cs="Calibri"/>
          <w:b/>
          <w:bCs/>
          <w:color w:val="000000"/>
          <w:szCs w:val="18"/>
          <w:lang w:val="en-GB"/>
        </w:rPr>
        <w:sectPr w:rsidR="009F2D7A" w:rsidRPr="00D739A7" w:rsidSect="00496841">
          <w:type w:val="continuous"/>
          <w:pgSz w:w="11899" w:h="16838"/>
          <w:pgMar w:top="1134" w:right="1551" w:bottom="1276" w:left="1418" w:header="709" w:footer="709" w:gutter="0"/>
          <w:cols w:num="2" w:space="710" w:equalWidth="0">
            <w:col w:w="3333" w:space="710"/>
            <w:col w:w="4887"/>
          </w:cols>
          <w:docGrid w:linePitch="360"/>
        </w:sectPr>
      </w:pPr>
    </w:p>
    <w:p w14:paraId="14856975" w14:textId="77777777" w:rsidR="009F2D7A" w:rsidRPr="00D739A7" w:rsidRDefault="009F2D7A" w:rsidP="004A29D9">
      <w:pPr>
        <w:pStyle w:val="Agency-heading-4-report"/>
        <w:sectPr w:rsidR="009F2D7A" w:rsidRPr="00D739A7" w:rsidSect="00751B98">
          <w:pgSz w:w="11899" w:h="16838"/>
          <w:pgMar w:top="1134" w:right="1551" w:bottom="1276" w:left="1418" w:header="709" w:footer="709" w:gutter="0"/>
          <w:cols w:space="710"/>
          <w:docGrid w:linePitch="360"/>
        </w:sectPr>
      </w:pPr>
      <w:r w:rsidRPr="00D739A7">
        <w:lastRenderedPageBreak/>
        <w:t>ISCED distribution of learners with an official decision of SEN in fully separate educational settings, based on the population of learners with an official decision of SEN (%)</w:t>
      </w:r>
    </w:p>
    <w:p w14:paraId="3F152E42" w14:textId="27A7F864" w:rsidR="00772F25" w:rsidRPr="00D739A7" w:rsidRDefault="009F2D7A" w:rsidP="00496841">
      <w:pPr>
        <w:pStyle w:val="Agency-body-text-report"/>
        <w:ind w:right="73"/>
      </w:pPr>
      <w:r w:rsidRPr="00D739A7">
        <w:t>The ISCED distributions have been calculated as follows:</w:t>
      </w:r>
    </w:p>
    <w:p w14:paraId="651D2461" w14:textId="40C71C87" w:rsidR="009F2D7A" w:rsidRPr="00D739A7" w:rsidRDefault="009F2D7A" w:rsidP="00496841">
      <w:pPr>
        <w:pStyle w:val="Agency-body-text-report"/>
        <w:ind w:right="73"/>
        <w:rPr>
          <w:rFonts w:cs="Calibri"/>
        </w:rPr>
      </w:pPr>
      <w:r w:rsidRPr="00D739A7">
        <w:t>ISCED 1:</w:t>
      </w:r>
      <w:r w:rsidRPr="00D739A7">
        <w:rPr>
          <w:szCs w:val="20"/>
        </w:rPr>
        <w:t xml:space="preserve"> </w:t>
      </w:r>
      <w:r w:rsidRPr="00D739A7">
        <w:t>The number of</w:t>
      </w:r>
      <w:r w:rsidR="008D48CF" w:rsidRPr="00D739A7">
        <w:t xml:space="preserve"> </w:t>
      </w:r>
      <w:r w:rsidRPr="00D739A7">
        <w:t xml:space="preserve">learners in ISCED 1 with an official decision of SEN who are educated in separate special classes in mainstream schools (Q3.3) + The number of learners in ISCED 1 with an official decision of SEN who are educated in separate special schools (Q3.4) / The number of </w:t>
      </w:r>
      <w:r w:rsidRPr="00D739A7">
        <w:rPr>
          <w:rFonts w:cs="Calibri"/>
        </w:rPr>
        <w:t>learners in ISCED 1 who have an official decision of SEN (Q3.1) x 100.</w:t>
      </w:r>
    </w:p>
    <w:p w14:paraId="2A098218" w14:textId="4235FC42" w:rsidR="009F2D7A" w:rsidRPr="00D739A7" w:rsidRDefault="009F2D7A" w:rsidP="00496841">
      <w:pPr>
        <w:pStyle w:val="Agency-body-text-report"/>
        <w:ind w:right="73"/>
        <w:rPr>
          <w:rFonts w:cs="Calibri"/>
        </w:rPr>
      </w:pPr>
      <w:r w:rsidRPr="00D739A7">
        <w:rPr>
          <w:rFonts w:cs="Calibri"/>
        </w:rPr>
        <w:t>ISCED 2: The number of learners in ISCED 2 with an official decision of SEN who are educated in separate special classes in mainstream schools (Q3.3) + The number of learners in ISCED 2 with an official decision of SEN who are educated in separate special schools (Q3.4) / The number of learners in ISCED 2 who have an official decision of SEN (Q3.1) x 100.</w:t>
      </w:r>
    </w:p>
    <w:p w14:paraId="49D098ED" w14:textId="6DDE5C7D" w:rsidR="009F2D7A" w:rsidRPr="00D739A7" w:rsidRDefault="009F2D7A" w:rsidP="00496841">
      <w:pPr>
        <w:pStyle w:val="Agency-body-text-report"/>
        <w:ind w:right="73"/>
        <w:rPr>
          <w:rFonts w:cs="Calibri"/>
          <w:bCs/>
        </w:rPr>
      </w:pPr>
      <w:r w:rsidRPr="00D739A7">
        <w:rPr>
          <w:rFonts w:cs="Calibri"/>
          <w:bCs/>
        </w:rPr>
        <w:t>Data is available from 2</w:t>
      </w:r>
      <w:r w:rsidR="00772F25" w:rsidRPr="00D739A7">
        <w:rPr>
          <w:rFonts w:cs="Calibri"/>
          <w:bCs/>
        </w:rPr>
        <w:t>0</w:t>
      </w:r>
      <w:r w:rsidRPr="00D739A7">
        <w:rPr>
          <w:rFonts w:cs="Calibri"/>
          <w:bCs/>
        </w:rPr>
        <w:t xml:space="preserve"> countries.</w:t>
      </w:r>
    </w:p>
    <w:p w14:paraId="62879D81" w14:textId="775CEDE0" w:rsidR="009F2D7A" w:rsidRPr="00D739A7" w:rsidRDefault="006D050B" w:rsidP="00496841">
      <w:pPr>
        <w:pStyle w:val="Agency-body-text-report"/>
        <w:ind w:right="73"/>
        <w:rPr>
          <w:rFonts w:cs="Calibri"/>
          <w:bCs/>
        </w:rPr>
      </w:pPr>
      <w:r w:rsidRPr="00D739A7">
        <w:rPr>
          <w:rFonts w:cs="Calibri"/>
          <w:bCs/>
        </w:rPr>
        <w:t>Within ISCED 1, t</w:t>
      </w:r>
      <w:r w:rsidR="009F2D7A" w:rsidRPr="00D739A7">
        <w:rPr>
          <w:rFonts w:cs="Calibri"/>
          <w:bCs/>
        </w:rPr>
        <w:t>he proportion of learners with an official decision of SEN in fully separate educational settings ranges from 6.</w:t>
      </w:r>
      <w:r w:rsidR="00772F25" w:rsidRPr="00D739A7">
        <w:rPr>
          <w:rFonts w:cs="Calibri"/>
          <w:bCs/>
        </w:rPr>
        <w:t>96%</w:t>
      </w:r>
      <w:r w:rsidR="009F2D7A" w:rsidRPr="00D739A7">
        <w:rPr>
          <w:rFonts w:cs="Calibri"/>
          <w:bCs/>
        </w:rPr>
        <w:t xml:space="preserve"> to 100.00%; the total average for the 2</w:t>
      </w:r>
      <w:r w:rsidR="00772F25" w:rsidRPr="00D739A7">
        <w:rPr>
          <w:rFonts w:cs="Calibri"/>
          <w:bCs/>
        </w:rPr>
        <w:t>0</w:t>
      </w:r>
      <w:r w:rsidR="009F2D7A" w:rsidRPr="00D739A7">
        <w:rPr>
          <w:rFonts w:cs="Calibri"/>
          <w:bCs/>
        </w:rPr>
        <w:t xml:space="preserve"> countries is 36.</w:t>
      </w:r>
      <w:r w:rsidR="00772F25" w:rsidRPr="00D739A7">
        <w:rPr>
          <w:rFonts w:cs="Calibri"/>
          <w:bCs/>
        </w:rPr>
        <w:t>37</w:t>
      </w:r>
      <w:r w:rsidR="009F2D7A" w:rsidRPr="00D739A7">
        <w:rPr>
          <w:rFonts w:cs="Calibri"/>
          <w:bCs/>
        </w:rPr>
        <w:t>%.</w:t>
      </w:r>
    </w:p>
    <w:p w14:paraId="45554FC5" w14:textId="089CF772" w:rsidR="009F2D7A" w:rsidRPr="00D739A7" w:rsidRDefault="006D050B" w:rsidP="00496841">
      <w:pPr>
        <w:pStyle w:val="Agency-body-text-report"/>
        <w:ind w:right="73"/>
        <w:rPr>
          <w:rFonts w:cs="Calibri"/>
          <w:bCs/>
        </w:rPr>
      </w:pPr>
      <w:r w:rsidRPr="00D739A7">
        <w:rPr>
          <w:rFonts w:cs="Calibri"/>
          <w:bCs/>
        </w:rPr>
        <w:t>Within ISCED 2, t</w:t>
      </w:r>
      <w:r w:rsidR="009F2D7A" w:rsidRPr="00D739A7">
        <w:rPr>
          <w:rFonts w:cs="Calibri"/>
          <w:bCs/>
        </w:rPr>
        <w:t xml:space="preserve">he proportion of learners with an official decision of SEN in fully separate educational settings ranges from </w:t>
      </w:r>
      <w:r w:rsidR="00772F25" w:rsidRPr="00D739A7">
        <w:rPr>
          <w:rFonts w:cs="Calibri"/>
          <w:bCs/>
        </w:rPr>
        <w:t>9.87</w:t>
      </w:r>
      <w:r w:rsidR="009F2D7A" w:rsidRPr="00D739A7">
        <w:rPr>
          <w:rFonts w:cs="Calibri"/>
          <w:bCs/>
        </w:rPr>
        <w:t>% to 100.00%; the total average for the 2</w:t>
      </w:r>
      <w:r w:rsidR="00772F25" w:rsidRPr="00D739A7">
        <w:rPr>
          <w:rFonts w:cs="Calibri"/>
          <w:bCs/>
        </w:rPr>
        <w:t>0</w:t>
      </w:r>
      <w:r w:rsidR="009F2D7A" w:rsidRPr="00D739A7">
        <w:rPr>
          <w:rFonts w:cs="Calibri"/>
          <w:bCs/>
        </w:rPr>
        <w:t xml:space="preserve"> countries is 3</w:t>
      </w:r>
      <w:r w:rsidR="00772F25" w:rsidRPr="00D739A7">
        <w:rPr>
          <w:rFonts w:cs="Calibri"/>
          <w:bCs/>
        </w:rPr>
        <w:t>5.08</w:t>
      </w:r>
      <w:r w:rsidR="009F2D7A" w:rsidRPr="00D739A7">
        <w:rPr>
          <w:rFonts w:cs="Calibri"/>
          <w:bCs/>
        </w:rPr>
        <w:t>%.</w:t>
      </w:r>
    </w:p>
    <w:p w14:paraId="64B6C8A8" w14:textId="4FBFCA0A" w:rsidR="00772F25" w:rsidRPr="00D739A7" w:rsidRDefault="008D48CF" w:rsidP="00496841">
      <w:pPr>
        <w:spacing w:after="0" w:line="240" w:lineRule="auto"/>
        <w:rPr>
          <w:rFonts w:ascii="Calibri" w:eastAsia="Times New Roman" w:hAnsi="Calibri" w:cs="Calibri"/>
          <w:bCs/>
          <w:color w:val="000000"/>
          <w:lang w:val="en-GB"/>
        </w:rPr>
      </w:pPr>
      <w:r w:rsidRPr="00D739A7">
        <w:rPr>
          <w:rFonts w:ascii="Calibri" w:hAnsi="Calibri" w:cs="Calibri"/>
          <w:noProof/>
          <w:lang w:val="en-GB"/>
        </w:rPr>
        <w:drawing>
          <wp:inline distT="0" distB="0" distL="0" distR="0" wp14:anchorId="0BB6CB5C" wp14:editId="6781D4BE">
            <wp:extent cx="3058160" cy="7405735"/>
            <wp:effectExtent l="0" t="0" r="15240" b="11430"/>
            <wp:docPr id="97" name="Diagram 97" descr="Bulgaria ISCED 1 - 17.98 ISCED 2 - 19.35&#10;Czech Republic ISCED 1 - 30.86 ISCED 2 - 32.76&#10;Estonia ISCED 1 - 60.24 ISCED 2 - 66.76&#10;Finland ISCED 1 - 63.80 ISCED 2 - 56.87&#10;France ISCED 1 - 48.77 ISCED 2 - 26.73&#10;Greece ISCED 1 - 14.27 ISCED 2 - 18.34&#10;Iceland  ISCED 1 - 7.36 ISCED 2 - 9.87&#10;Ireland ISCED 1 - 18.27 ISCED 2 - 26.94&#10;Latvia ISCED 1 - 60.37 ISCED 2 - 62.00&#10;Lithuania ISCED 1 - 6.96 ISCED 2 - 15.24&#10;Luxembourg ISCED 1 - 44.68 ISCED 2 - 59.49&#10;Poland ISCED 1 - 38.97 ISCED 2 - 49.93&#10;Portugal ISCED 1 - 12.12 ISCED 2 - 20.49&#10;Slovakia ISCED 1 - 37.63 ISCED 2 - 37.07&#10;Slovenia ISCED 1 - 31.66 ISCED 2 - 18.53&#10;Spain ISCED 1 - 19.33 ISCED 2 - 20.10&#10;Switzerland ISCED 1 - 100.00 ISCED 2 - 100.00&#10;UK (England) ISCED 1 - 44.23 ISCED 2 - 53.99&#10;UK (N. Ireland) ISCED 1 - 44.24 ISCED 2 - 35.42&#10;UK (Wales) ISCED 1 - 54.40 ISCED 2 - 52.86&#10;Total average (20) ISCED 1 - 36.37 ISCED 2 - 35.08">
              <a:extLst xmlns:a="http://schemas.openxmlformats.org/drawingml/2006/main">
                <a:ext uri="{FF2B5EF4-FFF2-40B4-BE49-F238E27FC236}">
                  <a16:creationId xmlns:a16="http://schemas.microsoft.com/office/drawing/2014/main" id="{00427866-60BE-4D0A-A15E-B5BAE2B594CE}"/>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7721DF7A" w14:textId="03679C6A" w:rsidR="008D48CF" w:rsidRPr="00D739A7" w:rsidRDefault="00783F38" w:rsidP="004A29D9">
      <w:pPr>
        <w:pStyle w:val="Agency-caption-report"/>
        <w:sectPr w:rsidR="008D48CF" w:rsidRPr="00D739A7" w:rsidSect="00496841">
          <w:type w:val="continuous"/>
          <w:pgSz w:w="11899" w:h="16838"/>
          <w:pgMar w:top="1134" w:right="1551" w:bottom="1276" w:left="1418" w:header="709" w:footer="709" w:gutter="0"/>
          <w:cols w:num="2" w:space="709" w:equalWidth="0">
            <w:col w:w="3475" w:space="709"/>
            <w:col w:w="4746"/>
          </w:cols>
          <w:docGrid w:linePitch="360"/>
        </w:sectPr>
      </w:pPr>
      <w:r w:rsidRPr="00D739A7">
        <w:t xml:space="preserve">Figure </w:t>
      </w:r>
      <w:r w:rsidR="00356C9F" w:rsidRPr="00D739A7">
        <w:fldChar w:fldCharType="begin"/>
      </w:r>
      <w:r w:rsidR="00356C9F" w:rsidRPr="00D739A7">
        <w:rPr>
          <w:i/>
          <w:iCs/>
        </w:rPr>
        <w:instrText xml:space="preserve"> SEQ Figure \* ARABIC </w:instrText>
      </w:r>
      <w:r w:rsidR="00356C9F" w:rsidRPr="00D739A7">
        <w:fldChar w:fldCharType="separate"/>
      </w:r>
      <w:r w:rsidR="00B54F4E" w:rsidRPr="00D739A7">
        <w:t>82</w:t>
      </w:r>
      <w:r w:rsidR="00356C9F" w:rsidRPr="00D739A7">
        <w:fldChar w:fldCharType="end"/>
      </w:r>
      <w:r w:rsidR="00772F25" w:rsidRPr="00D739A7">
        <w:t>. ISCED distribution of learners with an official decision of SEN in fully separate educational settings, based on the population of learners with an official decision of SEN (%)</w:t>
      </w:r>
    </w:p>
    <w:p w14:paraId="4F806D19" w14:textId="2E0B9AC5" w:rsidR="002453E7" w:rsidRPr="00D739A7" w:rsidRDefault="009908E4" w:rsidP="004A29D9">
      <w:pPr>
        <w:pStyle w:val="Agency-heading-1-report"/>
      </w:pPr>
      <w:bookmarkStart w:id="69" w:name="section3"/>
      <w:bookmarkStart w:id="70" w:name="_Toc35943059"/>
      <w:bookmarkStart w:id="71" w:name="_Hlk26433067"/>
      <w:bookmarkEnd w:id="20"/>
      <w:bookmarkEnd w:id="21"/>
      <w:bookmarkEnd w:id="45"/>
      <w:bookmarkEnd w:id="47"/>
      <w:bookmarkEnd w:id="69"/>
      <w:r w:rsidRPr="00D739A7">
        <w:lastRenderedPageBreak/>
        <w:t>Chapter </w:t>
      </w:r>
      <w:r w:rsidR="00751B98" w:rsidRPr="00D739A7">
        <w:t xml:space="preserve">3: </w:t>
      </w:r>
      <w:r w:rsidR="00256DE8" w:rsidRPr="00D739A7">
        <w:t>Upper</w:t>
      </w:r>
      <w:r w:rsidR="00751B98" w:rsidRPr="00D739A7">
        <w:t>-</w:t>
      </w:r>
      <w:r w:rsidR="00B62A55" w:rsidRPr="00D739A7">
        <w:t>s</w:t>
      </w:r>
      <w:r w:rsidR="00256DE8" w:rsidRPr="00D739A7">
        <w:t xml:space="preserve">econdary </w:t>
      </w:r>
      <w:r w:rsidR="00B62A55" w:rsidRPr="00D739A7">
        <w:t>e</w:t>
      </w:r>
      <w:r w:rsidR="00256DE8" w:rsidRPr="00D739A7">
        <w:t xml:space="preserve">ducation </w:t>
      </w:r>
      <w:r w:rsidR="00751B98" w:rsidRPr="00D739A7">
        <w:t xml:space="preserve">(ISCED </w:t>
      </w:r>
      <w:r w:rsidR="00256DE8" w:rsidRPr="00D739A7">
        <w:t>Level </w:t>
      </w:r>
      <w:r w:rsidR="00751B98" w:rsidRPr="00D739A7">
        <w:t>3)</w:t>
      </w:r>
      <w:bookmarkEnd w:id="70"/>
    </w:p>
    <w:p w14:paraId="44B1899E" w14:textId="77777777" w:rsidR="00EF4DF6" w:rsidRPr="00D739A7" w:rsidRDefault="00EF4DF6" w:rsidP="00BD52DE">
      <w:pPr>
        <w:pStyle w:val="Agency-body-text-report"/>
        <w:sectPr w:rsidR="00EF4DF6" w:rsidRPr="00D739A7" w:rsidSect="008D48CF">
          <w:pgSz w:w="11899" w:h="16838"/>
          <w:pgMar w:top="1134" w:right="1551" w:bottom="1276" w:left="1418" w:header="709" w:footer="709" w:gutter="0"/>
          <w:cols w:space="708"/>
          <w:docGrid w:linePitch="360"/>
        </w:sectPr>
      </w:pPr>
    </w:p>
    <w:p w14:paraId="56183ED7" w14:textId="3EB78C05" w:rsidR="00BD52DE" w:rsidRPr="00D739A7" w:rsidRDefault="00903978" w:rsidP="00EF4DF6">
      <w:pPr>
        <w:pStyle w:val="Agency-heading-1-report"/>
      </w:pPr>
      <w:bookmarkStart w:id="72" w:name="_Toc35943060"/>
      <w:r w:rsidRPr="00D739A7">
        <w:lastRenderedPageBreak/>
        <w:t>3.</w:t>
      </w:r>
      <w:r w:rsidR="00EF4DF6" w:rsidRPr="00D739A7">
        <w:t>1. Population and Enrolment</w:t>
      </w:r>
      <w:bookmarkEnd w:id="72"/>
    </w:p>
    <w:p w14:paraId="08737CEB" w14:textId="77777777" w:rsidR="00550DA8" w:rsidRPr="00D739A7" w:rsidRDefault="00751B98" w:rsidP="004A29D9">
      <w:pPr>
        <w:pStyle w:val="Agency-body-text-report"/>
      </w:pPr>
      <w:r w:rsidRPr="00D739A7">
        <w:t>There are two agreed indicators for this area, both based on the enrolled school population (i.e. the data presented for each country in relation to Q1.2).</w:t>
      </w:r>
    </w:p>
    <w:p w14:paraId="6F0BD062" w14:textId="02A82A82" w:rsidR="00751B98" w:rsidRPr="00D739A7" w:rsidRDefault="00751B98" w:rsidP="004A29D9">
      <w:pPr>
        <w:pStyle w:val="Agency-body-text-report"/>
        <w:keepNext/>
      </w:pPr>
      <w:r w:rsidRPr="00D739A7">
        <w:t>The data presented focuses on:</w:t>
      </w:r>
    </w:p>
    <w:p w14:paraId="334626B4" w14:textId="77777777" w:rsidR="00751B98" w:rsidRPr="00D739A7" w:rsidRDefault="00751B98" w:rsidP="004A29D9">
      <w:pPr>
        <w:pStyle w:val="Agency-body-text-report"/>
        <w:numPr>
          <w:ilvl w:val="0"/>
          <w:numId w:val="52"/>
        </w:numPr>
      </w:pPr>
      <w:r w:rsidRPr="00D739A7">
        <w:t>who is in formal education and who is not;</w:t>
      </w:r>
    </w:p>
    <w:p w14:paraId="25479ED5" w14:textId="77777777" w:rsidR="00751B98" w:rsidRPr="00D739A7" w:rsidRDefault="00751B98" w:rsidP="004A29D9">
      <w:pPr>
        <w:pStyle w:val="Agency-body-text-report"/>
        <w:numPr>
          <w:ilvl w:val="0"/>
          <w:numId w:val="52"/>
        </w:numPr>
      </w:pPr>
      <w:r w:rsidRPr="00D739A7">
        <w:t>who is educated in an inclusive setting and who is not.</w:t>
      </w:r>
    </w:p>
    <w:p w14:paraId="47A52A3E" w14:textId="77777777" w:rsidR="00751B98" w:rsidRPr="00D739A7" w:rsidRDefault="00751B98" w:rsidP="004A29D9">
      <w:pPr>
        <w:pStyle w:val="Agency-body-text-report"/>
        <w:keepNext/>
      </w:pPr>
      <w:r w:rsidRPr="00D739A7">
        <w:t>The data collected provides information on:</w:t>
      </w:r>
    </w:p>
    <w:p w14:paraId="265276B3" w14:textId="77777777" w:rsidR="00751B98" w:rsidRPr="00D739A7" w:rsidRDefault="00751B98" w:rsidP="004A29D9">
      <w:pPr>
        <w:pStyle w:val="Agency-body-text-report"/>
        <w:numPr>
          <w:ilvl w:val="0"/>
          <w:numId w:val="53"/>
        </w:numPr>
      </w:pPr>
      <w:r w:rsidRPr="00D739A7">
        <w:t>access to education;</w:t>
      </w:r>
    </w:p>
    <w:p w14:paraId="44A07344" w14:textId="77777777" w:rsidR="00751B98" w:rsidRPr="00D739A7" w:rsidRDefault="00751B98" w:rsidP="004A29D9">
      <w:pPr>
        <w:pStyle w:val="Agency-body-text-report"/>
        <w:numPr>
          <w:ilvl w:val="0"/>
          <w:numId w:val="53"/>
        </w:numPr>
      </w:pPr>
      <w:r w:rsidRPr="00D739A7">
        <w:t>the placement of learners in inclusive settings or otherwise.</w:t>
      </w:r>
    </w:p>
    <w:p w14:paraId="5A72C10E" w14:textId="77777777" w:rsidR="00751B98" w:rsidRPr="00D739A7" w:rsidRDefault="00751B98" w:rsidP="004A29D9">
      <w:pPr>
        <w:pStyle w:val="Agency-body-text-report"/>
      </w:pPr>
      <w:r w:rsidRPr="00D739A7">
        <w:t>The indicators focus on mainstream and inclusive education in the broadest sense. They are calculated based on data on all learners eligible to be in education, not just those recognised as having SEN.</w:t>
      </w:r>
    </w:p>
    <w:p w14:paraId="7F652F9E" w14:textId="77777777" w:rsidR="00751B98" w:rsidRPr="00D739A7" w:rsidRDefault="00751B98" w:rsidP="00751B98">
      <w:pPr>
        <w:spacing w:before="120" w:after="120" w:line="240" w:lineRule="auto"/>
        <w:rPr>
          <w:rFonts w:ascii="Calibri" w:eastAsia="Times New Roman" w:hAnsi="Calibri" w:cs="Calibri"/>
          <w:color w:val="000000"/>
          <w:lang w:val="en-GB"/>
        </w:rPr>
      </w:pPr>
      <w:r w:rsidRPr="00D739A7">
        <w:rPr>
          <w:rFonts w:ascii="Calibri" w:eastAsia="Times New Roman" w:hAnsi="Calibri" w:cs="Calibri"/>
          <w:color w:val="000000"/>
          <w:lang w:val="en-GB"/>
        </w:rPr>
        <w:br w:type="page"/>
      </w:r>
    </w:p>
    <w:p w14:paraId="67E0B210"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8D48CF">
          <w:pgSz w:w="11899" w:h="16838"/>
          <w:pgMar w:top="1134" w:right="1551" w:bottom="1276" w:left="1418" w:header="709" w:footer="709" w:gutter="0"/>
          <w:cols w:space="708"/>
          <w:docGrid w:linePitch="360"/>
        </w:sectPr>
      </w:pPr>
    </w:p>
    <w:p w14:paraId="321BFEC8" w14:textId="2503E536" w:rsidR="00751B98" w:rsidRPr="00D739A7" w:rsidRDefault="00436B97" w:rsidP="004A29D9">
      <w:pPr>
        <w:pStyle w:val="Agency-heading-2-report"/>
      </w:pPr>
      <w:bookmarkStart w:id="73" w:name="_Toc35943061"/>
      <w:r w:rsidRPr="00D739A7">
        <w:lastRenderedPageBreak/>
        <w:t>Indicator </w:t>
      </w:r>
      <w:r w:rsidR="00903978" w:rsidRPr="00D739A7">
        <w:t>3.</w:t>
      </w:r>
      <w:r w:rsidRPr="00D739A7">
        <w:t>1</w:t>
      </w:r>
      <w:r w:rsidR="00751B98" w:rsidRPr="00D739A7">
        <w:t>.1: the enrolment rate in mainstream education, based on the enrolled school population (%)</w:t>
      </w:r>
      <w:bookmarkEnd w:id="73"/>
    </w:p>
    <w:p w14:paraId="770A18DE"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type w:val="continuous"/>
          <w:pgSz w:w="11899" w:h="16838"/>
          <w:pgMar w:top="1134" w:right="1551" w:bottom="1276" w:left="1418" w:header="709" w:footer="709" w:gutter="0"/>
          <w:cols w:space="708"/>
          <w:docGrid w:linePitch="360"/>
        </w:sectPr>
      </w:pPr>
    </w:p>
    <w:p w14:paraId="5968F129" w14:textId="77777777" w:rsidR="00751B98" w:rsidRPr="00D739A7" w:rsidRDefault="00751B98" w:rsidP="006D050B">
      <w:pPr>
        <w:pStyle w:val="Agency-body-text-report"/>
      </w:pPr>
      <w:r w:rsidRPr="00D739A7">
        <w:t>The data shows learners who are or are not in mainstream education.</w:t>
      </w:r>
    </w:p>
    <w:p w14:paraId="29F89D1E" w14:textId="04CF4D95" w:rsidR="00751B98" w:rsidRPr="00D739A7" w:rsidRDefault="00751B98" w:rsidP="006D050B">
      <w:pPr>
        <w:pStyle w:val="Agency-body-text-report"/>
      </w:pPr>
      <w:r w:rsidRPr="00D739A7">
        <w:t>In most countries, enrolment in mainstream education implies placement in a mainstream class, or placement in a separate special class within a mainstream school. Those learners who are not in mainstream settings are in fully separate special schools, non</w:t>
      </w:r>
      <w:r w:rsidR="0015273A" w:rsidRPr="00D739A7">
        <w:noBreakHyphen/>
      </w:r>
      <w:r w:rsidRPr="00D739A7">
        <w:t>formal education run by health or social services, etc., or are out-of-school learners.</w:t>
      </w:r>
    </w:p>
    <w:p w14:paraId="41B05EF7" w14:textId="77777777" w:rsidR="00751B98" w:rsidRPr="00D739A7" w:rsidRDefault="00751B98" w:rsidP="006D050B">
      <w:pPr>
        <w:pStyle w:val="Agency-body-text-report"/>
      </w:pPr>
      <w:r w:rsidRPr="00D739A7">
        <w:t>This indicator has been calculated as follows: The number of learners who are enrolled in mainstream formal educational settings (Q1.4) / The number of learners who are enrolled in all formal educational settings (Q1.2) x 100.</w:t>
      </w:r>
    </w:p>
    <w:p w14:paraId="2638061E" w14:textId="5C808F84" w:rsidR="00751B98" w:rsidRPr="00D739A7" w:rsidRDefault="00751B98" w:rsidP="006D050B">
      <w:pPr>
        <w:pStyle w:val="Agency-body-text-report"/>
      </w:pPr>
      <w:r w:rsidRPr="00D739A7">
        <w:t>Data is available from 2</w:t>
      </w:r>
      <w:r w:rsidR="00CB379E" w:rsidRPr="00D739A7">
        <w:t>6</w:t>
      </w:r>
      <w:r w:rsidRPr="00D739A7">
        <w:t xml:space="preserve"> countries.</w:t>
      </w:r>
    </w:p>
    <w:p w14:paraId="4E4F8550" w14:textId="73A2734C" w:rsidR="00751B98" w:rsidRPr="00D739A7" w:rsidRDefault="00751B98" w:rsidP="006D050B">
      <w:pPr>
        <w:pStyle w:val="Agency-body-text-report"/>
      </w:pPr>
      <w:r w:rsidRPr="00D739A7">
        <w:t>Across the 2</w:t>
      </w:r>
      <w:r w:rsidR="00CB379E" w:rsidRPr="00D739A7">
        <w:t>6</w:t>
      </w:r>
      <w:r w:rsidRPr="00D739A7">
        <w:t xml:space="preserve"> countries, the enrolment rate in mainstream education ranges from </w:t>
      </w:r>
      <w:r w:rsidR="00CB379E" w:rsidRPr="00D739A7">
        <w:t>60.98</w:t>
      </w:r>
      <w:r w:rsidRPr="00D739A7">
        <w:t xml:space="preserve">% to </w:t>
      </w:r>
      <w:r w:rsidR="00CB379E" w:rsidRPr="00D739A7">
        <w:t>100</w:t>
      </w:r>
      <w:r w:rsidR="0015273A" w:rsidRPr="00D739A7">
        <w:t>.00</w:t>
      </w:r>
      <w:r w:rsidRPr="00D739A7">
        <w:t>%; the total average for the 29 countries is 9</w:t>
      </w:r>
      <w:r w:rsidR="00CB379E" w:rsidRPr="00D739A7">
        <w:t>7.66</w:t>
      </w:r>
      <w:r w:rsidRPr="00D739A7">
        <w:t>%.</w:t>
      </w:r>
    </w:p>
    <w:p w14:paraId="71E0F7D2" w14:textId="4E0186BF" w:rsidR="00751B98" w:rsidRPr="00D739A7" w:rsidRDefault="00183D86" w:rsidP="00CB379E">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08F93758" wp14:editId="4943F43D">
            <wp:extent cx="3022600" cy="7052650"/>
            <wp:effectExtent l="0" t="0" r="12700" b="8890"/>
            <wp:docPr id="98" name="Diagram 98" descr="Austria 100.00 &#10;Belgium (Fl) 60.98 &#10;Bulgaria 99.60 &#10;Cyprus 99.80 &#10;Czech Republic 99.00 &#10;Estonia 99.80 &#10;France 99.90 &#10;Greece 99.79 &#10;Hungary 86.77 &#10;Ireland 99.30 &#10;Italy 99.98 &#10;Latvia 99.96 &#10;Lithuania 99.21 &#10;Luxembourg 99.51 &#10;Netherlands 100.00 &#10;Poland 97.98 &#10;Portugal 100.00 &#10;Serbia 99.04 &#10;Slovakia 96.07 &#10;Slovenia 95.39 &#10;Spain 100.00 &#10;Sweden 98.32 &#10;UK (England) 97.05 &#10;UK (N. Ireland) 97.68 &#10;UK (Scotland) 98.17 &#10;UK (Wales) 88.72 &#10;Total average (26 countries) 97.66">
              <a:extLst xmlns:a="http://schemas.openxmlformats.org/drawingml/2006/main">
                <a:ext uri="{FF2B5EF4-FFF2-40B4-BE49-F238E27FC236}">
                  <a16:creationId xmlns:a16="http://schemas.microsoft.com/office/drawing/2014/main" id="{28857486-175E-43B8-88BC-C77333C37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5E902421" w14:textId="701AF530" w:rsidR="00751B98" w:rsidRPr="00D739A7" w:rsidRDefault="00DB526B"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83</w:t>
      </w:r>
      <w:r w:rsidRPr="00D739A7">
        <w:fldChar w:fldCharType="end"/>
      </w:r>
      <w:r w:rsidR="00751B98" w:rsidRPr="00D739A7">
        <w:t>. Enrolment rate in mainstream education, based on the enrolled school population (%)</w:t>
      </w:r>
    </w:p>
    <w:p w14:paraId="5AC6F51B"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0A6E26">
          <w:type w:val="continuous"/>
          <w:pgSz w:w="11899" w:h="16838"/>
          <w:pgMar w:top="1134" w:right="1551" w:bottom="1276" w:left="1418" w:header="709" w:footer="709" w:gutter="0"/>
          <w:cols w:num="2" w:space="710" w:equalWidth="0">
            <w:col w:w="3333" w:space="710"/>
            <w:col w:w="4887"/>
          </w:cols>
          <w:docGrid w:linePitch="360"/>
        </w:sectPr>
      </w:pPr>
    </w:p>
    <w:p w14:paraId="1DB5F4F6" w14:textId="53AEED14" w:rsidR="00751B98" w:rsidRPr="00D739A7" w:rsidRDefault="00436B97" w:rsidP="004A29D9">
      <w:pPr>
        <w:pStyle w:val="Agency-heading-2-report"/>
        <w:sectPr w:rsidR="00751B98" w:rsidRPr="00D739A7" w:rsidSect="00751B98">
          <w:pgSz w:w="11899" w:h="16838"/>
          <w:pgMar w:top="1134" w:right="1551" w:bottom="1276" w:left="1418" w:header="709" w:footer="709" w:gutter="0"/>
          <w:cols w:space="708"/>
          <w:docGrid w:linePitch="360"/>
        </w:sectPr>
      </w:pPr>
      <w:bookmarkStart w:id="74" w:name="_Toc35943062"/>
      <w:r w:rsidRPr="00D739A7">
        <w:lastRenderedPageBreak/>
        <w:t>Indicator </w:t>
      </w:r>
      <w:r w:rsidR="00903978" w:rsidRPr="00D739A7">
        <w:t>3.</w:t>
      </w:r>
      <w:r w:rsidRPr="00D739A7">
        <w:t>1</w:t>
      </w:r>
      <w:r w:rsidR="00751B98" w:rsidRPr="00D739A7">
        <w:t>.2: the enrolment rate in inclusive education, based on the enrolled school population (%)</w:t>
      </w:r>
      <w:bookmarkEnd w:id="74"/>
    </w:p>
    <w:p w14:paraId="68834746" w14:textId="77777777" w:rsidR="00751B98" w:rsidRPr="00D739A7" w:rsidRDefault="00751B98" w:rsidP="0015273A">
      <w:pPr>
        <w:pStyle w:val="Agency-body-text-report"/>
      </w:pPr>
      <w:r w:rsidRPr="00D739A7">
        <w:t>The data shows learners who are or are not in inclusive education.</w:t>
      </w:r>
    </w:p>
    <w:p w14:paraId="0F523454" w14:textId="77777777" w:rsidR="00751B98" w:rsidRPr="00D739A7" w:rsidRDefault="00751B98" w:rsidP="0015273A">
      <w:pPr>
        <w:pStyle w:val="Agency-body-text-report"/>
      </w:pPr>
      <w:r w:rsidRPr="00D739A7">
        <w:t>In most countries, enrolment in inclusive education implies placement in a mainstream class in line with the 80% time placement benchmark, or the various proxies for this benchmark.</w:t>
      </w:r>
    </w:p>
    <w:p w14:paraId="5FAE4392" w14:textId="77777777" w:rsidR="00751B98" w:rsidRPr="00D739A7" w:rsidRDefault="00751B98" w:rsidP="0015273A">
      <w:pPr>
        <w:pStyle w:val="Agency-body-text-report"/>
      </w:pPr>
      <w:r w:rsidRPr="00D739A7">
        <w:t>Those learners who are not in inclusive settings are in separate classes in mainstream schools, fully separate special schools, non-formal education run by health or social services, etc., or are out-of-school learners.</w:t>
      </w:r>
    </w:p>
    <w:p w14:paraId="3B6315B3" w14:textId="77777777" w:rsidR="00751B98" w:rsidRPr="00D739A7" w:rsidRDefault="00751B98" w:rsidP="0015273A">
      <w:pPr>
        <w:pStyle w:val="Agency-body-text-report"/>
      </w:pPr>
      <w:r w:rsidRPr="00D739A7">
        <w:t>This indicator has been calculated as follows: The number of learners who are enrolled in mainstream classes for at least 80% of the time (Q1.5) / The number of learners who are enrolled in all formal educational settings (Q1.2) x 100.</w:t>
      </w:r>
    </w:p>
    <w:p w14:paraId="63444FD0" w14:textId="38A4078C" w:rsidR="00751B98" w:rsidRPr="00D739A7" w:rsidRDefault="00751B98" w:rsidP="0015273A">
      <w:pPr>
        <w:pStyle w:val="Agency-body-text-report"/>
      </w:pPr>
      <w:r w:rsidRPr="00D739A7">
        <w:t>Data is available from 2</w:t>
      </w:r>
      <w:r w:rsidR="00CB379E" w:rsidRPr="00D739A7">
        <w:t>6</w:t>
      </w:r>
      <w:r w:rsidRPr="00D739A7">
        <w:t xml:space="preserve"> countries.</w:t>
      </w:r>
    </w:p>
    <w:p w14:paraId="4EB6CBF5" w14:textId="3ED995CD" w:rsidR="00751B98" w:rsidRPr="00D739A7" w:rsidRDefault="00751B98" w:rsidP="0015273A">
      <w:pPr>
        <w:pStyle w:val="Agency-body-text-report"/>
      </w:pPr>
      <w:r w:rsidRPr="00D739A7">
        <w:t xml:space="preserve">The inclusive enrolment rates range from </w:t>
      </w:r>
      <w:r w:rsidR="00CB379E" w:rsidRPr="00D739A7">
        <w:t>60.98</w:t>
      </w:r>
      <w:r w:rsidRPr="00D739A7">
        <w:t xml:space="preserve">% to </w:t>
      </w:r>
      <w:r w:rsidR="00CB379E" w:rsidRPr="00D739A7">
        <w:t>100</w:t>
      </w:r>
      <w:r w:rsidR="0015273A" w:rsidRPr="00D739A7">
        <w:t>.00</w:t>
      </w:r>
      <w:r w:rsidRPr="00D739A7">
        <w:t>%; the total average for the 2</w:t>
      </w:r>
      <w:r w:rsidR="00CB379E" w:rsidRPr="00D739A7">
        <w:t>6</w:t>
      </w:r>
      <w:r w:rsidRPr="00D739A7">
        <w:t xml:space="preserve"> countries is 9</w:t>
      </w:r>
      <w:r w:rsidR="00CB379E" w:rsidRPr="00D739A7">
        <w:t>6.88</w:t>
      </w:r>
      <w:r w:rsidRPr="00D739A7">
        <w:t>%.</w:t>
      </w:r>
    </w:p>
    <w:p w14:paraId="6B7B0684" w14:textId="5A18EA3D" w:rsidR="00751B98" w:rsidRPr="00D739A7" w:rsidRDefault="00CB379E" w:rsidP="00CB379E">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73BCA38D" wp14:editId="17D5AE8D">
            <wp:extent cx="3060700" cy="7061703"/>
            <wp:effectExtent l="0" t="0" r="12700" b="12700"/>
            <wp:docPr id="99" name="Diagram 99" descr="Austria 98.42&#10;Belgium (Fl) 60.98&#10;Bulgaria 99.43&#10;Cyprus 99.23&#10;Czech Republic 97.86&#10;Estonia 99.79&#10;France 99.72&#10;Germany 94.77&#10;Greece 99.59&#10;Hungary 84.79&#10;Ireland 98.87&#10;Italy 99.98&#10;Latvia 99.44&#10;Lithuania 98.83&#10;Luxembourg 99.09&#10;Netherlands 100.00&#10;Poland 97.98&#10;Portugal 92.22&#10;Serbia 99.04&#10;Slovakia 96.02&#10;Slovenia 95.39&#10;Spain 100.00&#10;Sweden 98.32&#10;UK (England) 96.64&#10;UK (N. Ireland) 97.64&#10;UK (Scotland) 97.68&#10;Total average (26 countries) 96.88">
              <a:extLst xmlns:a="http://schemas.openxmlformats.org/drawingml/2006/main">
                <a:ext uri="{FF2B5EF4-FFF2-40B4-BE49-F238E27FC236}">
                  <a16:creationId xmlns:a16="http://schemas.microsoft.com/office/drawing/2014/main" id="{2EF66CC5-D3E1-4882-8ACF-CDFD22634B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9B5DEA0" w14:textId="26EDC950" w:rsidR="00751B98" w:rsidRPr="00D739A7" w:rsidRDefault="00DB526B" w:rsidP="004A29D9">
      <w:pPr>
        <w:pStyle w:val="Agency-caption-report"/>
        <w:rPr>
          <w:b w:val="0"/>
          <w:bCs w:val="0"/>
        </w:rPr>
        <w:sectPr w:rsidR="00751B98" w:rsidRPr="00D739A7" w:rsidSect="000A6E26">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84</w:t>
      </w:r>
      <w:r w:rsidRPr="00D739A7">
        <w:fldChar w:fldCharType="end"/>
      </w:r>
      <w:r w:rsidR="00751B98" w:rsidRPr="00D739A7">
        <w:t>. Enrolment rate in inclusive education, based on the enrolled school population (%)</w:t>
      </w:r>
    </w:p>
    <w:p w14:paraId="012A96E4" w14:textId="77CF76AA" w:rsidR="00751B98" w:rsidRPr="00D739A7" w:rsidRDefault="00903978" w:rsidP="004A29D9">
      <w:pPr>
        <w:pStyle w:val="Agency-heading-1-report"/>
      </w:pPr>
      <w:bookmarkStart w:id="75" w:name="_Toc35943063"/>
      <w:r w:rsidRPr="00D739A7">
        <w:lastRenderedPageBreak/>
        <w:t>3.</w:t>
      </w:r>
      <w:r w:rsidR="00751B98" w:rsidRPr="00D739A7">
        <w:t>2. Age Samples</w:t>
      </w:r>
      <w:bookmarkEnd w:id="75"/>
    </w:p>
    <w:p w14:paraId="327BFA0B" w14:textId="77777777" w:rsidR="00550DA8" w:rsidRPr="00D739A7" w:rsidRDefault="00751B98" w:rsidP="004A29D9">
      <w:pPr>
        <w:pStyle w:val="Agency-body-text-report"/>
      </w:pPr>
      <w:r w:rsidRPr="00D739A7">
        <w:t xml:space="preserve">There are </w:t>
      </w:r>
      <w:r w:rsidR="00D74B28" w:rsidRPr="00D739A7">
        <w:t>two</w:t>
      </w:r>
      <w:r w:rsidRPr="00D739A7">
        <w:t xml:space="preserve"> agreed indicators for this area, </w:t>
      </w:r>
      <w:r w:rsidR="0015273A" w:rsidRPr="00D739A7">
        <w:t xml:space="preserve">both </w:t>
      </w:r>
      <w:r w:rsidRPr="00D739A7">
        <w:t xml:space="preserve">based on the enrolled school population of </w:t>
      </w:r>
      <w:r w:rsidR="00D74B28" w:rsidRPr="00D739A7">
        <w:t>17-year-olds</w:t>
      </w:r>
      <w:r w:rsidRPr="00D739A7">
        <w:t>.</w:t>
      </w:r>
    </w:p>
    <w:p w14:paraId="34AE549B" w14:textId="21E03C74" w:rsidR="00751B98" w:rsidRPr="00D739A7" w:rsidRDefault="00751B98" w:rsidP="004A29D9">
      <w:pPr>
        <w:pStyle w:val="Agency-body-text-report"/>
      </w:pPr>
      <w:r w:rsidRPr="00D739A7">
        <w:t xml:space="preserve">The data focuses on </w:t>
      </w:r>
      <w:r w:rsidR="0015273A" w:rsidRPr="00D739A7">
        <w:t xml:space="preserve">an </w:t>
      </w:r>
      <w:r w:rsidRPr="00D739A7">
        <w:t xml:space="preserve">age sample in line with the two indicators presented in the previous section – learners aged </w:t>
      </w:r>
      <w:r w:rsidR="00D74B28" w:rsidRPr="00D739A7">
        <w:t>17</w:t>
      </w:r>
      <w:r w:rsidRPr="00D739A7">
        <w:t xml:space="preserve"> </w:t>
      </w:r>
      <w:r w:rsidR="0015273A" w:rsidRPr="00D739A7">
        <w:t xml:space="preserve">who are </w:t>
      </w:r>
      <w:r w:rsidRPr="00D739A7">
        <w:t>educated in mainstream and inclusive settings.</w:t>
      </w:r>
    </w:p>
    <w:p w14:paraId="1EF08F29" w14:textId="28776314" w:rsidR="00751B98" w:rsidRPr="00D739A7" w:rsidRDefault="00751B98" w:rsidP="004A29D9">
      <w:pPr>
        <w:pStyle w:val="Agency-body-text-report"/>
      </w:pPr>
      <w:r w:rsidRPr="00D739A7">
        <w:t xml:space="preserve">The age sample indicators also focus on mainstream and inclusive education in the broadest sense. They are calculated based on data for all learners aged </w:t>
      </w:r>
      <w:r w:rsidR="00D74B28" w:rsidRPr="00D739A7">
        <w:t>17</w:t>
      </w:r>
      <w:r w:rsidRPr="00D739A7">
        <w:t xml:space="preserve"> who are eligible to be in education.</w:t>
      </w:r>
    </w:p>
    <w:p w14:paraId="3C52DB71" w14:textId="77777777" w:rsidR="00751B98" w:rsidRPr="00D739A7" w:rsidRDefault="00751B98" w:rsidP="004A29D9">
      <w:pPr>
        <w:pStyle w:val="Agency-body-text-report"/>
        <w:keepNext/>
      </w:pPr>
      <w:r w:rsidRPr="00D739A7">
        <w:t>The data provided within this table focuses on age-based samples. Within these samples, it explores:</w:t>
      </w:r>
    </w:p>
    <w:p w14:paraId="51B95B69" w14:textId="35125ECC" w:rsidR="00751B98" w:rsidRPr="00D739A7" w:rsidRDefault="00D74B28" w:rsidP="004A29D9">
      <w:pPr>
        <w:pStyle w:val="Agency-body-text-report"/>
        <w:numPr>
          <w:ilvl w:val="0"/>
          <w:numId w:val="54"/>
        </w:numPr>
      </w:pPr>
      <w:r w:rsidRPr="00D739A7">
        <w:t>17</w:t>
      </w:r>
      <w:r w:rsidR="00751B98" w:rsidRPr="00D739A7">
        <w:t>-year-olds who are in mainstream education or not;</w:t>
      </w:r>
    </w:p>
    <w:p w14:paraId="4EF4B16C" w14:textId="5C01EB62" w:rsidR="00751B98" w:rsidRPr="00D739A7" w:rsidRDefault="00D74B28" w:rsidP="004A29D9">
      <w:pPr>
        <w:pStyle w:val="Agency-body-text-report"/>
        <w:numPr>
          <w:ilvl w:val="0"/>
          <w:numId w:val="54"/>
        </w:numPr>
      </w:pPr>
      <w:r w:rsidRPr="00D739A7">
        <w:t>17</w:t>
      </w:r>
      <w:r w:rsidR="00751B98" w:rsidRPr="00D739A7">
        <w:t>-year-olds who are in an inclusive setting or not.</w:t>
      </w:r>
    </w:p>
    <w:p w14:paraId="1C4753C1" w14:textId="77777777" w:rsidR="00751B98" w:rsidRPr="00D739A7" w:rsidRDefault="00751B98" w:rsidP="004A29D9">
      <w:pPr>
        <w:pStyle w:val="Agency-body-text-report"/>
        <w:keepNext/>
      </w:pPr>
      <w:r w:rsidRPr="00D739A7">
        <w:t>The data collected provides age sample information on:</w:t>
      </w:r>
    </w:p>
    <w:p w14:paraId="7764CC95" w14:textId="77777777" w:rsidR="00751B98" w:rsidRPr="00D739A7" w:rsidRDefault="00751B98" w:rsidP="004A29D9">
      <w:pPr>
        <w:pStyle w:val="Agency-body-text-report"/>
        <w:numPr>
          <w:ilvl w:val="0"/>
          <w:numId w:val="55"/>
        </w:numPr>
      </w:pPr>
      <w:r w:rsidRPr="00D739A7">
        <w:t>access to education;</w:t>
      </w:r>
    </w:p>
    <w:p w14:paraId="7109562E" w14:textId="77777777" w:rsidR="00751B98" w:rsidRPr="00D739A7" w:rsidRDefault="00751B98" w:rsidP="004A29D9">
      <w:pPr>
        <w:pStyle w:val="Agency-body-text-report"/>
        <w:numPr>
          <w:ilvl w:val="0"/>
          <w:numId w:val="55"/>
        </w:numPr>
      </w:pPr>
      <w:r w:rsidRPr="00D739A7">
        <w:t>the placement of learners in inclusive settings or elsewhere.</w:t>
      </w:r>
    </w:p>
    <w:p w14:paraId="0E3C0BD7" w14:textId="50AFE631" w:rsidR="00751B98" w:rsidRPr="00D739A7" w:rsidRDefault="00751B98" w:rsidP="004A29D9">
      <w:pPr>
        <w:pStyle w:val="Agency-body-text-report"/>
      </w:pPr>
      <w:r w:rsidRPr="00D739A7">
        <w:br w:type="page"/>
      </w:r>
    </w:p>
    <w:p w14:paraId="309EE497" w14:textId="7445C88F" w:rsidR="00751B98" w:rsidRPr="00D739A7" w:rsidRDefault="00436B97" w:rsidP="004A29D9">
      <w:pPr>
        <w:pStyle w:val="Agency-heading-2-report"/>
      </w:pPr>
      <w:bookmarkStart w:id="76" w:name="_Toc35943064"/>
      <w:r w:rsidRPr="00D739A7">
        <w:lastRenderedPageBreak/>
        <w:t>Indicator </w:t>
      </w:r>
      <w:r w:rsidR="00903978" w:rsidRPr="00D739A7">
        <w:t>3.</w:t>
      </w:r>
      <w:r w:rsidRPr="00D739A7">
        <w:t>2</w:t>
      </w:r>
      <w:r w:rsidR="00751B98" w:rsidRPr="00D739A7">
        <w:t xml:space="preserve">.1: the age sample enrolment rate in mainstream education for </w:t>
      </w:r>
      <w:r w:rsidR="00D74B28" w:rsidRPr="00D739A7">
        <w:t>17</w:t>
      </w:r>
      <w:r w:rsidR="00751B98" w:rsidRPr="00D739A7">
        <w:t xml:space="preserve">-year-olds, based on the enrolled school population of </w:t>
      </w:r>
      <w:r w:rsidR="00D74B28" w:rsidRPr="00D739A7">
        <w:t>17</w:t>
      </w:r>
      <w:r w:rsidR="00751B98" w:rsidRPr="00D739A7">
        <w:t>-year-olds (%)</w:t>
      </w:r>
      <w:bookmarkEnd w:id="76"/>
    </w:p>
    <w:p w14:paraId="5AB43225"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type w:val="continuous"/>
          <w:pgSz w:w="11899" w:h="16838"/>
          <w:pgMar w:top="1134" w:right="1551" w:bottom="1276" w:left="1418" w:header="709" w:footer="709" w:gutter="0"/>
          <w:cols w:space="708"/>
          <w:docGrid w:linePitch="360"/>
        </w:sectPr>
      </w:pPr>
    </w:p>
    <w:p w14:paraId="4DF4A59C" w14:textId="3B255F7B" w:rsidR="00751B98" w:rsidRPr="00D739A7" w:rsidRDefault="00751B98" w:rsidP="00AF1019">
      <w:pPr>
        <w:pStyle w:val="Agency-body-text-report"/>
      </w:pPr>
      <w:r w:rsidRPr="00D739A7">
        <w:t xml:space="preserve">The data shows </w:t>
      </w:r>
      <w:r w:rsidR="00D74B28" w:rsidRPr="00D739A7">
        <w:t>17</w:t>
      </w:r>
      <w:r w:rsidRPr="00D739A7">
        <w:t>-year-old learners who are or are not in mainstream education.</w:t>
      </w:r>
    </w:p>
    <w:p w14:paraId="3D82284A" w14:textId="14E17766" w:rsidR="00751B98" w:rsidRPr="00D739A7" w:rsidRDefault="00751B98" w:rsidP="00AF1019">
      <w:pPr>
        <w:pStyle w:val="Agency-body-text-report"/>
      </w:pPr>
      <w:r w:rsidRPr="00D739A7">
        <w:t>In most countries, enrolment in mainstream education implies placement in a mainstream class, or placement in a separate special class within a mainstream school. Those learners who are not in mainstream settings are in fully separate special schools, non</w:t>
      </w:r>
      <w:r w:rsidR="0039729C" w:rsidRPr="00D739A7">
        <w:noBreakHyphen/>
      </w:r>
      <w:r w:rsidRPr="00D739A7">
        <w:t>formal education run by health or social services, etc., or are out-of-school learners.</w:t>
      </w:r>
    </w:p>
    <w:p w14:paraId="455077D3" w14:textId="2B11305E" w:rsidR="00751B98" w:rsidRPr="00D739A7" w:rsidRDefault="00751B98" w:rsidP="00AF1019">
      <w:pPr>
        <w:pStyle w:val="Agency-body-text-report"/>
      </w:pPr>
      <w:r w:rsidRPr="00D739A7">
        <w:t xml:space="preserve">This indicator has been calculated as follows: The number of </w:t>
      </w:r>
      <w:r w:rsidR="0039729C" w:rsidRPr="00D739A7">
        <w:t>17</w:t>
      </w:r>
      <w:r w:rsidR="0039729C" w:rsidRPr="00D739A7">
        <w:noBreakHyphen/>
      </w:r>
      <w:r w:rsidRPr="00D739A7">
        <w:t xml:space="preserve">year-olds who are enrolled in mainstream formal educational settings (Q2.4) / The number of </w:t>
      </w:r>
      <w:r w:rsidR="0039729C" w:rsidRPr="00D739A7">
        <w:t>17</w:t>
      </w:r>
      <w:r w:rsidRPr="00D739A7">
        <w:t>-year-olds who are enrolled in all formal educational settings (Q2.2) x 100.</w:t>
      </w:r>
    </w:p>
    <w:p w14:paraId="3B11A46E" w14:textId="49B64FC2" w:rsidR="00751B98" w:rsidRPr="00D739A7" w:rsidRDefault="00751B98" w:rsidP="00AF1019">
      <w:pPr>
        <w:pStyle w:val="Agency-body-text-report"/>
      </w:pPr>
      <w:r w:rsidRPr="00D739A7">
        <w:t>Data is available from 2</w:t>
      </w:r>
      <w:r w:rsidR="00CB379E" w:rsidRPr="00D739A7">
        <w:t>2</w:t>
      </w:r>
      <w:r w:rsidRPr="00D739A7">
        <w:t xml:space="preserve"> countries.</w:t>
      </w:r>
    </w:p>
    <w:p w14:paraId="2EDDF471" w14:textId="4D793F78" w:rsidR="00751B98" w:rsidRPr="00D739A7" w:rsidRDefault="00751B98" w:rsidP="00AF1019">
      <w:pPr>
        <w:pStyle w:val="Agency-body-text-report"/>
      </w:pPr>
      <w:r w:rsidRPr="00D739A7">
        <w:t>Across the 2</w:t>
      </w:r>
      <w:r w:rsidR="0039729C" w:rsidRPr="00D739A7">
        <w:t>2</w:t>
      </w:r>
      <w:r w:rsidRPr="00D739A7">
        <w:t xml:space="preserve"> countries, the enrolment rate in mainstream education for </w:t>
      </w:r>
      <w:r w:rsidR="00CB379E" w:rsidRPr="00D739A7">
        <w:t>17</w:t>
      </w:r>
      <w:r w:rsidRPr="00D739A7">
        <w:t xml:space="preserve">-year-olds ranges from </w:t>
      </w:r>
      <w:r w:rsidR="00CB379E" w:rsidRPr="00D739A7">
        <w:t>66.29</w:t>
      </w:r>
      <w:r w:rsidRPr="00D739A7">
        <w:t>% to 99.98%; the total average for the 2</w:t>
      </w:r>
      <w:r w:rsidR="00CB379E" w:rsidRPr="00D739A7">
        <w:t>2</w:t>
      </w:r>
      <w:r w:rsidRPr="00D739A7">
        <w:t xml:space="preserve"> countries is 9</w:t>
      </w:r>
      <w:r w:rsidR="00CB379E" w:rsidRPr="00D739A7">
        <w:t>7.06</w:t>
      </w:r>
      <w:r w:rsidRPr="00D739A7">
        <w:t>%.</w:t>
      </w:r>
    </w:p>
    <w:p w14:paraId="0D193635" w14:textId="71CFA3C5" w:rsidR="00751B98" w:rsidRPr="00D739A7" w:rsidRDefault="00CB379E" w:rsidP="00842D63">
      <w:pPr>
        <w:keepNext/>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5953D455" wp14:editId="02BFD11D">
            <wp:extent cx="3103880" cy="6944008"/>
            <wp:effectExtent l="0" t="0" r="7620" b="15875"/>
            <wp:docPr id="101" name="Diagram 101" descr="Belgium (Fl) 93.75&#10;Bulgaria 99.54&#10;Cyprus 99.69&#10;Czech Republic 98.17&#10;Estonia 97.98&#10;Greece 99.19&#10;Hungary 80.63&#10;Ireland 92.87&#10;Italy 99.98&#10;Latvia 66.29&#10;Lithuania 98.86&#10;Luxembourg 99.59&#10;Netherlands 97.34&#10;Poland 94.75&#10;Portugal 99.86&#10;Slovakia 96.07&#10;Slovenia 97.89&#10;Spain 99.39&#10;UK (England) 97.26&#10;UK (N. Ireland) 98.20&#10;UK (Scotland) 98.43&#10;UK (Wales) 89.26&#10;Total average (22 countries) 97.06">
              <a:extLst xmlns:a="http://schemas.openxmlformats.org/drawingml/2006/main">
                <a:ext uri="{FF2B5EF4-FFF2-40B4-BE49-F238E27FC236}">
                  <a16:creationId xmlns:a16="http://schemas.microsoft.com/office/drawing/2014/main" id="{A31242C2-BB97-4B96-9271-CA58816BFD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B413C70" w14:textId="61622EF8" w:rsidR="00751B98" w:rsidRPr="00D739A7" w:rsidRDefault="00DB526B" w:rsidP="004A29D9">
      <w:pPr>
        <w:pStyle w:val="Agency-caption-report"/>
        <w:rPr>
          <w:b w:val="0"/>
          <w:bCs w:val="0"/>
        </w:rPr>
        <w:sectPr w:rsidR="00751B98" w:rsidRPr="00D739A7" w:rsidSect="000A6E26">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85</w:t>
      </w:r>
      <w:r w:rsidRPr="00D739A7">
        <w:fldChar w:fldCharType="end"/>
      </w:r>
      <w:r w:rsidR="00751B98" w:rsidRPr="00D739A7">
        <w:t xml:space="preserve">. Age sample enrolment rate in mainstream education for </w:t>
      </w:r>
      <w:r w:rsidR="00D74B28" w:rsidRPr="00D739A7">
        <w:t>17</w:t>
      </w:r>
      <w:r w:rsidR="00751B98" w:rsidRPr="00D739A7">
        <w:t xml:space="preserve">-year-olds, based on the enrolled school population of </w:t>
      </w:r>
      <w:r w:rsidR="00D74B28" w:rsidRPr="00D739A7">
        <w:t>17</w:t>
      </w:r>
      <w:r w:rsidR="00751B98" w:rsidRPr="00D739A7">
        <w:t>-year-olds (%)</w:t>
      </w:r>
    </w:p>
    <w:p w14:paraId="6BFC829F" w14:textId="19AE2FAD" w:rsidR="00751B98" w:rsidRPr="00D739A7" w:rsidRDefault="00436B97" w:rsidP="004A29D9">
      <w:pPr>
        <w:pStyle w:val="Agency-heading-2-report"/>
        <w:rPr>
          <w:b w:val="0"/>
        </w:rPr>
        <w:sectPr w:rsidR="00751B98" w:rsidRPr="00D739A7" w:rsidSect="00751B98">
          <w:pgSz w:w="11899" w:h="16838"/>
          <w:pgMar w:top="1134" w:right="1551" w:bottom="1276" w:left="1418" w:header="709" w:footer="709" w:gutter="0"/>
          <w:cols w:space="710"/>
          <w:docGrid w:linePitch="360"/>
        </w:sectPr>
      </w:pPr>
      <w:bookmarkStart w:id="77" w:name="_Toc35943065"/>
      <w:r w:rsidRPr="00D739A7">
        <w:lastRenderedPageBreak/>
        <w:t>Indicator </w:t>
      </w:r>
      <w:r w:rsidR="00903978" w:rsidRPr="00D739A7">
        <w:t>3.</w:t>
      </w:r>
      <w:r w:rsidRPr="00D739A7">
        <w:t>2</w:t>
      </w:r>
      <w:r w:rsidR="00751B98" w:rsidRPr="00D739A7">
        <w:t>.</w:t>
      </w:r>
      <w:r w:rsidR="002F6D36" w:rsidRPr="00D739A7">
        <w:t>2</w:t>
      </w:r>
      <w:r w:rsidR="00751B98" w:rsidRPr="00D739A7">
        <w:t xml:space="preserve">: the age sample enrolment rate in inclusive education for </w:t>
      </w:r>
      <w:r w:rsidR="00D74B28" w:rsidRPr="00D739A7">
        <w:t>17</w:t>
      </w:r>
      <w:r w:rsidR="00751B98" w:rsidRPr="00D739A7">
        <w:t xml:space="preserve">-year-olds, based on the enrolled school population of </w:t>
      </w:r>
      <w:r w:rsidR="00D74B28" w:rsidRPr="00D739A7">
        <w:t>17</w:t>
      </w:r>
      <w:r w:rsidR="00751B98" w:rsidRPr="00D739A7">
        <w:t>-year-olds (%)</w:t>
      </w:r>
      <w:bookmarkEnd w:id="77"/>
    </w:p>
    <w:p w14:paraId="512BED5F" w14:textId="453C47D9" w:rsidR="00751B98" w:rsidRPr="00D739A7" w:rsidRDefault="00751B98" w:rsidP="00F463C3">
      <w:pPr>
        <w:pStyle w:val="Agency-body-text-report"/>
      </w:pPr>
      <w:r w:rsidRPr="00D739A7">
        <w:t xml:space="preserve">The data shows </w:t>
      </w:r>
      <w:r w:rsidR="00D74B28" w:rsidRPr="00D739A7">
        <w:t>17</w:t>
      </w:r>
      <w:r w:rsidRPr="00D739A7">
        <w:t>-year-old learners who are or are not in inclusive education.</w:t>
      </w:r>
    </w:p>
    <w:p w14:paraId="1D3E26A9" w14:textId="77777777" w:rsidR="00751B98" w:rsidRPr="00D739A7" w:rsidRDefault="00751B98" w:rsidP="00F463C3">
      <w:pPr>
        <w:pStyle w:val="Agency-body-text-report"/>
      </w:pPr>
      <w:r w:rsidRPr="00D739A7">
        <w:t>In most countries, enrolment in inclusive education implies placement in a mainstream class in line with the 80% time placement benchmark, or the various proxies for this benchmark.</w:t>
      </w:r>
    </w:p>
    <w:p w14:paraId="745DF05E" w14:textId="5D39B09C" w:rsidR="00751B98" w:rsidRPr="00D739A7" w:rsidRDefault="00751B98" w:rsidP="00F463C3">
      <w:pPr>
        <w:pStyle w:val="Agency-body-text-report"/>
      </w:pPr>
      <w:r w:rsidRPr="00D739A7">
        <w:t xml:space="preserve">Those </w:t>
      </w:r>
      <w:r w:rsidR="00D74B28" w:rsidRPr="00D739A7">
        <w:t>17</w:t>
      </w:r>
      <w:r w:rsidRPr="00D739A7">
        <w:t>-year-old learners who are not in inclusive settings are in separate classes in mainstream schools, fully separate special schools, non-formal education run by health or social services, etc., or are out-of-school learners.</w:t>
      </w:r>
    </w:p>
    <w:p w14:paraId="52DB3138" w14:textId="6C70F79B" w:rsidR="00751B98" w:rsidRPr="00D739A7" w:rsidRDefault="00751B98" w:rsidP="00F463C3">
      <w:pPr>
        <w:pStyle w:val="Agency-body-text-report"/>
      </w:pPr>
      <w:r w:rsidRPr="00D739A7">
        <w:t xml:space="preserve">This indicator has been calculated as follows: The number of </w:t>
      </w:r>
      <w:r w:rsidR="00F463C3" w:rsidRPr="00D739A7">
        <w:t>17</w:t>
      </w:r>
      <w:r w:rsidR="00F463C3" w:rsidRPr="00D739A7">
        <w:noBreakHyphen/>
      </w:r>
      <w:r w:rsidRPr="00D739A7">
        <w:t xml:space="preserve">year-olds who are enrolled and educated in mainstream classes for at least 80% of the time (Q2.5) / The number of </w:t>
      </w:r>
      <w:r w:rsidR="00F463C3" w:rsidRPr="00D739A7">
        <w:t>17</w:t>
      </w:r>
      <w:r w:rsidR="00F463C3" w:rsidRPr="00D739A7">
        <w:noBreakHyphen/>
      </w:r>
      <w:r w:rsidRPr="00D739A7">
        <w:t>year-olds who are enrolled in all formal educational settings (Q2.2) x 100.</w:t>
      </w:r>
    </w:p>
    <w:p w14:paraId="3DFC20EA" w14:textId="1903C12C" w:rsidR="00751B98" w:rsidRPr="00D739A7" w:rsidRDefault="00751B98" w:rsidP="00F463C3">
      <w:pPr>
        <w:pStyle w:val="Agency-body-text-report"/>
      </w:pPr>
      <w:r w:rsidRPr="00D739A7">
        <w:t xml:space="preserve">Data is available from </w:t>
      </w:r>
      <w:r w:rsidR="00213227" w:rsidRPr="00D739A7">
        <w:t>18</w:t>
      </w:r>
      <w:r w:rsidRPr="00D739A7">
        <w:t xml:space="preserve"> countries.</w:t>
      </w:r>
    </w:p>
    <w:p w14:paraId="0C87763F" w14:textId="2CAE5D3A" w:rsidR="00751B98" w:rsidRPr="00D739A7" w:rsidRDefault="00751B98" w:rsidP="00F463C3">
      <w:pPr>
        <w:pStyle w:val="Agency-body-text-report"/>
      </w:pPr>
      <w:r w:rsidRPr="00D739A7">
        <w:t xml:space="preserve">The inclusive enrolment rates </w:t>
      </w:r>
      <w:r w:rsidR="00CB379E" w:rsidRPr="00D739A7">
        <w:t xml:space="preserve">for 17-year-olds </w:t>
      </w:r>
      <w:r w:rsidRPr="00D739A7">
        <w:t>range from 93.7</w:t>
      </w:r>
      <w:r w:rsidR="00213227" w:rsidRPr="00D739A7">
        <w:t>5</w:t>
      </w:r>
      <w:r w:rsidRPr="00D739A7">
        <w:t xml:space="preserve">% to 99.98%; the total average for the </w:t>
      </w:r>
      <w:r w:rsidR="00213227" w:rsidRPr="00D739A7">
        <w:t>18</w:t>
      </w:r>
      <w:r w:rsidRPr="00D739A7">
        <w:t xml:space="preserve"> countries is 98.</w:t>
      </w:r>
      <w:r w:rsidR="00213227" w:rsidRPr="00D739A7">
        <w:t>35</w:t>
      </w:r>
      <w:r w:rsidRPr="00D739A7">
        <w:t>%.</w:t>
      </w:r>
    </w:p>
    <w:p w14:paraId="036AB959" w14:textId="12EF7619" w:rsidR="00213227" w:rsidRPr="00D739A7" w:rsidRDefault="00F463C3" w:rsidP="00213227">
      <w:pPr>
        <w:spacing w:before="120" w:after="120" w:line="240" w:lineRule="auto"/>
        <w:rPr>
          <w:rFonts w:ascii="Calibri" w:eastAsia="Times New Roman" w:hAnsi="Calibri" w:cs="Calibri"/>
          <w:b/>
          <w:bCs/>
          <w:color w:val="000000"/>
          <w:szCs w:val="18"/>
          <w:lang w:val="en-GB"/>
        </w:rPr>
      </w:pPr>
      <w:r w:rsidRPr="00D739A7">
        <w:rPr>
          <w:rFonts w:ascii="Calibri" w:eastAsia="Times New Roman" w:hAnsi="Calibri" w:cs="Calibri"/>
          <w:color w:val="000000"/>
          <w:lang w:val="en-GB"/>
        </w:rPr>
        <w:br w:type="column"/>
      </w:r>
      <w:r w:rsidR="00CB379E" w:rsidRPr="00D739A7">
        <w:rPr>
          <w:rFonts w:ascii="Calibri" w:hAnsi="Calibri" w:cs="Calibri"/>
          <w:noProof/>
          <w:lang w:val="en-GB"/>
        </w:rPr>
        <w:drawing>
          <wp:inline distT="0" distB="0" distL="0" distR="0" wp14:anchorId="752E2303" wp14:editId="28709044">
            <wp:extent cx="3107055" cy="6717671"/>
            <wp:effectExtent l="0" t="0" r="17145" b="13335"/>
            <wp:docPr id="102" name="Diagram 102" descr="Belgium (Fl) 93.75&#10;Bulgaria 99.54&#10;Cyprus 99.35&#10;Czech Republic 96.89&#10;Germany 98.24&#10;Estonia 97.79&#10;Greece 98.96&#10;Italy 99.98&#10;Lithuania 94.55&#10;Luxembourg 99.24&#10;Netherlands 97.34&#10;Portugal 98.45&#10;Slovakia 95.97&#10;Slovenia 97.89&#10;Spain 99.23&#10;UK (England) 97.14&#10;UK (N. Ireland) 98.18&#10;UK (Scotland) 96.42&#10;Total average (18 countries) 98.35">
              <a:extLst xmlns:a="http://schemas.openxmlformats.org/drawingml/2006/main">
                <a:ext uri="{FF2B5EF4-FFF2-40B4-BE49-F238E27FC236}">
                  <a16:creationId xmlns:a16="http://schemas.microsoft.com/office/drawing/2014/main" id="{7EE91EDD-2312-465A-8E5E-DD6B2E2DDA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60000FE" w14:textId="29A52EED" w:rsidR="00F463C3" w:rsidRPr="00D739A7" w:rsidRDefault="00DB526B" w:rsidP="004A29D9">
      <w:pPr>
        <w:pStyle w:val="Agency-caption-report"/>
        <w:rPr>
          <w:b w:val="0"/>
          <w:bCs w:val="0"/>
        </w:rPr>
        <w:sectPr w:rsidR="00F463C3" w:rsidRPr="00D739A7" w:rsidSect="0000679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86</w:t>
      </w:r>
      <w:r w:rsidRPr="00D739A7">
        <w:fldChar w:fldCharType="end"/>
      </w:r>
      <w:r w:rsidR="00751B98" w:rsidRPr="00D739A7">
        <w:t xml:space="preserve">. Age sample enrolment rate in inclusive education for </w:t>
      </w:r>
      <w:r w:rsidR="00D74B28" w:rsidRPr="00D739A7">
        <w:t>17</w:t>
      </w:r>
      <w:r w:rsidR="00751B98" w:rsidRPr="00D739A7">
        <w:t xml:space="preserve">-year-olds, based on the enrolled school population of </w:t>
      </w:r>
      <w:r w:rsidR="00D74B28" w:rsidRPr="00D739A7">
        <w:t>17</w:t>
      </w:r>
      <w:r w:rsidR="00751B98" w:rsidRPr="00D739A7">
        <w:t>-year-olds (%)</w:t>
      </w:r>
    </w:p>
    <w:p w14:paraId="718B032E" w14:textId="0AE0C017" w:rsidR="00751B98" w:rsidRPr="00D739A7" w:rsidRDefault="00903978" w:rsidP="004A29D9">
      <w:pPr>
        <w:pStyle w:val="Agency-heading-1-report"/>
      </w:pPr>
      <w:bookmarkStart w:id="78" w:name="_Toc35943066"/>
      <w:r w:rsidRPr="00D739A7">
        <w:lastRenderedPageBreak/>
        <w:t>3.</w:t>
      </w:r>
      <w:r w:rsidR="00751B98" w:rsidRPr="00D739A7">
        <w:t xml:space="preserve">3. Learners with an </w:t>
      </w:r>
      <w:r w:rsidR="007E5357" w:rsidRPr="00D739A7">
        <w:t xml:space="preserve">official decision </w:t>
      </w:r>
      <w:r w:rsidR="00751B98" w:rsidRPr="00D739A7">
        <w:t>of SEN</w:t>
      </w:r>
      <w:bookmarkEnd w:id="78"/>
    </w:p>
    <w:p w14:paraId="72D054FB" w14:textId="77777777" w:rsidR="00550DA8" w:rsidRPr="00D739A7" w:rsidRDefault="00751B98" w:rsidP="002825E1">
      <w:pPr>
        <w:pStyle w:val="Agency-body-text-report"/>
        <w:keepNext/>
      </w:pPr>
      <w:r w:rsidRPr="00D739A7">
        <w:t>There are three groups of indicators for this area, relating to:</w:t>
      </w:r>
    </w:p>
    <w:p w14:paraId="6A280B8B" w14:textId="2B4435CA" w:rsidR="00751B98" w:rsidRPr="00D739A7" w:rsidRDefault="00751B98" w:rsidP="004A29D9">
      <w:pPr>
        <w:pStyle w:val="Agency-body-text-report"/>
        <w:numPr>
          <w:ilvl w:val="0"/>
          <w:numId w:val="56"/>
        </w:numPr>
      </w:pPr>
      <w:r w:rsidRPr="00D739A7">
        <w:t>Identification rates</w:t>
      </w:r>
    </w:p>
    <w:p w14:paraId="1D4FD44D" w14:textId="77777777" w:rsidR="00751B98" w:rsidRPr="00D739A7" w:rsidRDefault="00751B98" w:rsidP="004A29D9">
      <w:pPr>
        <w:pStyle w:val="Agency-body-text-report"/>
        <w:numPr>
          <w:ilvl w:val="0"/>
          <w:numId w:val="56"/>
        </w:numPr>
      </w:pPr>
      <w:r w:rsidRPr="00D739A7">
        <w:t>Distribution of placements of learners with an official decision of SEN, based on the enrolled school population</w:t>
      </w:r>
    </w:p>
    <w:p w14:paraId="1A904AAB" w14:textId="77777777" w:rsidR="00751B98" w:rsidRPr="00D739A7" w:rsidRDefault="00751B98" w:rsidP="004A29D9">
      <w:pPr>
        <w:pStyle w:val="Agency-body-text-report"/>
        <w:numPr>
          <w:ilvl w:val="0"/>
          <w:numId w:val="56"/>
        </w:numPr>
      </w:pPr>
      <w:r w:rsidRPr="00D739A7">
        <w:t>Distribution of placements of learners with an official decision of SEN, based on the population of learners with an official decision of SEN.</w:t>
      </w:r>
    </w:p>
    <w:p w14:paraId="2C8D3A8B" w14:textId="63CD398A" w:rsidR="00751B98" w:rsidRPr="00D739A7" w:rsidRDefault="00751B98" w:rsidP="004A29D9">
      <w:pPr>
        <w:pStyle w:val="Agency-body-text-report"/>
      </w:pPr>
      <w:r w:rsidRPr="00D739A7">
        <w:t>For each of these areas, gender breakdowns and distributions are presented in separate figures.</w:t>
      </w:r>
    </w:p>
    <w:p w14:paraId="410BB7B8" w14:textId="77777777" w:rsidR="00751B98" w:rsidRPr="00D739A7" w:rsidRDefault="00751B98" w:rsidP="004A29D9">
      <w:pPr>
        <w:pStyle w:val="Agency-body-text-report"/>
        <w:sectPr w:rsidR="00751B98" w:rsidRPr="00D739A7" w:rsidSect="00751B98">
          <w:type w:val="continuous"/>
          <w:pgSz w:w="11899" w:h="16838"/>
          <w:pgMar w:top="1134" w:right="1551" w:bottom="1276" w:left="1418" w:header="709" w:footer="709" w:gutter="0"/>
          <w:cols w:space="710"/>
          <w:docGrid w:linePitch="360"/>
        </w:sectPr>
      </w:pPr>
      <w:r w:rsidRPr="00D739A7">
        <w:t>The data presented focuses on learners with an official decision of SEN that is in line with the agreed operational definition of an official decision used in the EASIE data collection work.</w:t>
      </w:r>
    </w:p>
    <w:p w14:paraId="7993E3C9" w14:textId="0E9C4419" w:rsidR="00751B98" w:rsidRPr="00D739A7" w:rsidRDefault="00903978" w:rsidP="004A29D9">
      <w:pPr>
        <w:pStyle w:val="Agency-heading-2-report"/>
      </w:pPr>
      <w:bookmarkStart w:id="79" w:name="_Toc35943067"/>
      <w:r w:rsidRPr="00D739A7">
        <w:lastRenderedPageBreak/>
        <w:t>3.</w:t>
      </w:r>
      <w:r w:rsidR="00751B98" w:rsidRPr="00D739A7">
        <w:t>3a. Identification rates</w:t>
      </w:r>
      <w:bookmarkEnd w:id="79"/>
    </w:p>
    <w:p w14:paraId="39967CF9" w14:textId="724F203E" w:rsidR="00751B98" w:rsidRPr="00D739A7" w:rsidRDefault="00436B97" w:rsidP="004A29D9">
      <w:pPr>
        <w:pStyle w:val="Agency-heading-3-report"/>
        <w:rPr>
          <w:b w:val="0"/>
        </w:rPr>
        <w:sectPr w:rsidR="00751B98" w:rsidRPr="00D739A7" w:rsidSect="00751B98">
          <w:pgSz w:w="11899" w:h="16838"/>
          <w:pgMar w:top="1134" w:right="1551" w:bottom="1276" w:left="1418" w:header="709" w:footer="709" w:gutter="0"/>
          <w:cols w:space="710"/>
          <w:docGrid w:linePitch="360"/>
        </w:sectPr>
      </w:pPr>
      <w:bookmarkStart w:id="80" w:name="_Toc35943068"/>
      <w:r w:rsidRPr="00D739A7">
        <w:t>Indicator </w:t>
      </w:r>
      <w:r w:rsidR="00903978" w:rsidRPr="00D739A7">
        <w:t>3.</w:t>
      </w:r>
      <w:r w:rsidRPr="00D739A7">
        <w:t>3</w:t>
      </w:r>
      <w:r w:rsidR="00751B98" w:rsidRPr="00D739A7">
        <w:t>a.1: the percentage of learners with an official decision of SEN, based on the enrolled school population (%)</w:t>
      </w:r>
      <w:bookmarkEnd w:id="80"/>
    </w:p>
    <w:p w14:paraId="5D45261C" w14:textId="77777777" w:rsidR="00751B98" w:rsidRPr="00D739A7" w:rsidRDefault="00751B98" w:rsidP="0079540B">
      <w:pPr>
        <w:pStyle w:val="Agency-body-text-report"/>
      </w:pPr>
      <w:r w:rsidRPr="00D739A7">
        <w:t>The data focuses on learners who are formally identified as having a special educational need and have an official decision of SEN in line with the EASIE operational definition.</w:t>
      </w:r>
    </w:p>
    <w:p w14:paraId="40D3EF37" w14:textId="77777777" w:rsidR="00751B98" w:rsidRPr="00D739A7" w:rsidRDefault="00751B98" w:rsidP="0079540B">
      <w:pPr>
        <w:pStyle w:val="Agency-body-text-report"/>
      </w:pPr>
      <w:r w:rsidRPr="00D739A7">
        <w:t>This indicator has been calculated as follows: The number of learners with an official decision of SEN (Q3.1) / The number of learners who are enrolled in all formal educational settings (Q1.2) x 100.</w:t>
      </w:r>
    </w:p>
    <w:p w14:paraId="1D8CF22A" w14:textId="0953221F" w:rsidR="00751B98" w:rsidRPr="00D739A7" w:rsidRDefault="00751B98" w:rsidP="0079540B">
      <w:pPr>
        <w:pStyle w:val="Agency-body-text-report"/>
      </w:pPr>
      <w:r w:rsidRPr="00D739A7">
        <w:t xml:space="preserve">Data is available from </w:t>
      </w:r>
      <w:r w:rsidR="003621CF" w:rsidRPr="00D739A7">
        <w:t>27</w:t>
      </w:r>
      <w:r w:rsidRPr="00D739A7">
        <w:t xml:space="preserve"> countries.</w:t>
      </w:r>
    </w:p>
    <w:p w14:paraId="4332FF49" w14:textId="30DCE188" w:rsidR="00751B98" w:rsidRPr="00D739A7" w:rsidRDefault="00751B98" w:rsidP="0079540B">
      <w:pPr>
        <w:pStyle w:val="Agency-body-text-report"/>
      </w:pPr>
      <w:r w:rsidRPr="00D739A7">
        <w:t xml:space="preserve">The SEN identification rates range from </w:t>
      </w:r>
      <w:r w:rsidR="003621CF" w:rsidRPr="00D739A7">
        <w:t>0.12</w:t>
      </w:r>
      <w:r w:rsidRPr="00D739A7">
        <w:t>% to 2</w:t>
      </w:r>
      <w:r w:rsidR="003621CF" w:rsidRPr="00D739A7">
        <w:t>3.25</w:t>
      </w:r>
      <w:r w:rsidRPr="00D739A7">
        <w:t xml:space="preserve">%; the total average for the </w:t>
      </w:r>
      <w:r w:rsidR="003621CF" w:rsidRPr="00D739A7">
        <w:t>27</w:t>
      </w:r>
      <w:r w:rsidRPr="00D739A7">
        <w:t xml:space="preserve"> countries is </w:t>
      </w:r>
      <w:r w:rsidR="003621CF" w:rsidRPr="00D739A7">
        <w:t>2.41</w:t>
      </w:r>
      <w:r w:rsidRPr="00D739A7">
        <w:t>%.</w:t>
      </w:r>
    </w:p>
    <w:p w14:paraId="162220DD" w14:textId="1F397869" w:rsidR="00751B98" w:rsidRPr="00D739A7" w:rsidRDefault="003621CF" w:rsidP="003621CF">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42050D15" wp14:editId="1381F19D">
            <wp:extent cx="3048000" cy="6599976"/>
            <wp:effectExtent l="0" t="0" r="12700" b="17145"/>
            <wp:docPr id="104" name="Diagram 104" descr="Austria 2.91&#10;Belgium (Fl) 0.79&#10;Bulgaria 1.58&#10;Cyprus 7.29&#10;Czech Republic 5.80&#10;Estonia 0.60&#10;Finland 14.74&#10;France 1.12&#10;Germany 0.12&#10;Greece 6.80&#10;Hungary 5.77&#10;Ireland 4.90&#10;Italy 2.47&#10;Latvia 0.18&#10;Lithuania 1.95&#10;Luxembourg 1.52&#10;Norway 2.11&#10;Poland 2.89&#10;Portugal 3.86&#10;Slovakia 6.38&#10;Slovenia 7.04&#10;Spain 1.36&#10;Sweden 1.69&#10;UK (England) 3.84&#10;UK (N. Ireland) 4.43&#10;UK (Scotland) 23.25&#10;UK (Wales) 4.87&#10;Total average (27 countries) 2.41">
              <a:extLst xmlns:a="http://schemas.openxmlformats.org/drawingml/2006/main">
                <a:ext uri="{FF2B5EF4-FFF2-40B4-BE49-F238E27FC236}">
                  <a16:creationId xmlns:a16="http://schemas.microsoft.com/office/drawing/2014/main" id="{2A037401-3D00-4200-9236-34011E93B1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36536B78" w14:textId="58EF0BC7" w:rsidR="00751B98" w:rsidRPr="00D739A7" w:rsidRDefault="00DB526B" w:rsidP="004A29D9">
      <w:pPr>
        <w:pStyle w:val="Agency-caption-report"/>
        <w:rPr>
          <w:b w:val="0"/>
          <w:bCs w:val="0"/>
        </w:rPr>
        <w:sectPr w:rsidR="00751B98" w:rsidRPr="00D739A7" w:rsidSect="0000679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87</w:t>
      </w:r>
      <w:r w:rsidRPr="00D739A7">
        <w:fldChar w:fldCharType="end"/>
      </w:r>
      <w:r w:rsidR="00751B98" w:rsidRPr="00D739A7">
        <w:t>. Percentage of learners with an official decision of SEN, based on the enrolled school population (%)</w:t>
      </w:r>
    </w:p>
    <w:p w14:paraId="394EA260" w14:textId="77777777" w:rsidR="00751B98" w:rsidRPr="00D739A7" w:rsidRDefault="00751B98" w:rsidP="004A29D9">
      <w:pPr>
        <w:pStyle w:val="Agency-heading-4-report"/>
      </w:pPr>
      <w:r w:rsidRPr="00D739A7">
        <w:lastRenderedPageBreak/>
        <w:t>Gender breakdown of learners with an official decision of SEN, based on the enrolled school population (%)</w:t>
      </w:r>
    </w:p>
    <w:p w14:paraId="18B8172B" w14:textId="77777777" w:rsidR="00751B98" w:rsidRPr="00D739A7" w:rsidRDefault="00751B98" w:rsidP="00751B98">
      <w:pPr>
        <w:keepNext/>
        <w:spacing w:before="240" w:after="240" w:line="240" w:lineRule="auto"/>
        <w:ind w:left="-142"/>
        <w:rPr>
          <w:rFonts w:ascii="Calibri" w:eastAsia="Times New Roman" w:hAnsi="Calibri" w:cs="Calibri"/>
          <w:b/>
          <w:bCs/>
          <w:color w:val="000000"/>
          <w:szCs w:val="18"/>
          <w:lang w:val="en-GB"/>
        </w:rPr>
        <w:sectPr w:rsidR="00751B98" w:rsidRPr="00D739A7" w:rsidSect="00751B98">
          <w:pgSz w:w="11899" w:h="16838"/>
          <w:pgMar w:top="1134" w:right="1551" w:bottom="1276" w:left="1418" w:header="709" w:footer="709" w:gutter="0"/>
          <w:cols w:space="710"/>
          <w:docGrid w:linePitch="360"/>
        </w:sectPr>
      </w:pPr>
    </w:p>
    <w:p w14:paraId="695D7B60" w14:textId="77777777" w:rsidR="00751B98" w:rsidRPr="00D739A7" w:rsidRDefault="00751B98" w:rsidP="0079540B">
      <w:pPr>
        <w:pStyle w:val="Agency-body-text-report"/>
      </w:pPr>
      <w:r w:rsidRPr="00D739A7">
        <w:t>The gender breakdowns have been calculated as follows:</w:t>
      </w:r>
    </w:p>
    <w:p w14:paraId="4252F8E7" w14:textId="32254CDE" w:rsidR="00751B98" w:rsidRPr="00D739A7" w:rsidRDefault="00EF3C3C" w:rsidP="0079540B">
      <w:pPr>
        <w:pStyle w:val="Agency-body-text-report"/>
      </w:pPr>
      <w:r w:rsidRPr="00D739A7">
        <w:t>Boys</w:t>
      </w:r>
      <w:r w:rsidR="00751B98" w:rsidRPr="00D739A7">
        <w:t>: The total number of boys with an official decision of SEN (</w:t>
      </w:r>
      <w:r w:rsidR="007237E0" w:rsidRPr="00D739A7">
        <w:t>Q3</w:t>
      </w:r>
      <w:r w:rsidR="00751B98" w:rsidRPr="00D739A7">
        <w:t>.1) / The number of learners who are enrolled in all formal educational settings (Q1.2) x 100.</w:t>
      </w:r>
    </w:p>
    <w:p w14:paraId="04238665" w14:textId="5C02B40B" w:rsidR="00751B98" w:rsidRPr="00D739A7" w:rsidRDefault="00EF3C3C" w:rsidP="0079540B">
      <w:pPr>
        <w:pStyle w:val="Agency-body-text-report"/>
      </w:pPr>
      <w:r w:rsidRPr="00D739A7">
        <w:t>Girls</w:t>
      </w:r>
      <w:r w:rsidR="00751B98" w:rsidRPr="00D739A7">
        <w:t>: The total number of girls with an official decision of SEN (</w:t>
      </w:r>
      <w:r w:rsidR="007237E0" w:rsidRPr="00D739A7">
        <w:t>Q3</w:t>
      </w:r>
      <w:r w:rsidR="00751B98" w:rsidRPr="00D739A7">
        <w:t>.1) / The number of learners who are enrolled in all formal educational settings (Q1.2) x 100.</w:t>
      </w:r>
    </w:p>
    <w:p w14:paraId="61E78750" w14:textId="24B3CB86" w:rsidR="00751B98" w:rsidRPr="00D739A7" w:rsidRDefault="00751B98" w:rsidP="0079540B">
      <w:pPr>
        <w:pStyle w:val="Agency-body-text-report"/>
        <w:rPr>
          <w:bCs/>
        </w:rPr>
      </w:pPr>
      <w:r w:rsidRPr="00D739A7">
        <w:rPr>
          <w:bCs/>
        </w:rPr>
        <w:t>Data is available from 2</w:t>
      </w:r>
      <w:r w:rsidR="003621CF" w:rsidRPr="00D739A7">
        <w:rPr>
          <w:bCs/>
        </w:rPr>
        <w:t>5</w:t>
      </w:r>
      <w:r w:rsidRPr="00D739A7">
        <w:rPr>
          <w:bCs/>
        </w:rPr>
        <w:t xml:space="preserve"> countries.</w:t>
      </w:r>
    </w:p>
    <w:p w14:paraId="0A3EF1DD" w14:textId="231F8A41" w:rsidR="00751B98" w:rsidRPr="00D739A7" w:rsidRDefault="00751B98" w:rsidP="0079540B">
      <w:pPr>
        <w:pStyle w:val="Agency-body-text-report"/>
      </w:pPr>
      <w:r w:rsidRPr="00D739A7">
        <w:t xml:space="preserve">The SEN identification rate for </w:t>
      </w:r>
      <w:r w:rsidR="00EF3C3C" w:rsidRPr="00D739A7">
        <w:t>boys</w:t>
      </w:r>
      <w:r w:rsidRPr="00D739A7">
        <w:t xml:space="preserve"> ranges from 0.</w:t>
      </w:r>
      <w:r w:rsidR="003621CF" w:rsidRPr="00D739A7">
        <w:t>07</w:t>
      </w:r>
      <w:r w:rsidRPr="00D739A7">
        <w:t>% to 1</w:t>
      </w:r>
      <w:r w:rsidR="003621CF" w:rsidRPr="00D739A7">
        <w:t>3.37</w:t>
      </w:r>
      <w:r w:rsidRPr="00D739A7">
        <w:t>%; the total average for the 2</w:t>
      </w:r>
      <w:r w:rsidR="003621CF" w:rsidRPr="00D739A7">
        <w:t>5</w:t>
      </w:r>
      <w:r w:rsidRPr="00D739A7">
        <w:t xml:space="preserve"> countries is </w:t>
      </w:r>
      <w:r w:rsidR="003621CF" w:rsidRPr="00D739A7">
        <w:t>1.57</w:t>
      </w:r>
      <w:r w:rsidRPr="00D739A7">
        <w:t>%.</w:t>
      </w:r>
    </w:p>
    <w:p w14:paraId="2BD1710C" w14:textId="0FE72556" w:rsidR="00751B98" w:rsidRPr="00D739A7" w:rsidRDefault="00751B98" w:rsidP="0079540B">
      <w:pPr>
        <w:pStyle w:val="Agency-body-text-report"/>
      </w:pPr>
      <w:r w:rsidRPr="00D739A7">
        <w:t xml:space="preserve">The SEN identification rate for </w:t>
      </w:r>
      <w:r w:rsidR="00EF3C3C" w:rsidRPr="00D739A7">
        <w:t>girls</w:t>
      </w:r>
      <w:r w:rsidRPr="00D739A7">
        <w:t xml:space="preserve"> ranges from </w:t>
      </w:r>
      <w:r w:rsidR="00222E7F" w:rsidRPr="00D739A7">
        <w:t>0.05</w:t>
      </w:r>
      <w:r w:rsidRPr="00D739A7">
        <w:t xml:space="preserve">% to </w:t>
      </w:r>
      <w:r w:rsidR="003621CF" w:rsidRPr="00D739A7">
        <w:t>9.88</w:t>
      </w:r>
      <w:r w:rsidRPr="00D739A7">
        <w:t>%; the total average for the 2</w:t>
      </w:r>
      <w:r w:rsidR="003621CF" w:rsidRPr="00D739A7">
        <w:t>5</w:t>
      </w:r>
      <w:r w:rsidRPr="00D739A7">
        <w:t xml:space="preserve"> countries is </w:t>
      </w:r>
      <w:r w:rsidR="003621CF" w:rsidRPr="00D739A7">
        <w:t>0.85</w:t>
      </w:r>
      <w:r w:rsidRPr="00D739A7">
        <w:t>%.</w:t>
      </w:r>
    </w:p>
    <w:p w14:paraId="64C11EBE" w14:textId="630508B8" w:rsidR="00D74B28" w:rsidRPr="00D739A7" w:rsidRDefault="003621CF" w:rsidP="003621CF">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40996D97" wp14:editId="57C7C1E3">
            <wp:extent cx="3035300" cy="7586804"/>
            <wp:effectExtent l="0" t="0" r="12700" b="8255"/>
            <wp:docPr id="105" name="Diagram 105" descr="Austria Boys 1.70 Girls 1.21&#10;Belgium (Fl) Boys 0.61 Girls 0.18&#10;Bulgaria Boys 0.97 Girls 0.61&#10;Cyprus Boys 4.90 Girls 2.39&#10;Czech Republic Boys 3.67 Girls 2.13&#10;Estonia Boys 0.33 Girls 0.27&#10;Finland Boys 8.36 Girls 6.38&#10;France Boys 0.75 Girls 0.37&#10;Germany Boys 0.07 Girls 0.05&#10;Greece Boys 4.73 Girls 2.08&#10;Hungary Boys 3.72 Girls 2.05&#10;Ireland Boys 3.33 Girls 1.57&#10;Italy Boys 1.65 Girls 0.82&#10;Lithuania Boys 1.15 Girls 0.81&#10;Norway Boys 1.38 Girls 0.73&#10;Poland Boys 1.68 Girls 1.21&#10;Portugal Boys 2.29 Girls 1.57&#10;Slovakia Boys 4.16 Girls 2.21&#10;Slovenia Boys 4.31 Girls 2.73&#10;Spain Boys 0.93 Girls 0.43&#10;Sweden Boys 1.01 Girls 0.68&#10;UK (England) Boys 2.82 Girls 1.02&#10;UK (N. Ireland) Boys 2.93 Girls 1.50&#10;UK (Scotland) Boys 13.37 Girls 9.88&#10;UK (Wales) Boys 3.44 Girls 1.43&#10;Total average (25 countries) Boys 1.57 Girls 0.85">
              <a:extLst xmlns:a="http://schemas.openxmlformats.org/drawingml/2006/main">
                <a:ext uri="{FF2B5EF4-FFF2-40B4-BE49-F238E27FC236}">
                  <a16:creationId xmlns:a16="http://schemas.microsoft.com/office/drawing/2014/main" id="{1F42F6D2-1EF8-461F-9873-8FE6218F67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0DEFC4E" w14:textId="02A44E33" w:rsidR="00751B98" w:rsidRPr="00D739A7" w:rsidRDefault="00DB526B" w:rsidP="004A29D9">
      <w:pPr>
        <w:pStyle w:val="Agency-caption-report"/>
        <w:rPr>
          <w:b w:val="0"/>
          <w:bCs w:val="0"/>
        </w:rPr>
        <w:sectPr w:rsidR="00751B98" w:rsidRPr="00D739A7" w:rsidSect="0000679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88</w:t>
      </w:r>
      <w:r w:rsidRPr="00D739A7">
        <w:fldChar w:fldCharType="end"/>
      </w:r>
      <w:r w:rsidR="00751B98" w:rsidRPr="00D739A7">
        <w:t>. Gender breakdown of learners with an official decision of SEN, based on the enrolled school population (%)</w:t>
      </w:r>
    </w:p>
    <w:p w14:paraId="558201DE" w14:textId="77777777" w:rsidR="00751B98" w:rsidRPr="00D739A7" w:rsidRDefault="00751B98" w:rsidP="004A29D9">
      <w:pPr>
        <w:pStyle w:val="Agency-heading-4-report"/>
      </w:pPr>
      <w:r w:rsidRPr="00D739A7">
        <w:lastRenderedPageBreak/>
        <w:t>Gender distribution of learners with an official decision of SEN, based on the number of learners who have an official decision of SEN (%)</w:t>
      </w:r>
    </w:p>
    <w:p w14:paraId="778E9110" w14:textId="77777777" w:rsidR="00751B98" w:rsidRPr="00D739A7" w:rsidRDefault="00751B98" w:rsidP="00751B98">
      <w:pPr>
        <w:spacing w:before="120" w:after="120" w:line="240" w:lineRule="auto"/>
        <w:rPr>
          <w:rFonts w:ascii="Calibri" w:eastAsia="Times New Roman" w:hAnsi="Calibri" w:cs="Calibri"/>
          <w:bCs/>
          <w:color w:val="000000"/>
          <w:lang w:val="en-GB"/>
        </w:rPr>
        <w:sectPr w:rsidR="00751B98" w:rsidRPr="00D739A7" w:rsidSect="00751B98">
          <w:pgSz w:w="11899" w:h="16838"/>
          <w:pgMar w:top="1134" w:right="1551" w:bottom="1276" w:left="1418" w:header="709" w:footer="709" w:gutter="0"/>
          <w:cols w:space="710"/>
          <w:docGrid w:linePitch="360"/>
        </w:sectPr>
      </w:pPr>
    </w:p>
    <w:p w14:paraId="336016D6" w14:textId="77777777" w:rsidR="00751B98" w:rsidRPr="00D739A7" w:rsidRDefault="00751B98" w:rsidP="0079540B">
      <w:pPr>
        <w:pStyle w:val="Agency-body-text-report"/>
      </w:pPr>
      <w:r w:rsidRPr="00D739A7">
        <w:t>The gender distributions have been calculated as follows:</w:t>
      </w:r>
    </w:p>
    <w:p w14:paraId="0858EBAF" w14:textId="6EC1EA34" w:rsidR="00751B98" w:rsidRPr="00D739A7" w:rsidRDefault="00EF3C3C" w:rsidP="0079540B">
      <w:pPr>
        <w:pStyle w:val="Agency-body-text-report"/>
      </w:pPr>
      <w:r w:rsidRPr="00D739A7">
        <w:t>Boys</w:t>
      </w:r>
      <w:r w:rsidR="00751B98" w:rsidRPr="00D739A7">
        <w:t>: The total number of boys who have an official decision of SEN (</w:t>
      </w:r>
      <w:r w:rsidR="007237E0" w:rsidRPr="00D739A7">
        <w:t>Q3</w:t>
      </w:r>
      <w:r w:rsidR="00751B98" w:rsidRPr="00D739A7">
        <w:t>.1) / The total number of learners who have an official decision of SEN (Q3.1) x 100.</w:t>
      </w:r>
    </w:p>
    <w:p w14:paraId="4C8B9AE2" w14:textId="77777777" w:rsidR="00550DA8" w:rsidRPr="00D739A7" w:rsidRDefault="00EF3C3C" w:rsidP="0079540B">
      <w:pPr>
        <w:pStyle w:val="Agency-body-text-report"/>
      </w:pPr>
      <w:r w:rsidRPr="00D739A7">
        <w:t>Girls</w:t>
      </w:r>
      <w:r w:rsidR="00751B98" w:rsidRPr="00D739A7">
        <w:t>: The total number of girls who have an official decision of SEN (</w:t>
      </w:r>
      <w:r w:rsidR="007237E0" w:rsidRPr="00D739A7">
        <w:t>Q3</w:t>
      </w:r>
      <w:r w:rsidR="00751B98" w:rsidRPr="00D739A7">
        <w:t>.1) / The total number of learners who have an official decision of SEN (Q3.1) x 100.</w:t>
      </w:r>
    </w:p>
    <w:p w14:paraId="46F588CD" w14:textId="6BAFA64C" w:rsidR="00751B98" w:rsidRPr="00D739A7" w:rsidRDefault="00751B98" w:rsidP="0079540B">
      <w:pPr>
        <w:pStyle w:val="Agency-body-text-report"/>
      </w:pPr>
      <w:r w:rsidRPr="00D739A7">
        <w:t>Data is available from 2</w:t>
      </w:r>
      <w:r w:rsidR="003621CF" w:rsidRPr="00D739A7">
        <w:t>5</w:t>
      </w:r>
      <w:r w:rsidRPr="00D739A7">
        <w:t xml:space="preserve"> countries.</w:t>
      </w:r>
    </w:p>
    <w:p w14:paraId="548DF930" w14:textId="09F47EC0" w:rsidR="00751B98" w:rsidRPr="00D739A7" w:rsidRDefault="00751B98" w:rsidP="0079540B">
      <w:pPr>
        <w:pStyle w:val="Agency-body-text-report"/>
      </w:pPr>
      <w:r w:rsidRPr="00D739A7">
        <w:t xml:space="preserve">The proportion of boys with an official decision of SEN ranges from </w:t>
      </w:r>
      <w:r w:rsidR="00E03733" w:rsidRPr="00D739A7">
        <w:t>55.04</w:t>
      </w:r>
      <w:r w:rsidRPr="00D739A7">
        <w:t>% to 7</w:t>
      </w:r>
      <w:r w:rsidR="00E03733" w:rsidRPr="00D739A7">
        <w:t>6.88</w:t>
      </w:r>
      <w:r w:rsidRPr="00D739A7">
        <w:t>%; the total average for the 2</w:t>
      </w:r>
      <w:r w:rsidR="003621CF" w:rsidRPr="00D739A7">
        <w:t>5</w:t>
      </w:r>
      <w:r w:rsidRPr="00D739A7">
        <w:t xml:space="preserve"> countries is 6</w:t>
      </w:r>
      <w:r w:rsidR="00E03733" w:rsidRPr="00D739A7">
        <w:t>4.96</w:t>
      </w:r>
      <w:r w:rsidRPr="00D739A7">
        <w:t>%.</w:t>
      </w:r>
    </w:p>
    <w:p w14:paraId="659D82AC" w14:textId="4B8131FE" w:rsidR="00751B98" w:rsidRPr="00D739A7" w:rsidRDefault="00751B98" w:rsidP="0079540B">
      <w:pPr>
        <w:pStyle w:val="Agency-body-text-report"/>
      </w:pPr>
      <w:r w:rsidRPr="00D739A7">
        <w:t>The proportion of girls with an official decision of SEN ranges from 2</w:t>
      </w:r>
      <w:r w:rsidR="00E03733" w:rsidRPr="00D739A7">
        <w:t>3.12</w:t>
      </w:r>
      <w:r w:rsidRPr="00D739A7">
        <w:t xml:space="preserve">% to </w:t>
      </w:r>
      <w:r w:rsidR="00E03733" w:rsidRPr="00D739A7">
        <w:t>44.96</w:t>
      </w:r>
      <w:r w:rsidRPr="00D739A7">
        <w:t>%; the total average for the 2</w:t>
      </w:r>
      <w:r w:rsidR="003621CF" w:rsidRPr="00D739A7">
        <w:t>5</w:t>
      </w:r>
      <w:r w:rsidRPr="00D739A7">
        <w:t xml:space="preserve"> countries is 3</w:t>
      </w:r>
      <w:r w:rsidR="00E03733" w:rsidRPr="00D739A7">
        <w:t>5.04</w:t>
      </w:r>
      <w:r w:rsidRPr="00D739A7">
        <w:t>%.</w:t>
      </w:r>
    </w:p>
    <w:p w14:paraId="2440F33F" w14:textId="4240AB64" w:rsidR="00751B98" w:rsidRPr="00D739A7" w:rsidRDefault="003621CF" w:rsidP="003621CF">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630FC863" wp14:editId="509C8F5D">
            <wp:extent cx="3054350" cy="7577751"/>
            <wp:effectExtent l="0" t="0" r="6350" b="17145"/>
            <wp:docPr id="106" name="Diagram 106" descr="Austria Boys 58.37 Girls 41.63&#10;Belgium (Fl) Boys 76.88 Girls 23.12&#10;Bulgaria Boys 61.63 Girls 38.37&#10;Cyprus Boys 67.24 Girls 32.76&#10;Czech Republic Boys 63.23 Girls 36.77&#10;Estonia Boys 55.04 Girls 44.96&#10;Finland Boys 56.71 Girls 43.29&#10;France Boys 66.99 Girls 33.01&#10;Germany Boys 61.71 Girls 38.29&#10;Greece Boys 69.48 Girls 30.52&#10;Hungary Boys 64.45 Girls 35.55&#10;Ireland Boys 67.94 Girls 32.06&#10;Italy Boys 66.83 Girls 33.17&#10;Lithuania Boys 58.75 Girls 41.25&#10;Norway Boys 65.20 Girls 34.80&#10;Poland Boys 58.21 Girls 41.79&#10;Portugal Boys 59.23 Girls 40.77&#10;Slovakia Boys 65.32 Girls 34.68&#10;Slovenia Boys 61.26 Girls 38.74&#10;Spain Boys 68.23 Girls 31.77&#10;Sweden Boys 59.73 Girls 40.27&#10;UK (England) Boys 73.53 Girls 26.47&#10;UK (N. Ireland) Boys 66.08 Girls 33.92&#10;UK (Scotland) Boys 57.52 Girls 42.48&#10;UK (Wales) Boys 70.66 Girls 29.34&#10;Total average (25 countries) Boys 64.96 Girls 35.04">
              <a:extLst xmlns:a="http://schemas.openxmlformats.org/drawingml/2006/main">
                <a:ext uri="{FF2B5EF4-FFF2-40B4-BE49-F238E27FC236}">
                  <a16:creationId xmlns:a16="http://schemas.microsoft.com/office/drawing/2014/main" id="{3B94D07F-7340-4F8E-A554-5DFF7208FB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A51314E" w14:textId="7674185D" w:rsidR="00751B98" w:rsidRPr="00D739A7" w:rsidRDefault="00DB526B" w:rsidP="001452E6">
      <w:pPr>
        <w:pStyle w:val="Agency-caption-report"/>
        <w:rPr>
          <w:rFonts w:cs="Calibri"/>
          <w:b w:val="0"/>
          <w:bCs w:val="0"/>
        </w:rPr>
        <w:sectPr w:rsidR="00751B98" w:rsidRPr="00D739A7" w:rsidSect="00751B98">
          <w:type w:val="continuous"/>
          <w:pgSz w:w="11899" w:h="16838"/>
          <w:pgMar w:top="1134" w:right="1551" w:bottom="1276" w:left="1418" w:header="709" w:footer="709" w:gutter="0"/>
          <w:cols w:num="2" w:space="710" w:equalWidth="0">
            <w:col w:w="3119" w:space="710"/>
            <w:col w:w="5101"/>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89</w:t>
      </w:r>
      <w:r w:rsidRPr="00D739A7">
        <w:fldChar w:fldCharType="end"/>
      </w:r>
      <w:r w:rsidR="00751B98" w:rsidRPr="00D739A7">
        <w:t>. Gender distribution of learners with an official decision of SEN, based on the number of learners who have an official decision of SEN (%)</w:t>
      </w:r>
    </w:p>
    <w:p w14:paraId="57DD4677" w14:textId="48DE9745" w:rsidR="00751B98" w:rsidRPr="00D739A7" w:rsidRDefault="00903978" w:rsidP="004A29D9">
      <w:pPr>
        <w:pStyle w:val="Agency-heading-2-report"/>
      </w:pPr>
      <w:bookmarkStart w:id="81" w:name="ch3section3b"/>
      <w:bookmarkStart w:id="82" w:name="_Toc35943069"/>
      <w:bookmarkEnd w:id="81"/>
      <w:r w:rsidRPr="00D739A7">
        <w:lastRenderedPageBreak/>
        <w:t>3.</w:t>
      </w:r>
      <w:r w:rsidR="00751B98" w:rsidRPr="00D739A7">
        <w:t>3b. Distribution of placements of learners with an official decision of SEN, based on the enrolled school population</w:t>
      </w:r>
      <w:bookmarkEnd w:id="82"/>
    </w:p>
    <w:p w14:paraId="5EE527DC" w14:textId="77777777" w:rsidR="00751B98" w:rsidRPr="00D739A7" w:rsidRDefault="00751B98" w:rsidP="002825E1">
      <w:pPr>
        <w:pStyle w:val="Agency-body-text-report"/>
        <w:keepNext/>
        <w:rPr>
          <w:rFonts w:cs="Calibri"/>
        </w:rPr>
      </w:pPr>
      <w:r w:rsidRPr="00D739A7">
        <w:rPr>
          <w:rFonts w:cs="Calibri"/>
        </w:rPr>
        <w:t>The indicators presented in this section relate to the distribution of placements of learners with an official decision of SEN in:</w:t>
      </w:r>
    </w:p>
    <w:p w14:paraId="1836FA97" w14:textId="77777777" w:rsidR="00751B98" w:rsidRPr="00D739A7" w:rsidRDefault="00751B98" w:rsidP="004A29D9">
      <w:pPr>
        <w:pStyle w:val="Agency-body-text-report"/>
        <w:numPr>
          <w:ilvl w:val="0"/>
          <w:numId w:val="57"/>
        </w:numPr>
        <w:rPr>
          <w:rFonts w:cs="Calibri"/>
        </w:rPr>
      </w:pPr>
      <w:r w:rsidRPr="00D739A7">
        <w:rPr>
          <w:rFonts w:cs="Calibri"/>
        </w:rPr>
        <w:t>Inclusive settings</w:t>
      </w:r>
    </w:p>
    <w:p w14:paraId="10383A44" w14:textId="77777777" w:rsidR="00751B98" w:rsidRPr="00D739A7" w:rsidRDefault="00751B98" w:rsidP="004A29D9">
      <w:pPr>
        <w:pStyle w:val="Agency-body-text-report"/>
        <w:numPr>
          <w:ilvl w:val="0"/>
          <w:numId w:val="57"/>
        </w:numPr>
        <w:rPr>
          <w:rFonts w:cs="Calibri"/>
        </w:rPr>
      </w:pPr>
      <w:r w:rsidRPr="00D739A7">
        <w:rPr>
          <w:rFonts w:cs="Calibri"/>
        </w:rPr>
        <w:t>Separate special classes in mainstream schools</w:t>
      </w:r>
    </w:p>
    <w:p w14:paraId="581FFA26" w14:textId="77777777" w:rsidR="00751B98" w:rsidRPr="00D739A7" w:rsidRDefault="00751B98" w:rsidP="004A29D9">
      <w:pPr>
        <w:pStyle w:val="Agency-body-text-report"/>
        <w:numPr>
          <w:ilvl w:val="0"/>
          <w:numId w:val="57"/>
        </w:numPr>
        <w:rPr>
          <w:rFonts w:cs="Calibri"/>
        </w:rPr>
      </w:pPr>
      <w:r w:rsidRPr="00D739A7">
        <w:rPr>
          <w:rFonts w:cs="Calibri"/>
        </w:rPr>
        <w:t>Separate special schools</w:t>
      </w:r>
    </w:p>
    <w:p w14:paraId="5DCC6D87" w14:textId="77777777" w:rsidR="00751B98" w:rsidRPr="00D739A7" w:rsidRDefault="00751B98" w:rsidP="004A29D9">
      <w:pPr>
        <w:pStyle w:val="Agency-body-text-report"/>
        <w:numPr>
          <w:ilvl w:val="0"/>
          <w:numId w:val="57"/>
        </w:numPr>
        <w:rPr>
          <w:rFonts w:cs="Calibri"/>
        </w:rPr>
      </w:pPr>
      <w:r w:rsidRPr="00D739A7">
        <w:rPr>
          <w:rFonts w:cs="Calibri"/>
        </w:rPr>
        <w:t>Non-formal settings.</w:t>
      </w:r>
    </w:p>
    <w:p w14:paraId="0692B933" w14:textId="77777777" w:rsidR="00751B98" w:rsidRPr="00D739A7" w:rsidRDefault="00751B98" w:rsidP="004A29D9">
      <w:pPr>
        <w:pStyle w:val="Agency-body-text-report"/>
        <w:rPr>
          <w:rFonts w:cs="Calibri"/>
        </w:rPr>
      </w:pPr>
      <w:r w:rsidRPr="00D739A7">
        <w:rPr>
          <w:rFonts w:cs="Calibri"/>
        </w:rPr>
        <w:t>The data focuses on the population of learners with an official decision of SEN in relation to the whole school population.</w:t>
      </w:r>
    </w:p>
    <w:p w14:paraId="45D7953F" w14:textId="77777777" w:rsidR="00751B98" w:rsidRPr="00D739A7" w:rsidRDefault="00751B98" w:rsidP="004A29D9">
      <w:pPr>
        <w:pStyle w:val="Agency-body-text-report"/>
        <w:rPr>
          <w:rFonts w:cs="Calibri"/>
        </w:rPr>
      </w:pPr>
      <w:r w:rsidRPr="00D739A7">
        <w:rPr>
          <w:rFonts w:cs="Calibri"/>
        </w:rPr>
        <w:t>The data indicates where learners with an official decision of SEN are placed for their education and provides information about the placement of learners with recognised SEN in inclusive settings or elsewhere.</w:t>
      </w:r>
    </w:p>
    <w:p w14:paraId="7A8562CE" w14:textId="77777777" w:rsidR="00751B98" w:rsidRPr="00D739A7" w:rsidRDefault="00751B98" w:rsidP="004A29D9">
      <w:pPr>
        <w:pStyle w:val="Agency-body-text-report"/>
        <w:sectPr w:rsidR="00751B98" w:rsidRPr="00D739A7" w:rsidSect="00751B98">
          <w:pgSz w:w="11899" w:h="16838"/>
          <w:pgMar w:top="1134" w:right="1551" w:bottom="1276" w:left="1418" w:header="709" w:footer="709" w:gutter="0"/>
          <w:cols w:space="710"/>
          <w:docGrid w:linePitch="360"/>
        </w:sectPr>
      </w:pPr>
      <w:r w:rsidRPr="00D739A7">
        <w:t xml:space="preserve">All data must be considered in line with the </w:t>
      </w:r>
      <w:hyperlink r:id="rId129" w:history="1">
        <w:r w:rsidRPr="00D739A7">
          <w:rPr>
            <w:color w:val="0000FF"/>
            <w:u w:val="single"/>
          </w:rPr>
          <w:t>Country Background Information</w:t>
        </w:r>
      </w:hyperlink>
      <w:r w:rsidRPr="00D739A7">
        <w:t xml:space="preserve"> relating to the official decision of SEN procedures in the country concerned.</w:t>
      </w:r>
    </w:p>
    <w:p w14:paraId="6A2C7FA1" w14:textId="192C72C2" w:rsidR="00751B98" w:rsidRPr="00D739A7" w:rsidRDefault="00436B97" w:rsidP="004A29D9">
      <w:pPr>
        <w:pStyle w:val="Agency-heading-3-report"/>
        <w:rPr>
          <w:b w:val="0"/>
        </w:rPr>
        <w:sectPr w:rsidR="00751B98" w:rsidRPr="00D739A7" w:rsidSect="00751B98">
          <w:pgSz w:w="11899" w:h="16838"/>
          <w:pgMar w:top="1134" w:right="1551" w:bottom="1276" w:left="1418" w:header="709" w:footer="709" w:gutter="0"/>
          <w:cols w:space="710"/>
          <w:docGrid w:linePitch="360"/>
        </w:sectPr>
      </w:pPr>
      <w:bookmarkStart w:id="83" w:name="_Toc35943070"/>
      <w:r w:rsidRPr="00D739A7">
        <w:lastRenderedPageBreak/>
        <w:t>Indicator </w:t>
      </w:r>
      <w:r w:rsidR="00903978" w:rsidRPr="00D739A7">
        <w:t>3.</w:t>
      </w:r>
      <w:r w:rsidRPr="00D739A7">
        <w:t>3</w:t>
      </w:r>
      <w:r w:rsidR="00751B98" w:rsidRPr="00D739A7">
        <w:t>b.1: the percentage of learners with an official decision of SEN in inclusive settings, based on the enrolled school population (%)</w:t>
      </w:r>
      <w:bookmarkEnd w:id="83"/>
    </w:p>
    <w:p w14:paraId="48293B00" w14:textId="1F849158" w:rsidR="00751B98" w:rsidRPr="00D739A7" w:rsidRDefault="00751B98" w:rsidP="00DF4149">
      <w:pPr>
        <w:pStyle w:val="Agency-body-text-report"/>
        <w:rPr>
          <w:bCs/>
        </w:rPr>
      </w:pPr>
      <w:r w:rsidRPr="00D739A7">
        <w:t>The data focuses on learners with an official decision of SEN</w:t>
      </w:r>
      <w:r w:rsidR="00DF4149" w:rsidRPr="00D739A7">
        <w:t>,</w:t>
      </w:r>
      <w:r w:rsidRPr="00D739A7">
        <w:t xml:space="preserve"> in line with the EASIE operational definition, who are enrolled in inclusive education</w:t>
      </w:r>
      <w:r w:rsidR="00DF4149" w:rsidRPr="00D739A7">
        <w:t>,</w:t>
      </w:r>
      <w:r w:rsidRPr="00D739A7">
        <w:t xml:space="preserve"> </w:t>
      </w:r>
      <w:r w:rsidRPr="00D739A7">
        <w:rPr>
          <w:bCs/>
        </w:rPr>
        <w:t>in line with the 80% placement benchmark (or the most relevant proxy for this benchmark)</w:t>
      </w:r>
      <w:r w:rsidR="00DF4149" w:rsidRPr="00D739A7">
        <w:rPr>
          <w:bCs/>
        </w:rPr>
        <w:t>,</w:t>
      </w:r>
      <w:r w:rsidRPr="00D739A7">
        <w:rPr>
          <w:bCs/>
        </w:rPr>
        <w:t xml:space="preserve"> in comparison to the whole enrolled school population.</w:t>
      </w:r>
    </w:p>
    <w:p w14:paraId="70C93DF9" w14:textId="77777777" w:rsidR="00751B98" w:rsidRPr="00D739A7" w:rsidRDefault="00751B98" w:rsidP="00DF4149">
      <w:pPr>
        <w:pStyle w:val="Agency-body-text-report"/>
      </w:pPr>
      <w:r w:rsidRPr="00D739A7">
        <w:t>This indicator has been calculated as follows: The number of learners with an official decision of SEN who are educated in mainstream classes for at least 80% of the time (Q3.2) / The number of learners who are enrolled in all formal educational settings (Q1.2) x 100.</w:t>
      </w:r>
    </w:p>
    <w:p w14:paraId="735B6487" w14:textId="689CDD9E" w:rsidR="00751B98" w:rsidRPr="00D739A7" w:rsidRDefault="00751B98" w:rsidP="00DF4149">
      <w:pPr>
        <w:pStyle w:val="Agency-body-text-report"/>
      </w:pPr>
      <w:r w:rsidRPr="00D739A7">
        <w:t>Data is available from 2</w:t>
      </w:r>
      <w:r w:rsidR="000373E1" w:rsidRPr="00D739A7">
        <w:t>5</w:t>
      </w:r>
      <w:r w:rsidRPr="00D739A7">
        <w:t xml:space="preserve"> countries.</w:t>
      </w:r>
    </w:p>
    <w:p w14:paraId="142C7E9D" w14:textId="55B7C3DA" w:rsidR="00751B98" w:rsidRPr="00D739A7" w:rsidRDefault="00751B98" w:rsidP="00DF4149">
      <w:pPr>
        <w:pStyle w:val="Agency-body-text-report"/>
      </w:pPr>
      <w:r w:rsidRPr="00D739A7">
        <w:t>The inclusive education enrolment rates range from 0.</w:t>
      </w:r>
      <w:r w:rsidR="000373E1" w:rsidRPr="00D739A7">
        <w:t>01</w:t>
      </w:r>
      <w:r w:rsidRPr="00D739A7">
        <w:t xml:space="preserve">% to </w:t>
      </w:r>
      <w:r w:rsidR="000373E1" w:rsidRPr="00D739A7">
        <w:t>20.94</w:t>
      </w:r>
      <w:r w:rsidRPr="00D739A7">
        <w:t>%; the total average for the 2</w:t>
      </w:r>
      <w:r w:rsidR="000373E1" w:rsidRPr="00D739A7">
        <w:t>5</w:t>
      </w:r>
      <w:r w:rsidRPr="00D739A7">
        <w:t xml:space="preserve"> countries is </w:t>
      </w:r>
      <w:r w:rsidR="000373E1" w:rsidRPr="00D739A7">
        <w:t>1.62</w:t>
      </w:r>
      <w:r w:rsidRPr="00D739A7">
        <w:t>%.</w:t>
      </w:r>
    </w:p>
    <w:p w14:paraId="5B820170" w14:textId="79401CB3" w:rsidR="00751B98" w:rsidRPr="00D739A7" w:rsidRDefault="000373E1" w:rsidP="000373E1">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1C6E86AB" wp14:editId="1EC819DD">
            <wp:extent cx="3022600" cy="7496269"/>
            <wp:effectExtent l="0" t="0" r="12700" b="9525"/>
            <wp:docPr id="107" name="Diagram 107" descr="Austria 1.33&#10;Belgium (Fl) 0.53&#10;Bulgaria 1.02&#10;Cyprus 6.26&#10;Czech Republic 3.63&#10;Estonia 0.39&#10;France 0.83&#10;Germany 0.07&#10;Greece 6.42&#10;Hungary 3.78&#10;Ireland 3.41&#10;Italy 2.47&#10;Lithuania 0.90&#10;Luxembourg 0.62&#10;Poland 0.89&#10;Portugal 3.02&#10;Serbia 0.62&#10;Slovakia 4.26&#10;Slovenia 7.04&#10;Spain 1.36&#10;Sweden 0.01&#10;UK (England) 1.70&#10;UK (N. Ireland) 2.09&#10;UK (Scotland) 20.94&#10;UK (Wales) 1.23&#10;Total average (25 countries) 1.62">
              <a:extLst xmlns:a="http://schemas.openxmlformats.org/drawingml/2006/main">
                <a:ext uri="{FF2B5EF4-FFF2-40B4-BE49-F238E27FC236}">
                  <a16:creationId xmlns:a16="http://schemas.microsoft.com/office/drawing/2014/main" id="{E91B5040-52E7-4071-AA68-911848D4C8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57DFD5B" w14:textId="36A84AA4" w:rsidR="00751B98" w:rsidRPr="00D739A7" w:rsidRDefault="00830A4A" w:rsidP="004A29D9">
      <w:pPr>
        <w:pStyle w:val="Agency-caption-report"/>
        <w:rPr>
          <w:b w:val="0"/>
          <w:bCs w:val="0"/>
        </w:rPr>
        <w:sectPr w:rsidR="00751B98" w:rsidRPr="00D739A7" w:rsidSect="0000679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90</w:t>
      </w:r>
      <w:r w:rsidRPr="00D739A7">
        <w:fldChar w:fldCharType="end"/>
      </w:r>
      <w:r w:rsidR="00751B98" w:rsidRPr="00D739A7">
        <w:t>. Percentage of learners with an official decision of SEN in inclusive settings, based on the enrolled school population (%)</w:t>
      </w:r>
    </w:p>
    <w:p w14:paraId="6D6D5376" w14:textId="77777777" w:rsidR="00751B98" w:rsidRPr="00D739A7" w:rsidRDefault="00751B98" w:rsidP="004A29D9">
      <w:pPr>
        <w:pStyle w:val="Agency-heading-4-report"/>
      </w:pPr>
      <w:r w:rsidRPr="00D739A7">
        <w:lastRenderedPageBreak/>
        <w:t>Gender breakdown of learners with an official decision of SEN in inclusive settings, based on the enrolled school population (%)</w:t>
      </w:r>
    </w:p>
    <w:p w14:paraId="1627DA0B"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751B98">
          <w:pgSz w:w="11899" w:h="16838"/>
          <w:pgMar w:top="1134" w:right="1551" w:bottom="1276" w:left="1418" w:header="709" w:footer="709" w:gutter="0"/>
          <w:cols w:space="710"/>
          <w:docGrid w:linePitch="360"/>
        </w:sectPr>
      </w:pPr>
    </w:p>
    <w:p w14:paraId="11E49B5C" w14:textId="77777777" w:rsidR="00751B98" w:rsidRPr="00D739A7" w:rsidRDefault="00751B98" w:rsidP="00DF4149">
      <w:pPr>
        <w:pStyle w:val="Agency-body-text-report"/>
      </w:pPr>
      <w:r w:rsidRPr="00D739A7">
        <w:t>The gender breakdowns have been calculated as follows:</w:t>
      </w:r>
    </w:p>
    <w:p w14:paraId="0A28D737" w14:textId="3E696487" w:rsidR="00751B98" w:rsidRPr="00D739A7" w:rsidRDefault="00EF3C3C" w:rsidP="00DF4149">
      <w:pPr>
        <w:pStyle w:val="Agency-body-text-report"/>
      </w:pPr>
      <w:r w:rsidRPr="00D739A7">
        <w:t>Boys</w:t>
      </w:r>
      <w:r w:rsidR="00751B98" w:rsidRPr="00D739A7">
        <w:t>: The number of boys with an official decision of SEN who are educated in mainstream classes for at least 80% of the time (Q3.2) / The number of learners who are enrolled in all formal educational settings (Q1.2) x 100.</w:t>
      </w:r>
    </w:p>
    <w:p w14:paraId="5BD514B2" w14:textId="6C4254F3" w:rsidR="00751B98" w:rsidRPr="00D739A7" w:rsidRDefault="00EF3C3C" w:rsidP="00DF4149">
      <w:pPr>
        <w:pStyle w:val="Agency-body-text-report"/>
      </w:pPr>
      <w:r w:rsidRPr="00D739A7">
        <w:t>Girls</w:t>
      </w:r>
      <w:r w:rsidR="00751B98" w:rsidRPr="00D739A7">
        <w:t>: The number of girls with an official decision of SEN who are educated in mainstream classes for at least 80% of the time (Q3.2) / The number of learners who are enrolled in all formal educational settings (Q1.2) x 100.</w:t>
      </w:r>
    </w:p>
    <w:p w14:paraId="1887E7F4" w14:textId="19569554" w:rsidR="00751B98" w:rsidRPr="00D739A7" w:rsidRDefault="00751B98" w:rsidP="00DF4149">
      <w:pPr>
        <w:pStyle w:val="Agency-body-text-report"/>
        <w:rPr>
          <w:bCs/>
        </w:rPr>
      </w:pPr>
      <w:r w:rsidRPr="00D739A7">
        <w:rPr>
          <w:bCs/>
        </w:rPr>
        <w:t>Data is available from 2</w:t>
      </w:r>
      <w:r w:rsidR="000373E1" w:rsidRPr="00D739A7">
        <w:rPr>
          <w:bCs/>
        </w:rPr>
        <w:t>3</w:t>
      </w:r>
      <w:r w:rsidRPr="00D739A7">
        <w:rPr>
          <w:bCs/>
        </w:rPr>
        <w:t xml:space="preserve"> countries.</w:t>
      </w:r>
    </w:p>
    <w:p w14:paraId="30DA35B6" w14:textId="72DBB966" w:rsidR="00751B98" w:rsidRPr="00D739A7" w:rsidRDefault="00751B98" w:rsidP="00DF4149">
      <w:pPr>
        <w:pStyle w:val="Agency-body-text-report"/>
      </w:pPr>
      <w:r w:rsidRPr="00D739A7">
        <w:t xml:space="preserve">The inclusive education enrolment rates for </w:t>
      </w:r>
      <w:r w:rsidR="00EF3C3C" w:rsidRPr="00D739A7">
        <w:t>boys</w:t>
      </w:r>
      <w:r w:rsidRPr="00D739A7">
        <w:t xml:space="preserve"> with an official decision of SEN range from 0.0</w:t>
      </w:r>
      <w:r w:rsidR="000373E1" w:rsidRPr="00D739A7">
        <w:t>1</w:t>
      </w:r>
      <w:r w:rsidRPr="00D739A7">
        <w:t>% to 11.</w:t>
      </w:r>
      <w:r w:rsidR="000373E1" w:rsidRPr="00D739A7">
        <w:t>85</w:t>
      </w:r>
      <w:r w:rsidRPr="00D739A7">
        <w:t>%; the total average for the 2</w:t>
      </w:r>
      <w:r w:rsidR="000373E1" w:rsidRPr="00D739A7">
        <w:t>3</w:t>
      </w:r>
      <w:r w:rsidRPr="00D739A7">
        <w:t xml:space="preserve"> countries is 1.</w:t>
      </w:r>
      <w:r w:rsidR="000373E1" w:rsidRPr="00D739A7">
        <w:t>10</w:t>
      </w:r>
      <w:r w:rsidRPr="00D739A7">
        <w:t>%.</w:t>
      </w:r>
    </w:p>
    <w:p w14:paraId="3E4B5831" w14:textId="72648213" w:rsidR="00751B98" w:rsidRPr="00D739A7" w:rsidRDefault="00751B98" w:rsidP="00DF4149">
      <w:pPr>
        <w:pStyle w:val="Agency-body-text-report"/>
      </w:pPr>
      <w:r w:rsidRPr="00D739A7">
        <w:t xml:space="preserve">The inclusive education enrolment rates for </w:t>
      </w:r>
      <w:r w:rsidR="00EF3C3C" w:rsidRPr="00D739A7">
        <w:t>girls</w:t>
      </w:r>
      <w:r w:rsidRPr="00D739A7">
        <w:t xml:space="preserve"> with an official decision of SEN range from 0.0</w:t>
      </w:r>
      <w:r w:rsidR="000373E1" w:rsidRPr="00D739A7">
        <w:t>0</w:t>
      </w:r>
      <w:r w:rsidRPr="00D739A7">
        <w:t xml:space="preserve">% to </w:t>
      </w:r>
      <w:r w:rsidR="000373E1" w:rsidRPr="00D739A7">
        <w:t>9.09</w:t>
      </w:r>
      <w:r w:rsidRPr="00D739A7">
        <w:t>%; the total average for the 2</w:t>
      </w:r>
      <w:r w:rsidR="000373E1" w:rsidRPr="00D739A7">
        <w:t>3</w:t>
      </w:r>
      <w:r w:rsidRPr="00D739A7">
        <w:t xml:space="preserve"> countries is 0.</w:t>
      </w:r>
      <w:r w:rsidR="000373E1" w:rsidRPr="00D739A7">
        <w:t>55</w:t>
      </w:r>
      <w:r w:rsidRPr="00D739A7">
        <w:t>%.</w:t>
      </w:r>
    </w:p>
    <w:p w14:paraId="33549593" w14:textId="6EBF8552" w:rsidR="00751B98" w:rsidRPr="00D739A7" w:rsidRDefault="000373E1" w:rsidP="000373E1">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08D44A86" wp14:editId="7B8C4D36">
            <wp:extent cx="3067050" cy="7559644"/>
            <wp:effectExtent l="0" t="0" r="6350" b="10160"/>
            <wp:docPr id="108" name="Diagram 108" descr="Austria Boys 0.78 Girls 0.55&#10;Belgium (Fl) Boys 0.39 Girls 0.14&#10;Bulgaria Boys 0.62 Girls 0.40&#10;Cyprus Boys 4.31 Girls 1.95&#10;Czech Republic Boys 2.40 Girls 1.23&#10;Estonia Boys 0.19 Girls 0.21&#10;France Boys 0.58 Girls 0.26&#10;Germany Boys 0.05 Girls 0.03&#10;Greece Boys 4.47 Girls 1.94&#10;Hungary Boys 2.55 Girls 1.23&#10;Ireland Boys 2.32 Girls 1.09&#10;Italy Boys 1.65 Girls 0.82&#10;Lithuania Boys 0.52 Girls 0.38&#10;Poland Boys 0.54 Girls 0.35&#10;Portugal Boys 1.80 Girls 1.23&#10;Slovakia Boys 3.00 Girls 1.26&#10;Slovenia Boys 4.31 Girls 2.73&#10;Spain Boys 0.93 Girls 0.43&#10;Sweden Boys 0.01 Girls 0.00&#10;UK (England) Boys 1.26 Girls 0.44&#10;UK (N. Ireland) Boys 1.45 Girls 0.64&#10;UK (Scotland) Boys 11.85 Girls 9.09&#10;UK (Wales) Boys 0.88 Girls 0.35&#10;Total average (23 countries) Boys 1.10 Girls 0.55">
              <a:extLst xmlns:a="http://schemas.openxmlformats.org/drawingml/2006/main">
                <a:ext uri="{FF2B5EF4-FFF2-40B4-BE49-F238E27FC236}">
                  <a16:creationId xmlns:a16="http://schemas.microsoft.com/office/drawing/2014/main" id="{0B4FC25F-8E76-4DDB-835E-94C5779E74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4EFB0696" w14:textId="2D9474B6" w:rsidR="00751B98" w:rsidRPr="00D739A7" w:rsidRDefault="00830A4A" w:rsidP="004A29D9">
      <w:pPr>
        <w:pStyle w:val="Agency-caption-report"/>
        <w:rPr>
          <w:b w:val="0"/>
          <w:bCs w:val="0"/>
        </w:rPr>
        <w:sectPr w:rsidR="00751B98" w:rsidRPr="00D739A7" w:rsidSect="0000679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91</w:t>
      </w:r>
      <w:r w:rsidRPr="00D739A7">
        <w:fldChar w:fldCharType="end"/>
      </w:r>
      <w:r w:rsidR="00751B98" w:rsidRPr="00D739A7">
        <w:t>. Gender breakdown of learners with an official decision of SEN in inclusive settings, based on the enrolled school population (%)</w:t>
      </w:r>
    </w:p>
    <w:p w14:paraId="0F388EB3" w14:textId="77777777" w:rsidR="00751B98" w:rsidRPr="00D739A7" w:rsidRDefault="00751B98" w:rsidP="004A29D9">
      <w:pPr>
        <w:pStyle w:val="Agency-heading-4-report"/>
        <w:rPr>
          <w:bCs w:val="0"/>
          <w:i w:val="0"/>
        </w:rPr>
        <w:sectPr w:rsidR="00751B98" w:rsidRPr="00D739A7" w:rsidSect="00751B98">
          <w:pgSz w:w="11899" w:h="16838"/>
          <w:pgMar w:top="1134" w:right="1551" w:bottom="1276" w:left="1418" w:header="709" w:footer="709" w:gutter="0"/>
          <w:cols w:space="710"/>
          <w:docGrid w:linePitch="360"/>
        </w:sectPr>
      </w:pPr>
      <w:r w:rsidRPr="00D739A7">
        <w:lastRenderedPageBreak/>
        <w:t>Gender distribution of learners with an official decision of SEN in inclusive settings, based on the enrolled school population (%)</w:t>
      </w:r>
    </w:p>
    <w:p w14:paraId="07C71337" w14:textId="77777777" w:rsidR="00751B98" w:rsidRPr="00D739A7" w:rsidRDefault="00751B98" w:rsidP="00DF4149">
      <w:pPr>
        <w:pStyle w:val="Agency-body-text-report"/>
      </w:pPr>
      <w:r w:rsidRPr="00D739A7">
        <w:t>The gender distributions have been calculated as follows:</w:t>
      </w:r>
    </w:p>
    <w:p w14:paraId="7B38E291" w14:textId="14DF1535" w:rsidR="00751B98" w:rsidRPr="00D739A7" w:rsidRDefault="00EF3C3C" w:rsidP="00DF4149">
      <w:pPr>
        <w:pStyle w:val="Agency-body-text-report"/>
        <w:rPr>
          <w:szCs w:val="20"/>
        </w:rPr>
      </w:pPr>
      <w:r w:rsidRPr="00D739A7">
        <w:t>Boys</w:t>
      </w:r>
      <w:r w:rsidR="00751B98" w:rsidRPr="00D739A7">
        <w:t>:</w:t>
      </w:r>
      <w:r w:rsidR="00751B98" w:rsidRPr="00D739A7">
        <w:rPr>
          <w:szCs w:val="20"/>
        </w:rPr>
        <w:t xml:space="preserve"> The number of boys with an official decision of SEN who are educated in mainstream classes for at least 80% of the time (Q3.2) / The number of learners with an official decision of SEN who are educated in mainstream classes for at least 80% of the time (Q3.2) x 100.</w:t>
      </w:r>
    </w:p>
    <w:p w14:paraId="5058E0B7" w14:textId="4D3D40EF" w:rsidR="00751B98" w:rsidRPr="00D739A7" w:rsidRDefault="00EF3C3C" w:rsidP="00DF4149">
      <w:pPr>
        <w:pStyle w:val="Agency-body-text-report"/>
      </w:pPr>
      <w:r w:rsidRPr="00D739A7">
        <w:t>Girls</w:t>
      </w:r>
      <w:r w:rsidR="00751B98" w:rsidRPr="00D739A7">
        <w:t>: The number of girls with an official decision of SEN who are educated in mainstream classes for at least 80% of the time (Q3.2) / The number of learners with an official decision of SEN who are educated in mainstream classes for at least 80% of the time (Q3.2) x 100.</w:t>
      </w:r>
    </w:p>
    <w:p w14:paraId="7CB1B90C" w14:textId="75578EC0" w:rsidR="00751B98" w:rsidRPr="00D739A7" w:rsidRDefault="00751B98" w:rsidP="00DF4149">
      <w:pPr>
        <w:pStyle w:val="Agency-body-text-report"/>
        <w:rPr>
          <w:bCs/>
        </w:rPr>
      </w:pPr>
      <w:r w:rsidRPr="00D739A7">
        <w:rPr>
          <w:bCs/>
        </w:rPr>
        <w:t>Data is available from 2</w:t>
      </w:r>
      <w:r w:rsidR="000373E1" w:rsidRPr="00D739A7">
        <w:rPr>
          <w:bCs/>
        </w:rPr>
        <w:t>3</w:t>
      </w:r>
      <w:r w:rsidRPr="00D739A7">
        <w:rPr>
          <w:bCs/>
        </w:rPr>
        <w:t xml:space="preserve"> countries.</w:t>
      </w:r>
    </w:p>
    <w:p w14:paraId="49150921" w14:textId="4B12A1C0" w:rsidR="00751B98" w:rsidRPr="00D739A7" w:rsidRDefault="00751B98" w:rsidP="00DF4149">
      <w:pPr>
        <w:pStyle w:val="Agency-body-text-report"/>
        <w:rPr>
          <w:bCs/>
        </w:rPr>
      </w:pPr>
      <w:r w:rsidRPr="00D739A7">
        <w:rPr>
          <w:bCs/>
        </w:rPr>
        <w:t>The proportion of boys</w:t>
      </w:r>
      <w:r w:rsidRPr="00D739A7">
        <w:t xml:space="preserve"> </w:t>
      </w:r>
      <w:r w:rsidRPr="00D739A7">
        <w:rPr>
          <w:bCs/>
        </w:rPr>
        <w:t xml:space="preserve">with an official decision of SEN in inclusive settings ranges from </w:t>
      </w:r>
      <w:r w:rsidR="00222E7F" w:rsidRPr="00D739A7">
        <w:rPr>
          <w:bCs/>
        </w:rPr>
        <w:t>47.62</w:t>
      </w:r>
      <w:r w:rsidRPr="00D739A7">
        <w:rPr>
          <w:bCs/>
        </w:rPr>
        <w:t>% to 7</w:t>
      </w:r>
      <w:r w:rsidR="000373E1" w:rsidRPr="00D739A7">
        <w:rPr>
          <w:bCs/>
        </w:rPr>
        <w:t>4.17</w:t>
      </w:r>
      <w:r w:rsidRPr="00D739A7">
        <w:rPr>
          <w:bCs/>
        </w:rPr>
        <w:t>%; the total average for the 2</w:t>
      </w:r>
      <w:r w:rsidR="000373E1" w:rsidRPr="00D739A7">
        <w:rPr>
          <w:bCs/>
        </w:rPr>
        <w:t>3</w:t>
      </w:r>
      <w:r w:rsidRPr="00D739A7">
        <w:rPr>
          <w:bCs/>
        </w:rPr>
        <w:t xml:space="preserve"> countries is 6</w:t>
      </w:r>
      <w:r w:rsidR="00864F85" w:rsidRPr="00D739A7">
        <w:rPr>
          <w:bCs/>
        </w:rPr>
        <w:t>6.68</w:t>
      </w:r>
      <w:r w:rsidRPr="00D739A7">
        <w:rPr>
          <w:bCs/>
        </w:rPr>
        <w:t>%.</w:t>
      </w:r>
    </w:p>
    <w:p w14:paraId="5EF534B7" w14:textId="0032F3F9" w:rsidR="000373E1" w:rsidRPr="00D739A7" w:rsidRDefault="00751B98" w:rsidP="00DF4149">
      <w:pPr>
        <w:pStyle w:val="Agency-body-text-report"/>
        <w:rPr>
          <w:bCs/>
        </w:rPr>
      </w:pPr>
      <w:r w:rsidRPr="00D739A7">
        <w:rPr>
          <w:bCs/>
        </w:rPr>
        <w:t>The proportion of girls</w:t>
      </w:r>
      <w:r w:rsidRPr="00D739A7">
        <w:t xml:space="preserve"> </w:t>
      </w:r>
      <w:r w:rsidRPr="00D739A7">
        <w:rPr>
          <w:bCs/>
        </w:rPr>
        <w:t>with an official decision of SEN in inclusive settings ranges from 2</w:t>
      </w:r>
      <w:r w:rsidR="000373E1" w:rsidRPr="00D739A7">
        <w:rPr>
          <w:bCs/>
        </w:rPr>
        <w:t>5.83</w:t>
      </w:r>
      <w:r w:rsidRPr="00D739A7">
        <w:rPr>
          <w:bCs/>
        </w:rPr>
        <w:t xml:space="preserve">% to </w:t>
      </w:r>
      <w:r w:rsidR="00222E7F" w:rsidRPr="00D739A7">
        <w:rPr>
          <w:bCs/>
        </w:rPr>
        <w:t>52.38</w:t>
      </w:r>
      <w:r w:rsidRPr="00D739A7">
        <w:rPr>
          <w:bCs/>
        </w:rPr>
        <w:t>%; the total average for the 2</w:t>
      </w:r>
      <w:r w:rsidR="000373E1" w:rsidRPr="00D739A7">
        <w:rPr>
          <w:bCs/>
        </w:rPr>
        <w:t>3</w:t>
      </w:r>
      <w:r w:rsidRPr="00D739A7">
        <w:rPr>
          <w:bCs/>
        </w:rPr>
        <w:t xml:space="preserve"> countries is 3</w:t>
      </w:r>
      <w:r w:rsidR="00864F85" w:rsidRPr="00D739A7">
        <w:rPr>
          <w:bCs/>
        </w:rPr>
        <w:t>3.32</w:t>
      </w:r>
      <w:r w:rsidRPr="00D739A7">
        <w:rPr>
          <w:bCs/>
        </w:rPr>
        <w:t>%.</w:t>
      </w:r>
    </w:p>
    <w:p w14:paraId="581AB9C9" w14:textId="22B4C2E3" w:rsidR="00751B98" w:rsidRPr="00D739A7" w:rsidRDefault="000373E1" w:rsidP="000373E1">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5664FEDD" wp14:editId="3C2C9E7C">
            <wp:extent cx="3060700" cy="7599045"/>
            <wp:effectExtent l="0" t="0" r="12700" b="8255"/>
            <wp:docPr id="109" name="Diagram 109" descr="Austria Boys 58.81 Girls 41.19&#10;Belgium (Fl) Boys 73.79 Girls 26.21&#10;Bulgaria Boys 60.82 Girls 39.18&#10;Cyprus Boys 68.81 Girls 31.19&#10;Czech Republic Boys 66.15 Girls 33.85&#10;Estonia Boys 47.62 Girls 52.38&#10;France Boys 69.41 Girls 30.59&#10;Germany Boys 65.61 Girls 34.39&#10;Greece Boys 69.70 Girls 30.30&#10;Hungary Boys 67.47 Girls 32.53&#10;Ireland Boys 68.11 Girls 31.89&#10;Italy Boys 66.83 Girls 33.17&#10;Lithuania Boys 58.22 Girls 41.78&#10;Poland Boys 60.50 Girls 39.50&#10;Portugal Boys 59.38 Girls 40.62&#10;Slovakia Boys 70.36 Girls 29.64&#10;Slovenia Boys 61.26 Girls 38.74&#10;Spain Boys 68.23 Girls 31.77&#10;Sweden Boys 58.33 Girls 41.67&#10;UK (England) Boys 74.17 Girls 25.83&#10;UK (N. Ireland) Boys 69.44 Girls 30.56&#10;UK (Scotland) Boys 56.60 Girls 43.40&#10;UK (Wales) Boys 71.51 Girls 28.49&#10;Total average (23 countries) Boys 66.68 Girls 33.32">
              <a:extLst xmlns:a="http://schemas.openxmlformats.org/drawingml/2006/main">
                <a:ext uri="{FF2B5EF4-FFF2-40B4-BE49-F238E27FC236}">
                  <a16:creationId xmlns:a16="http://schemas.microsoft.com/office/drawing/2014/main" id="{D9077503-B244-41E5-84D9-FFBA827E9D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14564491" w14:textId="7478C84E" w:rsidR="00751B98" w:rsidRPr="00D739A7" w:rsidRDefault="00830A4A" w:rsidP="004A29D9">
      <w:pPr>
        <w:pStyle w:val="Agency-caption-report"/>
        <w:spacing w:before="120" w:after="120"/>
        <w:rPr>
          <w:b w:val="0"/>
          <w:bCs w:val="0"/>
        </w:rPr>
        <w:sectPr w:rsidR="00751B98" w:rsidRPr="00D739A7" w:rsidSect="0000679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92</w:t>
      </w:r>
      <w:r w:rsidRPr="00D739A7">
        <w:fldChar w:fldCharType="end"/>
      </w:r>
      <w:r w:rsidR="00751B98" w:rsidRPr="00D739A7">
        <w:t>. Gender distribution of learners with an official decision of SEN in inclusive settings, based on the enrolled school population (%)</w:t>
      </w:r>
    </w:p>
    <w:p w14:paraId="1F64C961" w14:textId="4F9A0A94" w:rsidR="00751B98" w:rsidRPr="00D739A7" w:rsidRDefault="00436B97" w:rsidP="004A29D9">
      <w:pPr>
        <w:pStyle w:val="Agency-heading-3-report"/>
        <w:rPr>
          <w:b w:val="0"/>
        </w:rPr>
        <w:sectPr w:rsidR="00751B98" w:rsidRPr="00D739A7" w:rsidSect="00751B98">
          <w:pgSz w:w="11899" w:h="16838"/>
          <w:pgMar w:top="1134" w:right="1551" w:bottom="1276" w:left="1418" w:header="709" w:footer="709" w:gutter="0"/>
          <w:cols w:space="710"/>
          <w:docGrid w:linePitch="360"/>
        </w:sectPr>
      </w:pPr>
      <w:bookmarkStart w:id="84" w:name="_Toc35943071"/>
      <w:r w:rsidRPr="00D739A7">
        <w:lastRenderedPageBreak/>
        <w:t>Indicator </w:t>
      </w:r>
      <w:r w:rsidR="00903978" w:rsidRPr="00D739A7">
        <w:t>3.</w:t>
      </w:r>
      <w:r w:rsidRPr="00D739A7">
        <w:t>3</w:t>
      </w:r>
      <w:r w:rsidR="00751B98" w:rsidRPr="00D739A7">
        <w:t>b.2: the percentage of learners with an official decision of SEN in special classes in mainstream schools, based on the enrolled school population (%)</w:t>
      </w:r>
      <w:bookmarkEnd w:id="84"/>
    </w:p>
    <w:p w14:paraId="788E5FFB" w14:textId="78B1DA6E" w:rsidR="00751B98" w:rsidRPr="00D739A7" w:rsidRDefault="00751B98" w:rsidP="00811D75">
      <w:pPr>
        <w:pStyle w:val="Agency-body-text-report"/>
      </w:pPr>
      <w:r w:rsidRPr="00D739A7">
        <w:t>The data focuses on learners with an official decision of SEN</w:t>
      </w:r>
      <w:r w:rsidR="00811D75" w:rsidRPr="00D739A7">
        <w:t>,</w:t>
      </w:r>
      <w:r w:rsidRPr="00D739A7">
        <w:t xml:space="preserve"> in line with the EASIE operational definition, who are enrolled in separate special classes in mainstream schools, in line with the 80% placement benchmark for inclusive education (or the most relevant proxy for this benchmark), i.e. these learners are enrolled in a mainstream school, but they spend the majority of their time away from their peers.</w:t>
      </w:r>
    </w:p>
    <w:p w14:paraId="090526E9" w14:textId="77777777" w:rsidR="00751B98" w:rsidRPr="00D739A7" w:rsidRDefault="00751B98" w:rsidP="00811D75">
      <w:pPr>
        <w:pStyle w:val="Agency-body-text-report"/>
      </w:pPr>
      <w:r w:rsidRPr="00D739A7">
        <w:t>This indicator has been calculated as follows: The number of learners with an official decision of SEN who are educated in separate special classes in mainstream schools (Q3.3) / The number of learners who are enrolled in all formal educational settings (Q1.2) x 100.</w:t>
      </w:r>
    </w:p>
    <w:p w14:paraId="25B25C8A" w14:textId="35BF612F" w:rsidR="00751B98" w:rsidRPr="00D739A7" w:rsidRDefault="00751B98" w:rsidP="00811D75">
      <w:pPr>
        <w:pStyle w:val="Agency-body-text-report"/>
      </w:pPr>
      <w:r w:rsidRPr="00D739A7">
        <w:t xml:space="preserve">Data is available from </w:t>
      </w:r>
      <w:r w:rsidR="00CA7E6B" w:rsidRPr="00D739A7">
        <w:t>17</w:t>
      </w:r>
      <w:r w:rsidRPr="00D739A7">
        <w:t xml:space="preserve"> countries.</w:t>
      </w:r>
    </w:p>
    <w:p w14:paraId="4694CDD5" w14:textId="26B856AA" w:rsidR="00751B98" w:rsidRPr="00D739A7" w:rsidRDefault="00751B98" w:rsidP="00811D75">
      <w:pPr>
        <w:pStyle w:val="Agency-body-text-report"/>
      </w:pPr>
      <w:r w:rsidRPr="00D739A7">
        <w:t>The</w:t>
      </w:r>
      <w:r w:rsidR="00727901" w:rsidRPr="00D739A7">
        <w:t xml:space="preserve"> enrolment rates for learners in separate special classes in mainstream schools</w:t>
      </w:r>
      <w:r w:rsidRPr="00D739A7">
        <w:t xml:space="preserve"> range from 0.0</w:t>
      </w:r>
      <w:r w:rsidR="00CA7E6B" w:rsidRPr="00D739A7">
        <w:t>1</w:t>
      </w:r>
      <w:r w:rsidRPr="00D739A7">
        <w:t xml:space="preserve">% to </w:t>
      </w:r>
      <w:r w:rsidR="00CA7E6B" w:rsidRPr="00D739A7">
        <w:t>1.99</w:t>
      </w:r>
      <w:r w:rsidRPr="00D739A7">
        <w:t xml:space="preserve">%; the total average for the </w:t>
      </w:r>
      <w:r w:rsidR="00CA7E6B" w:rsidRPr="00D739A7">
        <w:t>17</w:t>
      </w:r>
      <w:r w:rsidRPr="00D739A7">
        <w:t xml:space="preserve"> countries is 0.</w:t>
      </w:r>
      <w:r w:rsidR="00CA7E6B" w:rsidRPr="00D739A7">
        <w:t>31</w:t>
      </w:r>
      <w:r w:rsidRPr="00D739A7">
        <w:t>%.</w:t>
      </w:r>
    </w:p>
    <w:p w14:paraId="3EF09E23" w14:textId="22B32F7C" w:rsidR="00751B98" w:rsidRPr="00D739A7" w:rsidRDefault="00CA7E6B" w:rsidP="00CA7E6B">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0262E8ED" wp14:editId="6DD35D52">
            <wp:extent cx="3060700" cy="7405735"/>
            <wp:effectExtent l="0" t="0" r="12700" b="11430"/>
            <wp:docPr id="110" name="Diagram 110" descr="Bulgaria 0.16&#10;Cyprus 0.58&#10;Czech Republic 1.14&#10;Estonia 0.01&#10;France 0.18&#10;Greece 0.03&#10;Hungary 1.99&#10;Ireland 0.43&#10;Latvia 0.03&#10;Lithuania 0.26&#10;Luxembourg 0.41&#10;Poland 0.02&#10;Portugal 0.84&#10;Serbia 0.17&#10;Slovakia 0.05&#10;UK (England) 0.12&#10;UK (N. Ireland) 0.04&#10;Total average (17 countries) 0.31">
              <a:extLst xmlns:a="http://schemas.openxmlformats.org/drawingml/2006/main">
                <a:ext uri="{FF2B5EF4-FFF2-40B4-BE49-F238E27FC236}">
                  <a16:creationId xmlns:a16="http://schemas.microsoft.com/office/drawing/2014/main" id="{D05D08CE-FA92-476D-B70C-BCD597BCB3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FEF8752" w14:textId="7074DD62" w:rsidR="00751B98" w:rsidRPr="00D739A7" w:rsidRDefault="00830A4A" w:rsidP="004A29D9">
      <w:pPr>
        <w:pStyle w:val="Agency-caption-report"/>
        <w:rPr>
          <w:b w:val="0"/>
          <w:bCs w:val="0"/>
        </w:rPr>
        <w:sectPr w:rsidR="00751B98" w:rsidRPr="00D739A7" w:rsidSect="0000679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93</w:t>
      </w:r>
      <w:r w:rsidRPr="00D739A7">
        <w:fldChar w:fldCharType="end"/>
      </w:r>
      <w:r w:rsidR="00751B98" w:rsidRPr="00D739A7">
        <w:t>. Percentage of learners with an official decision of SEN in special classes, based on the enrolled school population (%)</w:t>
      </w:r>
    </w:p>
    <w:p w14:paraId="13273021" w14:textId="77777777" w:rsidR="00751B98" w:rsidRPr="00D739A7" w:rsidRDefault="00751B98" w:rsidP="004A29D9">
      <w:pPr>
        <w:pStyle w:val="Agency-heading-4-report"/>
        <w:rPr>
          <w:bCs w:val="0"/>
          <w:i w:val="0"/>
        </w:rPr>
        <w:sectPr w:rsidR="00751B98" w:rsidRPr="00D739A7" w:rsidSect="00751B98">
          <w:pgSz w:w="11899" w:h="16838"/>
          <w:pgMar w:top="1134" w:right="1551" w:bottom="1276" w:left="1418" w:header="709" w:footer="709" w:gutter="0"/>
          <w:cols w:space="710"/>
          <w:docGrid w:linePitch="360"/>
        </w:sectPr>
      </w:pPr>
      <w:r w:rsidRPr="00D739A7">
        <w:lastRenderedPageBreak/>
        <w:t>Gender breakdown of learners with an official decision of SEN in special classes, based on the enrolled school population (%)</w:t>
      </w:r>
    </w:p>
    <w:p w14:paraId="616E2592" w14:textId="77777777" w:rsidR="00751B98" w:rsidRPr="00D739A7" w:rsidRDefault="00751B98" w:rsidP="00811D75">
      <w:pPr>
        <w:pStyle w:val="Agency-body-text-report"/>
      </w:pPr>
      <w:r w:rsidRPr="00D739A7">
        <w:t>The gender breakdowns have been calculated as follows:</w:t>
      </w:r>
    </w:p>
    <w:p w14:paraId="59A44C19" w14:textId="08E19160" w:rsidR="00751B98" w:rsidRPr="00D739A7" w:rsidRDefault="00EF3C3C" w:rsidP="00811D75">
      <w:pPr>
        <w:pStyle w:val="Agency-body-text-report"/>
      </w:pPr>
      <w:r w:rsidRPr="00D739A7">
        <w:t>Boys</w:t>
      </w:r>
      <w:r w:rsidR="00751B98" w:rsidRPr="00D739A7">
        <w:t>: The number of boys with an official decision of SEN who are educated in separate special classes in mainstream schools (</w:t>
      </w:r>
      <w:r w:rsidR="007237E0" w:rsidRPr="00D739A7">
        <w:t>Q3</w:t>
      </w:r>
      <w:r w:rsidR="00751B98" w:rsidRPr="00D739A7">
        <w:t>.3) / The number of learners who are enrolled in all formal educational settings (Q1.2) x 100.</w:t>
      </w:r>
    </w:p>
    <w:p w14:paraId="0F0830CE" w14:textId="5092CCA4" w:rsidR="00751B98" w:rsidRPr="00D739A7" w:rsidRDefault="00EF3C3C" w:rsidP="00811D75">
      <w:pPr>
        <w:pStyle w:val="Agency-body-text-report"/>
      </w:pPr>
      <w:r w:rsidRPr="00D739A7">
        <w:t>Girls</w:t>
      </w:r>
      <w:r w:rsidR="00751B98" w:rsidRPr="00D739A7">
        <w:t>: The number of girls with an official decision of SEN who are educated in separate special classes in mainstream schools (</w:t>
      </w:r>
      <w:r w:rsidR="007237E0" w:rsidRPr="00D739A7">
        <w:t>Q3</w:t>
      </w:r>
      <w:r w:rsidR="00751B98" w:rsidRPr="00D739A7">
        <w:t>.3) / The number of learners who are enrolled in all formal educational settings (Q1.2) x 100.</w:t>
      </w:r>
    </w:p>
    <w:p w14:paraId="4844FA85" w14:textId="11F02D2B" w:rsidR="00751B98" w:rsidRPr="00D739A7" w:rsidRDefault="00751B98" w:rsidP="00811D75">
      <w:pPr>
        <w:pStyle w:val="Agency-body-text-report"/>
        <w:rPr>
          <w:bCs/>
        </w:rPr>
      </w:pPr>
      <w:r w:rsidRPr="00D739A7">
        <w:rPr>
          <w:bCs/>
        </w:rPr>
        <w:t>Data is available from 1</w:t>
      </w:r>
      <w:r w:rsidR="00CA7E6B" w:rsidRPr="00D739A7">
        <w:rPr>
          <w:bCs/>
        </w:rPr>
        <w:t>6</w:t>
      </w:r>
      <w:r w:rsidRPr="00D739A7">
        <w:rPr>
          <w:bCs/>
        </w:rPr>
        <w:t xml:space="preserve"> countries.</w:t>
      </w:r>
    </w:p>
    <w:p w14:paraId="194B9630" w14:textId="5E3EC06C" w:rsidR="00751B98" w:rsidRPr="00D739A7" w:rsidRDefault="00751B98" w:rsidP="00811D75">
      <w:pPr>
        <w:pStyle w:val="Agency-body-text-report"/>
      </w:pPr>
      <w:r w:rsidRPr="00D739A7">
        <w:t xml:space="preserve">The separate special class enrolment rates for </w:t>
      </w:r>
      <w:r w:rsidR="00EF3C3C" w:rsidRPr="00D739A7">
        <w:t>boys</w:t>
      </w:r>
      <w:r w:rsidRPr="00D739A7">
        <w:t xml:space="preserve"> with an official decision of SEN range from 0.0</w:t>
      </w:r>
      <w:r w:rsidR="00CA7E6B" w:rsidRPr="00D739A7">
        <w:t>0</w:t>
      </w:r>
      <w:r w:rsidRPr="00D739A7">
        <w:t xml:space="preserve">% to </w:t>
      </w:r>
      <w:r w:rsidR="00CA7E6B" w:rsidRPr="00D739A7">
        <w:t>1.17</w:t>
      </w:r>
      <w:r w:rsidRPr="00D739A7">
        <w:t>%; the total average for the 1</w:t>
      </w:r>
      <w:r w:rsidR="00CA7E6B" w:rsidRPr="00D739A7">
        <w:t>6</w:t>
      </w:r>
      <w:r w:rsidRPr="00D739A7">
        <w:t xml:space="preserve"> countries is 0.</w:t>
      </w:r>
      <w:r w:rsidR="00CA7E6B" w:rsidRPr="00D739A7">
        <w:t>19</w:t>
      </w:r>
      <w:r w:rsidRPr="00D739A7">
        <w:t>%.</w:t>
      </w:r>
    </w:p>
    <w:p w14:paraId="1DAFCCE2" w14:textId="2868DAFC" w:rsidR="00CA7E6B" w:rsidRPr="00D739A7" w:rsidRDefault="00751B98" w:rsidP="00811D75">
      <w:pPr>
        <w:pStyle w:val="Agency-body-text-report"/>
      </w:pPr>
      <w:r w:rsidRPr="00D739A7">
        <w:t xml:space="preserve">The separate special class enrolment rates for </w:t>
      </w:r>
      <w:r w:rsidR="00EF3C3C" w:rsidRPr="00D739A7">
        <w:t>girls</w:t>
      </w:r>
      <w:r w:rsidRPr="00D739A7">
        <w:t xml:space="preserve"> with an official decision of SEN range from 0.0</w:t>
      </w:r>
      <w:r w:rsidR="00CA7E6B" w:rsidRPr="00D739A7">
        <w:t>1</w:t>
      </w:r>
      <w:r w:rsidRPr="00D739A7">
        <w:t xml:space="preserve">% to </w:t>
      </w:r>
      <w:r w:rsidR="00CA7E6B" w:rsidRPr="00D739A7">
        <w:t>0.82</w:t>
      </w:r>
      <w:r w:rsidRPr="00D739A7">
        <w:t>%; the total average for the 1</w:t>
      </w:r>
      <w:r w:rsidR="00CA7E6B" w:rsidRPr="00D739A7">
        <w:t>6</w:t>
      </w:r>
      <w:r w:rsidRPr="00D739A7">
        <w:t xml:space="preserve"> countries is 0.</w:t>
      </w:r>
      <w:r w:rsidR="00CA7E6B" w:rsidRPr="00D739A7">
        <w:t>12</w:t>
      </w:r>
      <w:r w:rsidRPr="00D739A7">
        <w:t>%.</w:t>
      </w:r>
    </w:p>
    <w:p w14:paraId="74A5E47F" w14:textId="1BCABF0D" w:rsidR="00751B98" w:rsidRPr="00D739A7" w:rsidRDefault="00CA7E6B" w:rsidP="00CA7E6B">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48724621" wp14:editId="165C244E">
            <wp:extent cx="3035300" cy="7487216"/>
            <wp:effectExtent l="0" t="0" r="12700" b="6350"/>
            <wp:docPr id="111" name="Diagram 111" descr="Bulgaria Boys 0.10 Girls 0.06&#10;Cyprus Boys 0.30 Girls 0.28&#10;Czech Republic Boys 0.70 Girls 0.44&#10;Estonia Boys 0.00 Girls 0.01&#10;France Boys 0.11 Girls 0.07&#10;Greece Boys 0.02 Girls 0.02&#10;Hungary Boys 1.17 Girls 0.82&#10;Ireland Boys 0.33 Girls 0.09&#10;Latvia Boys 0.02 Girls 0.02&#10;Lithuania Boys 0.15 Girls 0.11&#10;Poland Boys 0.01 Girls 0.01&#10;Portugal Boys 0.49 Girls 0.34&#10;Serbia Boys 0.09 Girls 0.08&#10;Slovakia Boys 0.03 Girls 0.02&#10;UK (England) Boys 0.09 Girls 0.03&#10;UK (N. Ireland) Boys 0.02 Girls 0.02&#10;Total average (16 countries) Boys 0.19 Girls 0.12">
              <a:extLst xmlns:a="http://schemas.openxmlformats.org/drawingml/2006/main">
                <a:ext uri="{FF2B5EF4-FFF2-40B4-BE49-F238E27FC236}">
                  <a16:creationId xmlns:a16="http://schemas.microsoft.com/office/drawing/2014/main" id="{46164362-30C1-496A-992F-683D06A34D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1B3BC065" w14:textId="09BD5145" w:rsidR="00751B98" w:rsidRPr="00D739A7" w:rsidRDefault="00830A4A" w:rsidP="004A29D9">
      <w:pPr>
        <w:pStyle w:val="Agency-caption-report"/>
        <w:rPr>
          <w:b w:val="0"/>
          <w:bCs w:val="0"/>
        </w:rPr>
        <w:sectPr w:rsidR="00751B98" w:rsidRPr="00D739A7" w:rsidSect="0000679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94</w:t>
      </w:r>
      <w:r w:rsidRPr="00D739A7">
        <w:fldChar w:fldCharType="end"/>
      </w:r>
      <w:r w:rsidR="00751B98" w:rsidRPr="00D739A7">
        <w:t>. Gender breakdown of learners with an official decision of SEN in special classes, based on the enrolled school population (%)</w:t>
      </w:r>
    </w:p>
    <w:p w14:paraId="5E5097AA" w14:textId="77777777" w:rsidR="00751B98" w:rsidRPr="00D739A7" w:rsidRDefault="00751B98" w:rsidP="004A29D9">
      <w:pPr>
        <w:pStyle w:val="Agency-heading-4-report"/>
        <w:rPr>
          <w:bCs w:val="0"/>
          <w:i w:val="0"/>
        </w:rPr>
        <w:sectPr w:rsidR="00751B98" w:rsidRPr="00D739A7" w:rsidSect="00751B98">
          <w:pgSz w:w="11899" w:h="16838"/>
          <w:pgMar w:top="1134" w:right="1551" w:bottom="1276" w:left="1418" w:header="709" w:footer="709" w:gutter="0"/>
          <w:cols w:space="710"/>
          <w:docGrid w:linePitch="360"/>
        </w:sectPr>
      </w:pPr>
      <w:r w:rsidRPr="00D739A7">
        <w:lastRenderedPageBreak/>
        <w:t>Gender distribution of learners with an official decision of SEN in special classes, based on the enrolled school population (%)</w:t>
      </w:r>
    </w:p>
    <w:p w14:paraId="54D73EB5" w14:textId="77777777" w:rsidR="00751B98" w:rsidRPr="00D739A7" w:rsidRDefault="00751B98" w:rsidP="00CF0039">
      <w:pPr>
        <w:pStyle w:val="Agency-body-text-report"/>
      </w:pPr>
      <w:r w:rsidRPr="00D739A7">
        <w:t>The gender distributions have been calculated as follows:</w:t>
      </w:r>
    </w:p>
    <w:p w14:paraId="608D7972" w14:textId="2AC19555" w:rsidR="00751B98" w:rsidRPr="00D739A7" w:rsidRDefault="00EF3C3C" w:rsidP="00CF0039">
      <w:pPr>
        <w:pStyle w:val="Agency-body-text-report"/>
      </w:pPr>
      <w:r w:rsidRPr="00D739A7">
        <w:t>Boys</w:t>
      </w:r>
      <w:r w:rsidR="00751B98" w:rsidRPr="00D739A7">
        <w:t>: The number of boys with an official decision of SEN who are educated in separate special classes in mainstream schools (</w:t>
      </w:r>
      <w:r w:rsidR="007237E0" w:rsidRPr="00D739A7">
        <w:t>Q3</w:t>
      </w:r>
      <w:r w:rsidR="00751B98" w:rsidRPr="00D739A7">
        <w:t>.3) / The number of learners with an official decision of SEN who are educated in separate special classes in mainstream schools (Q3.3) x 100.</w:t>
      </w:r>
    </w:p>
    <w:p w14:paraId="2E79067F" w14:textId="5F8AAAFB" w:rsidR="00751B98" w:rsidRPr="00D739A7" w:rsidRDefault="00EF3C3C" w:rsidP="00CF0039">
      <w:pPr>
        <w:pStyle w:val="Agency-body-text-report"/>
      </w:pPr>
      <w:r w:rsidRPr="00D739A7">
        <w:t>Girls</w:t>
      </w:r>
      <w:r w:rsidR="00751B98" w:rsidRPr="00D739A7">
        <w:t>: The number of girls with an official decision of SEN who are educated in separate special classes in mainstream schools (</w:t>
      </w:r>
      <w:r w:rsidR="007237E0" w:rsidRPr="00D739A7">
        <w:t>Q3</w:t>
      </w:r>
      <w:r w:rsidR="00751B98" w:rsidRPr="00D739A7">
        <w:t>.3) / The number of learners with an official decision of SEN who are educated in separate special classes in mainstream schools (Q3.3) x 100.</w:t>
      </w:r>
    </w:p>
    <w:p w14:paraId="73FB082E" w14:textId="439D755E" w:rsidR="00751B98" w:rsidRPr="00D739A7" w:rsidRDefault="00751B98" w:rsidP="00CF0039">
      <w:pPr>
        <w:pStyle w:val="Agency-body-text-report"/>
        <w:rPr>
          <w:bCs/>
        </w:rPr>
      </w:pPr>
      <w:r w:rsidRPr="00D739A7">
        <w:rPr>
          <w:bCs/>
        </w:rPr>
        <w:t>Data is available from 1</w:t>
      </w:r>
      <w:r w:rsidR="00CA7E6B" w:rsidRPr="00D739A7">
        <w:rPr>
          <w:bCs/>
        </w:rPr>
        <w:t>6</w:t>
      </w:r>
      <w:r w:rsidRPr="00D739A7">
        <w:rPr>
          <w:bCs/>
        </w:rPr>
        <w:t xml:space="preserve"> countries.</w:t>
      </w:r>
    </w:p>
    <w:p w14:paraId="0075C8F2" w14:textId="3EDBF011" w:rsidR="00751B98" w:rsidRPr="00D739A7" w:rsidRDefault="00751B98" w:rsidP="00CF0039">
      <w:pPr>
        <w:pStyle w:val="Agency-body-text-report"/>
      </w:pPr>
      <w:r w:rsidRPr="00D739A7">
        <w:rPr>
          <w:bCs/>
        </w:rPr>
        <w:t xml:space="preserve">The proportion of boys with an official decision of SEN in special classes ranges from </w:t>
      </w:r>
      <w:r w:rsidR="00CA7E6B" w:rsidRPr="00D739A7">
        <w:rPr>
          <w:bCs/>
        </w:rPr>
        <w:t>0.00</w:t>
      </w:r>
      <w:r w:rsidRPr="00D739A7">
        <w:rPr>
          <w:bCs/>
        </w:rPr>
        <w:t>% to 7</w:t>
      </w:r>
      <w:r w:rsidR="00CA7E6B" w:rsidRPr="00D739A7">
        <w:rPr>
          <w:bCs/>
        </w:rPr>
        <w:t>7.89</w:t>
      </w:r>
      <w:r w:rsidRPr="00D739A7">
        <w:rPr>
          <w:bCs/>
        </w:rPr>
        <w:t>%; the total average for the 1</w:t>
      </w:r>
      <w:r w:rsidR="00CA7E6B" w:rsidRPr="00D739A7">
        <w:rPr>
          <w:bCs/>
        </w:rPr>
        <w:t>6</w:t>
      </w:r>
      <w:r w:rsidRPr="00D739A7">
        <w:rPr>
          <w:bCs/>
        </w:rPr>
        <w:t xml:space="preserve"> countries is 6</w:t>
      </w:r>
      <w:r w:rsidR="00CA7E6B" w:rsidRPr="00D739A7">
        <w:rPr>
          <w:bCs/>
        </w:rPr>
        <w:t>0.62</w:t>
      </w:r>
      <w:r w:rsidRPr="00D739A7">
        <w:rPr>
          <w:bCs/>
        </w:rPr>
        <w:t>%.</w:t>
      </w:r>
    </w:p>
    <w:p w14:paraId="0B9E8067" w14:textId="1C0021FF" w:rsidR="00CA7E6B" w:rsidRPr="00D739A7" w:rsidRDefault="00751B98" w:rsidP="00CF0039">
      <w:pPr>
        <w:pStyle w:val="Agency-body-text-report"/>
        <w:rPr>
          <w:bCs/>
        </w:rPr>
      </w:pPr>
      <w:r w:rsidRPr="00D739A7">
        <w:rPr>
          <w:bCs/>
        </w:rPr>
        <w:t>The proportion of girls with an official decision of SEN in special classes ranges from 2</w:t>
      </w:r>
      <w:r w:rsidR="00CA7E6B" w:rsidRPr="00D739A7">
        <w:rPr>
          <w:bCs/>
        </w:rPr>
        <w:t>2.11</w:t>
      </w:r>
      <w:r w:rsidRPr="00D739A7">
        <w:rPr>
          <w:bCs/>
        </w:rPr>
        <w:t xml:space="preserve">% to </w:t>
      </w:r>
      <w:r w:rsidR="00CA7E6B" w:rsidRPr="00D739A7">
        <w:rPr>
          <w:bCs/>
        </w:rPr>
        <w:t>100</w:t>
      </w:r>
      <w:r w:rsidR="00CF0039" w:rsidRPr="00D739A7">
        <w:rPr>
          <w:bCs/>
        </w:rPr>
        <w:t>.00</w:t>
      </w:r>
      <w:r w:rsidRPr="00D739A7">
        <w:rPr>
          <w:bCs/>
        </w:rPr>
        <w:t>%; the total average for the 1</w:t>
      </w:r>
      <w:r w:rsidR="00CA7E6B" w:rsidRPr="00D739A7">
        <w:rPr>
          <w:bCs/>
        </w:rPr>
        <w:t>6</w:t>
      </w:r>
      <w:r w:rsidRPr="00D739A7">
        <w:rPr>
          <w:bCs/>
        </w:rPr>
        <w:t xml:space="preserve"> countries is 3</w:t>
      </w:r>
      <w:r w:rsidR="00CA7E6B" w:rsidRPr="00D739A7">
        <w:rPr>
          <w:bCs/>
        </w:rPr>
        <w:t>9.38</w:t>
      </w:r>
      <w:r w:rsidRPr="00D739A7">
        <w:rPr>
          <w:bCs/>
        </w:rPr>
        <w:t>%.</w:t>
      </w:r>
    </w:p>
    <w:p w14:paraId="4FE66CF6" w14:textId="4E667B2A" w:rsidR="00751B98" w:rsidRPr="00D739A7" w:rsidRDefault="00CA7E6B" w:rsidP="00CA7E6B">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65DA3DB4" wp14:editId="54031DB2">
            <wp:extent cx="3041650" cy="7514377"/>
            <wp:effectExtent l="0" t="0" r="6350" b="17145"/>
            <wp:docPr id="112" name="Diagram 112" descr="Bulgaria Boys 64.68 Girls 35.32&#10;Cyprus Boys 51.50 Girls 48.50&#10;Czech Republic Boys 61.21 Girls 38.79&#10;Estonia Boys 0.00 Girls 100.00&#10;France Boys 59.56 Girls 40.44&#10;Greece Boys 49.12 Girls 50.88&#10;Hungary Boys 58.72 Girls 41.28&#10;Ireland Boys 77.89 Girls 22.11&#10;Latvia Boys 52.38 Girls 47.62&#10;Lithuania Boys 58.85 Girls 41.15&#10;Poland Boys 65.84 Girls 34.16&#10;Portugal Boys 58.69 Girls 41.31&#10;Serbia Boys 52.63 Girls 47.37&#10;Slovakia Boys 51.55 Girls 48.45&#10;UK (England) Boys 72.33 Girls 27.67&#10;UK (N. Ireland) Boys 45.45 Girls 54.55&#10;Total average (16 countries) Boys 60.62 Girls 39.38">
              <a:extLst xmlns:a="http://schemas.openxmlformats.org/drawingml/2006/main">
                <a:ext uri="{FF2B5EF4-FFF2-40B4-BE49-F238E27FC236}">
                  <a16:creationId xmlns:a16="http://schemas.microsoft.com/office/drawing/2014/main" id="{B65D1E9E-23F0-4755-BAAB-987BD9266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55EEF381" w14:textId="62B1F23C" w:rsidR="00751B98" w:rsidRPr="00D739A7" w:rsidRDefault="00830A4A" w:rsidP="004A29D9">
      <w:pPr>
        <w:pStyle w:val="Agency-caption-report"/>
        <w:rPr>
          <w:b w:val="0"/>
          <w:bCs w:val="0"/>
        </w:rPr>
        <w:sectPr w:rsidR="00751B98" w:rsidRPr="00D739A7" w:rsidSect="0000679E">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95</w:t>
      </w:r>
      <w:r w:rsidRPr="00D739A7">
        <w:fldChar w:fldCharType="end"/>
      </w:r>
      <w:r w:rsidR="00751B98" w:rsidRPr="00D739A7">
        <w:t>. Gender distribution of learners with an official decision of SEN in special classes, based on the enrolled school population (%)</w:t>
      </w:r>
    </w:p>
    <w:p w14:paraId="795DD7C1" w14:textId="59A5CC32" w:rsidR="00751B98" w:rsidRPr="00D739A7" w:rsidRDefault="00436B97" w:rsidP="004A29D9">
      <w:pPr>
        <w:pStyle w:val="Agency-heading-3-report"/>
        <w:rPr>
          <w:b w:val="0"/>
        </w:rPr>
        <w:sectPr w:rsidR="00751B98" w:rsidRPr="00D739A7" w:rsidSect="00751B98">
          <w:pgSz w:w="11899" w:h="16838"/>
          <w:pgMar w:top="1134" w:right="1551" w:bottom="1276" w:left="1418" w:header="709" w:footer="709" w:gutter="0"/>
          <w:cols w:space="710"/>
          <w:docGrid w:linePitch="360"/>
        </w:sectPr>
      </w:pPr>
      <w:bookmarkStart w:id="85" w:name="_Toc35943072"/>
      <w:r w:rsidRPr="00D739A7">
        <w:lastRenderedPageBreak/>
        <w:t>Indicator </w:t>
      </w:r>
      <w:r w:rsidR="00903978" w:rsidRPr="00D739A7">
        <w:t>3.</w:t>
      </w:r>
      <w:r w:rsidRPr="00D739A7">
        <w:t>3</w:t>
      </w:r>
      <w:r w:rsidR="00751B98" w:rsidRPr="00D739A7">
        <w:t>b.3: the percentage of learners with an official decision of SEN in special schools, based on the enrolled school population (%)</w:t>
      </w:r>
      <w:bookmarkEnd w:id="85"/>
    </w:p>
    <w:p w14:paraId="202AFE7A" w14:textId="72BDCD9D" w:rsidR="00751B98" w:rsidRPr="00D739A7" w:rsidRDefault="00751B98" w:rsidP="00CF0039">
      <w:pPr>
        <w:pStyle w:val="Agency-body-text-report"/>
      </w:pPr>
      <w:r w:rsidRPr="00D739A7">
        <w:t>The data focuses on learners with an official decision of SEN</w:t>
      </w:r>
      <w:r w:rsidR="00CF0039" w:rsidRPr="00D739A7">
        <w:t>,</w:t>
      </w:r>
      <w:r w:rsidRPr="00D739A7">
        <w:t xml:space="preserve"> in line with the EASIE operational definition, who are enrolled in fully separate special schools.</w:t>
      </w:r>
    </w:p>
    <w:p w14:paraId="2C714F6F" w14:textId="77777777" w:rsidR="00751B98" w:rsidRPr="00D739A7" w:rsidRDefault="00751B98" w:rsidP="00CF0039">
      <w:pPr>
        <w:pStyle w:val="Agency-body-text-report"/>
      </w:pPr>
      <w:r w:rsidRPr="00D739A7">
        <w:t>This indicator has been calculated as follows: The number of learners with an official decision of SEN who are educated in separate special schools (Q3.4) / The number of learners who are enrolled in all formal educational settings (Q1.2) x 100.</w:t>
      </w:r>
    </w:p>
    <w:p w14:paraId="1201293F" w14:textId="79824441" w:rsidR="00751B98" w:rsidRPr="00D739A7" w:rsidRDefault="00751B98" w:rsidP="00CF0039">
      <w:pPr>
        <w:pStyle w:val="Agency-body-text-report"/>
      </w:pPr>
      <w:r w:rsidRPr="00D739A7">
        <w:t xml:space="preserve">Data is available from </w:t>
      </w:r>
      <w:r w:rsidR="00CA7E6B" w:rsidRPr="00D739A7">
        <w:t>22</w:t>
      </w:r>
      <w:r w:rsidRPr="00D739A7">
        <w:t xml:space="preserve"> countries.</w:t>
      </w:r>
    </w:p>
    <w:p w14:paraId="51981A25" w14:textId="361C227B" w:rsidR="00751B98" w:rsidRPr="00D739A7" w:rsidRDefault="00751B98" w:rsidP="00CF0039">
      <w:pPr>
        <w:pStyle w:val="Agency-body-text-report"/>
      </w:pPr>
      <w:r w:rsidRPr="00D739A7">
        <w:t>The special school enrolment rates range from 0.0</w:t>
      </w:r>
      <w:r w:rsidR="00CA7E6B" w:rsidRPr="00D739A7">
        <w:t>1</w:t>
      </w:r>
      <w:r w:rsidRPr="00D739A7">
        <w:t xml:space="preserve">% to </w:t>
      </w:r>
      <w:r w:rsidR="00CA7E6B" w:rsidRPr="00D739A7">
        <w:t>3.34</w:t>
      </w:r>
      <w:r w:rsidRPr="00D739A7">
        <w:t xml:space="preserve">%; the total average for the </w:t>
      </w:r>
      <w:r w:rsidR="00CA7E6B" w:rsidRPr="00D739A7">
        <w:t>22</w:t>
      </w:r>
      <w:r w:rsidRPr="00D739A7">
        <w:t xml:space="preserve"> countries is </w:t>
      </w:r>
      <w:r w:rsidR="00CA7E6B" w:rsidRPr="00D739A7">
        <w:t>0.58</w:t>
      </w:r>
      <w:r w:rsidRPr="00D739A7">
        <w:t>%.</w:t>
      </w:r>
    </w:p>
    <w:p w14:paraId="4F157BE9" w14:textId="6C6FB1E9" w:rsidR="00751B98" w:rsidRPr="00D739A7" w:rsidRDefault="00CA7E6B" w:rsidP="00CA7E6B">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1D6F87DE" wp14:editId="274E03DB">
            <wp:extent cx="3054350" cy="7505323"/>
            <wp:effectExtent l="0" t="0" r="6350" b="13335"/>
            <wp:docPr id="113" name="Diagram 113" descr="Austria 1.58&#10;Belgium (Fl) 0.26&#10;Bulgaria 0.40&#10;Cyprus 0.20&#10;Czech Republic 1.03&#10;Estonia 0.20&#10;France 0.10&#10;Germany 0.05&#10;Greece 0.21&#10;Ireland 1.06&#10;Italy 0.01&#10;Latvia 0.15&#10;Lithuania 0.79&#10;Luxembourg 0.49&#10;Poland 1.98&#10;Serbia 0.72&#10;Slovakia 2.07&#10;Sweden 1.68&#10;UK (England) 2.01&#10;UK (N. Ireland) 2.32&#10;UK (Scotland) 1.83&#10;UK (Wales) 3.34&#10;Total average (22 countries) 0.58">
              <a:extLst xmlns:a="http://schemas.openxmlformats.org/drawingml/2006/main">
                <a:ext uri="{FF2B5EF4-FFF2-40B4-BE49-F238E27FC236}">
                  <a16:creationId xmlns:a16="http://schemas.microsoft.com/office/drawing/2014/main" id="{D03859E1-DEBE-4C4F-90AA-F44582B9B9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063F7583" w14:textId="1EC9400A" w:rsidR="00751B98" w:rsidRPr="00D739A7" w:rsidRDefault="00830A4A" w:rsidP="004A29D9">
      <w:pPr>
        <w:pStyle w:val="Agency-caption-report"/>
        <w:rPr>
          <w:b w:val="0"/>
          <w:bCs w:val="0"/>
        </w:rPr>
        <w:sectPr w:rsidR="00751B98" w:rsidRPr="00D739A7" w:rsidSect="00566BC9">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96</w:t>
      </w:r>
      <w:r w:rsidRPr="00D739A7">
        <w:fldChar w:fldCharType="end"/>
      </w:r>
      <w:r w:rsidR="00751B98" w:rsidRPr="00D739A7">
        <w:t>. Percentage of learners with an official decision of SEN in special schools, based on the enrolled school population (%)</w:t>
      </w:r>
    </w:p>
    <w:p w14:paraId="4B8BCA3A" w14:textId="77777777" w:rsidR="00751B98" w:rsidRPr="00D739A7" w:rsidRDefault="00751B98" w:rsidP="004A29D9">
      <w:pPr>
        <w:pStyle w:val="Agency-heading-4-report"/>
        <w:rPr>
          <w:bCs w:val="0"/>
          <w:i w:val="0"/>
        </w:rPr>
        <w:sectPr w:rsidR="00751B98" w:rsidRPr="00D739A7" w:rsidSect="00751B98">
          <w:pgSz w:w="11899" w:h="16838"/>
          <w:pgMar w:top="1134" w:right="1551" w:bottom="1276" w:left="1418" w:header="709" w:footer="709" w:gutter="0"/>
          <w:cols w:space="710"/>
          <w:docGrid w:linePitch="360"/>
        </w:sectPr>
      </w:pPr>
      <w:r w:rsidRPr="00D739A7">
        <w:lastRenderedPageBreak/>
        <w:t>Gender breakdown of learners with an official decision of SEN in special schools, based on the enrolled school population (%)</w:t>
      </w:r>
    </w:p>
    <w:p w14:paraId="4CD9F048" w14:textId="77777777" w:rsidR="00751B98" w:rsidRPr="00D739A7" w:rsidRDefault="00751B98" w:rsidP="00CF0039">
      <w:pPr>
        <w:pStyle w:val="Agency-body-text-report"/>
      </w:pPr>
      <w:r w:rsidRPr="00D739A7">
        <w:t>The gender breakdowns have been calculated as follows:</w:t>
      </w:r>
    </w:p>
    <w:p w14:paraId="5FE3D27F" w14:textId="65CE3580" w:rsidR="00751B98" w:rsidRPr="00D739A7" w:rsidRDefault="00EF3C3C" w:rsidP="00CF0039">
      <w:pPr>
        <w:pStyle w:val="Agency-body-text-report"/>
      </w:pPr>
      <w:r w:rsidRPr="00D739A7">
        <w:t>Boys</w:t>
      </w:r>
      <w:r w:rsidR="00751B98" w:rsidRPr="00D739A7">
        <w:t>: The number of boys with an official decision of SEN who are educated in separate special schools (</w:t>
      </w:r>
      <w:r w:rsidR="007237E0" w:rsidRPr="00D739A7">
        <w:t>Q3</w:t>
      </w:r>
      <w:r w:rsidR="00751B98" w:rsidRPr="00D739A7">
        <w:t>.4) / The number of learners who are enrolled in all formal educational settings (Q1.2) x 100.</w:t>
      </w:r>
    </w:p>
    <w:p w14:paraId="420F31E5" w14:textId="32E752EE" w:rsidR="00751B98" w:rsidRPr="00D739A7" w:rsidRDefault="00EF3C3C" w:rsidP="00CF0039">
      <w:pPr>
        <w:pStyle w:val="Agency-body-text-report"/>
      </w:pPr>
      <w:r w:rsidRPr="00D739A7">
        <w:t>Girls</w:t>
      </w:r>
      <w:r w:rsidR="00751B98" w:rsidRPr="00D739A7">
        <w:t>: The number of girls with an official decision of SEN who are educated in separate special schools (</w:t>
      </w:r>
      <w:r w:rsidR="007237E0" w:rsidRPr="00D739A7">
        <w:t>Q3</w:t>
      </w:r>
      <w:r w:rsidR="00751B98" w:rsidRPr="00D739A7">
        <w:t>.4) / The number of learners who are enrolled in all formal educational settings (Q1.2) x 100.</w:t>
      </w:r>
    </w:p>
    <w:p w14:paraId="5BF9FD46" w14:textId="77D0666C" w:rsidR="00751B98" w:rsidRPr="00D739A7" w:rsidRDefault="00751B98" w:rsidP="00CF0039">
      <w:pPr>
        <w:pStyle w:val="Agency-body-text-report"/>
        <w:rPr>
          <w:bCs/>
        </w:rPr>
      </w:pPr>
      <w:r w:rsidRPr="00D739A7">
        <w:rPr>
          <w:bCs/>
        </w:rPr>
        <w:t>Data is available from 2</w:t>
      </w:r>
      <w:r w:rsidR="00151665" w:rsidRPr="00D739A7">
        <w:rPr>
          <w:bCs/>
        </w:rPr>
        <w:t>1</w:t>
      </w:r>
      <w:r w:rsidRPr="00D739A7">
        <w:rPr>
          <w:bCs/>
        </w:rPr>
        <w:t xml:space="preserve"> countries.</w:t>
      </w:r>
    </w:p>
    <w:p w14:paraId="20765387" w14:textId="44AC8017" w:rsidR="00751B98" w:rsidRPr="00D739A7" w:rsidRDefault="00751B98" w:rsidP="00CF0039">
      <w:pPr>
        <w:pStyle w:val="Agency-body-text-report"/>
      </w:pPr>
      <w:r w:rsidRPr="00D739A7">
        <w:t xml:space="preserve">The special school enrolment rates for </w:t>
      </w:r>
      <w:r w:rsidR="00EF3C3C" w:rsidRPr="00D739A7">
        <w:t>boys</w:t>
      </w:r>
      <w:r w:rsidRPr="00D739A7">
        <w:t xml:space="preserve"> range from 0.0</w:t>
      </w:r>
      <w:r w:rsidR="00151665" w:rsidRPr="00D739A7">
        <w:t>1</w:t>
      </w:r>
      <w:r w:rsidRPr="00D739A7">
        <w:t xml:space="preserve">% to </w:t>
      </w:r>
      <w:r w:rsidR="00151665" w:rsidRPr="00D739A7">
        <w:t>2.34</w:t>
      </w:r>
      <w:r w:rsidRPr="00D739A7">
        <w:t>%; the total average for the 2</w:t>
      </w:r>
      <w:r w:rsidR="00151665" w:rsidRPr="00D739A7">
        <w:t>1</w:t>
      </w:r>
      <w:r w:rsidRPr="00D739A7">
        <w:t xml:space="preserve"> countries is </w:t>
      </w:r>
      <w:r w:rsidR="00151665" w:rsidRPr="00D739A7">
        <w:t>0.37</w:t>
      </w:r>
      <w:r w:rsidRPr="00D739A7">
        <w:t>%.</w:t>
      </w:r>
    </w:p>
    <w:p w14:paraId="766F2780" w14:textId="28BAD975" w:rsidR="00751B98" w:rsidRPr="00D739A7" w:rsidRDefault="00751B98" w:rsidP="00CF0039">
      <w:pPr>
        <w:pStyle w:val="Agency-body-text-report"/>
      </w:pPr>
      <w:r w:rsidRPr="00D739A7">
        <w:t xml:space="preserve">The special school enrolment rates for </w:t>
      </w:r>
      <w:r w:rsidR="00EF3C3C" w:rsidRPr="00D739A7">
        <w:t>girls</w:t>
      </w:r>
      <w:r w:rsidRPr="00D739A7">
        <w:t xml:space="preserve"> range from 0.0</w:t>
      </w:r>
      <w:r w:rsidR="00151665" w:rsidRPr="00D739A7">
        <w:t>0</w:t>
      </w:r>
      <w:r w:rsidRPr="00D739A7">
        <w:t xml:space="preserve">% to </w:t>
      </w:r>
      <w:r w:rsidR="00151665" w:rsidRPr="00D739A7">
        <w:t>1.00</w:t>
      </w:r>
      <w:r w:rsidRPr="00D739A7">
        <w:t>%; the total average for the 2</w:t>
      </w:r>
      <w:r w:rsidR="00151665" w:rsidRPr="00D739A7">
        <w:t>1</w:t>
      </w:r>
      <w:r w:rsidRPr="00D739A7">
        <w:t xml:space="preserve"> countries is 0.</w:t>
      </w:r>
      <w:r w:rsidR="00151665" w:rsidRPr="00D739A7">
        <w:t>21</w:t>
      </w:r>
      <w:r w:rsidRPr="00D739A7">
        <w:t>%.</w:t>
      </w:r>
    </w:p>
    <w:p w14:paraId="569AD7A9" w14:textId="6D19DB6E" w:rsidR="00751B98" w:rsidRPr="00D739A7" w:rsidRDefault="00151665" w:rsidP="00151665">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70043A06" wp14:editId="40AAE6C6">
            <wp:extent cx="3060700" cy="7577751"/>
            <wp:effectExtent l="0" t="0" r="12700" b="17145"/>
            <wp:docPr id="114" name="Diagram 114" descr="Austria Boys 0.91 Girls 0.66&#10;Belgium (Fl) Boys 0.22 Girls 0.04&#10;Bulgaria Boys 0.25 Girls 0.15&#10;Cyprus Boys 0.16 Girls 0.04&#10;Czech Republic Boys 0.57 Girls 0.46&#10;Estonia Boys 0.14 Girls 0.06&#10;France Boys 0.06 Girls 0.04&#10;Germany Boys 0.03 Girls 0.02&#10;Greece Boys 0.13 Girls 0.08&#10;Ireland Boys 0.67 Girls 0.39&#10;Italy Boys 0.01 Girls 0.00&#10;Latvia Boys 0.08 Girls 0.07&#10;Lithuania Boys 0.47 Girls 0.32&#10;Poland Boys 1.13 Girls 0.85&#10;Serbia Boys 0.44 Girls 0.28&#10;Slovakia Boys 1.14 Girls 0.92&#10;Sweden Boys 1.00 Girls 0.68&#10;UK (England) Boys 1.47 Girls 0.54&#10;UK (N. Ireland) Boys 1.46 Girls 0.86&#10;UK (Scotland) Boys 1.21 Girls 0.62&#10;UK (Wales) Boys 2.34 Girls 1.00&#10;Total average (21 countries) Boys 0.37 Girls 0.21">
              <a:extLst xmlns:a="http://schemas.openxmlformats.org/drawingml/2006/main">
                <a:ext uri="{FF2B5EF4-FFF2-40B4-BE49-F238E27FC236}">
                  <a16:creationId xmlns:a16="http://schemas.microsoft.com/office/drawing/2014/main" id="{F1BAF767-3CBE-4E17-946B-B6D8C6137B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0D504457" w14:textId="6BE18CE0" w:rsidR="00751B98" w:rsidRPr="00D739A7" w:rsidRDefault="00830A4A"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97</w:t>
      </w:r>
      <w:r w:rsidRPr="00D739A7">
        <w:fldChar w:fldCharType="end"/>
      </w:r>
      <w:r w:rsidR="00751B98" w:rsidRPr="00D739A7">
        <w:t>. Gender breakdown of learners with an official decision of SEN in special schools, based on the enrolled school population (%)</w:t>
      </w:r>
    </w:p>
    <w:p w14:paraId="5B5A7E31"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566BC9">
          <w:type w:val="continuous"/>
          <w:pgSz w:w="11899" w:h="16838"/>
          <w:pgMar w:top="1134" w:right="1551" w:bottom="1276" w:left="1418" w:header="709" w:footer="709" w:gutter="0"/>
          <w:cols w:num="2" w:space="710" w:equalWidth="0">
            <w:col w:w="3333" w:space="710"/>
            <w:col w:w="4887"/>
          </w:cols>
          <w:docGrid w:linePitch="360"/>
        </w:sectPr>
      </w:pPr>
    </w:p>
    <w:p w14:paraId="39A80DAB" w14:textId="77777777" w:rsidR="00751B98" w:rsidRPr="00D739A7" w:rsidRDefault="00751B98" w:rsidP="004A29D9">
      <w:pPr>
        <w:pStyle w:val="Agency-heading-4-report"/>
        <w:rPr>
          <w:bCs w:val="0"/>
          <w:i w:val="0"/>
        </w:rPr>
        <w:sectPr w:rsidR="00751B98" w:rsidRPr="00D739A7" w:rsidSect="00751B98">
          <w:pgSz w:w="11899" w:h="16838"/>
          <w:pgMar w:top="1134" w:right="1551" w:bottom="1276" w:left="1418" w:header="709" w:footer="709" w:gutter="0"/>
          <w:cols w:space="710"/>
          <w:docGrid w:linePitch="360"/>
        </w:sectPr>
      </w:pPr>
      <w:r w:rsidRPr="00D739A7">
        <w:lastRenderedPageBreak/>
        <w:t>Gender distribution of learners with an official decision of SEN in special schools, based on the enrolled school population (%)</w:t>
      </w:r>
    </w:p>
    <w:p w14:paraId="7F213A3A" w14:textId="77777777" w:rsidR="00751B98" w:rsidRPr="00D739A7" w:rsidRDefault="00751B98" w:rsidP="00297E08">
      <w:pPr>
        <w:pStyle w:val="Agency-body-text-report"/>
      </w:pPr>
      <w:r w:rsidRPr="00D739A7">
        <w:t>The gender distributions have been calculated as follows:</w:t>
      </w:r>
    </w:p>
    <w:p w14:paraId="38C3AC7F" w14:textId="6F654FB9" w:rsidR="00751B98" w:rsidRPr="00D739A7" w:rsidRDefault="00EF3C3C" w:rsidP="00297E08">
      <w:pPr>
        <w:pStyle w:val="Agency-body-text-report"/>
      </w:pPr>
      <w:r w:rsidRPr="00D739A7">
        <w:t>Boys</w:t>
      </w:r>
      <w:r w:rsidR="00751B98" w:rsidRPr="00D739A7">
        <w:t>: The number of boys with an official decision of SEN who are educated in separate special schools (</w:t>
      </w:r>
      <w:r w:rsidR="007237E0" w:rsidRPr="00D739A7">
        <w:t>Q3</w:t>
      </w:r>
      <w:r w:rsidR="00751B98" w:rsidRPr="00D739A7">
        <w:t>.4) / The number of learners with an official decision of SEN who are educated in separate special schools (Q3.4) x 100.</w:t>
      </w:r>
    </w:p>
    <w:p w14:paraId="45BD4D7E" w14:textId="1CB04F31" w:rsidR="00751B98" w:rsidRPr="00D739A7" w:rsidRDefault="00EF3C3C" w:rsidP="00297E08">
      <w:pPr>
        <w:pStyle w:val="Agency-body-text-report"/>
      </w:pPr>
      <w:r w:rsidRPr="00D739A7">
        <w:t>Girls</w:t>
      </w:r>
      <w:r w:rsidR="00751B98" w:rsidRPr="00D739A7">
        <w:t>: The number of girls with an official decision of SEN who are educated in separate special schools (</w:t>
      </w:r>
      <w:r w:rsidR="007237E0" w:rsidRPr="00D739A7">
        <w:t>Q3</w:t>
      </w:r>
      <w:r w:rsidR="00751B98" w:rsidRPr="00D739A7">
        <w:t>.4) / The number of learners with an official decision of SEN who are educated in separate special schools (Q3.4) x 100.</w:t>
      </w:r>
    </w:p>
    <w:p w14:paraId="0A52ADF3" w14:textId="64528571" w:rsidR="00751B98" w:rsidRPr="00D739A7" w:rsidRDefault="00751B98" w:rsidP="00297E08">
      <w:pPr>
        <w:pStyle w:val="Agency-body-text-report"/>
        <w:rPr>
          <w:bCs/>
        </w:rPr>
      </w:pPr>
      <w:r w:rsidRPr="00D739A7">
        <w:rPr>
          <w:bCs/>
        </w:rPr>
        <w:t>Data is available from 2</w:t>
      </w:r>
      <w:r w:rsidR="00151665" w:rsidRPr="00D739A7">
        <w:rPr>
          <w:bCs/>
        </w:rPr>
        <w:t>1</w:t>
      </w:r>
      <w:r w:rsidRPr="00D739A7">
        <w:rPr>
          <w:bCs/>
        </w:rPr>
        <w:t xml:space="preserve"> countries.</w:t>
      </w:r>
    </w:p>
    <w:p w14:paraId="20E7E838" w14:textId="49F49D2E" w:rsidR="00751B98" w:rsidRPr="00D739A7" w:rsidRDefault="00751B98" w:rsidP="00297E08">
      <w:pPr>
        <w:pStyle w:val="Agency-body-text-report"/>
      </w:pPr>
      <w:r w:rsidRPr="00D739A7">
        <w:rPr>
          <w:bCs/>
        </w:rPr>
        <w:t>The proportion of boys with an official decision of SEN in special schools ranges from 5</w:t>
      </w:r>
      <w:r w:rsidR="00151665" w:rsidRPr="00D739A7">
        <w:rPr>
          <w:bCs/>
        </w:rPr>
        <w:t>1.69</w:t>
      </w:r>
      <w:r w:rsidRPr="00D739A7">
        <w:t xml:space="preserve">% to </w:t>
      </w:r>
      <w:r w:rsidR="00151665" w:rsidRPr="00D739A7">
        <w:t>83.07</w:t>
      </w:r>
      <w:r w:rsidRPr="00D739A7">
        <w:t>%; the total average for the 2</w:t>
      </w:r>
      <w:r w:rsidR="00151665" w:rsidRPr="00D739A7">
        <w:t>1</w:t>
      </w:r>
      <w:r w:rsidRPr="00D739A7">
        <w:t xml:space="preserve"> countries is 6</w:t>
      </w:r>
      <w:r w:rsidR="00151665" w:rsidRPr="00D739A7">
        <w:t>3.10</w:t>
      </w:r>
      <w:r w:rsidRPr="00D739A7">
        <w:t>%.</w:t>
      </w:r>
    </w:p>
    <w:p w14:paraId="7FEB139C" w14:textId="52786B8F" w:rsidR="00151665" w:rsidRPr="00D739A7" w:rsidRDefault="00751B98" w:rsidP="00297E08">
      <w:pPr>
        <w:pStyle w:val="Agency-body-text-report"/>
      </w:pPr>
      <w:r w:rsidRPr="00D739A7">
        <w:rPr>
          <w:bCs/>
        </w:rPr>
        <w:t xml:space="preserve">The proportion of girls with an official decision of SEN in special schools ranges from </w:t>
      </w:r>
      <w:r w:rsidR="00151665" w:rsidRPr="00D739A7">
        <w:rPr>
          <w:bCs/>
        </w:rPr>
        <w:t>16.93</w:t>
      </w:r>
      <w:r w:rsidRPr="00D739A7">
        <w:t>% to 4</w:t>
      </w:r>
      <w:r w:rsidR="00151665" w:rsidRPr="00D739A7">
        <w:t>8.31</w:t>
      </w:r>
      <w:r w:rsidRPr="00D739A7">
        <w:t>%; the total average for the 2</w:t>
      </w:r>
      <w:r w:rsidR="00151665" w:rsidRPr="00D739A7">
        <w:t>1</w:t>
      </w:r>
      <w:r w:rsidRPr="00D739A7">
        <w:t xml:space="preserve"> countries is 3</w:t>
      </w:r>
      <w:r w:rsidR="00151665" w:rsidRPr="00D739A7">
        <w:t>6.90</w:t>
      </w:r>
      <w:r w:rsidRPr="00D739A7">
        <w:t>%.</w:t>
      </w:r>
    </w:p>
    <w:p w14:paraId="5C673F38" w14:textId="17DB32FD" w:rsidR="00751B98" w:rsidRPr="00D739A7" w:rsidRDefault="00151665" w:rsidP="00151665">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759BAE83" wp14:editId="181E0802">
            <wp:extent cx="3103880" cy="7577751"/>
            <wp:effectExtent l="0" t="0" r="7620" b="17145"/>
            <wp:docPr id="115" name="Diagram 115" descr="Austria Boys 57.99 Girls 42.01&#10;Belgium (Fl) Boys 83.07 Girls 16.93&#10;Bulgaria Boys 62.45 Girls 37.55&#10;Cyprus Boys 81.03 Girls 18.97&#10;Czech Republic Boys 55.18 Girls 44.82&#10;Estonia Boys 72.09 Girls 27.91&#10;France Boys 60.44 Girls 39.56&#10;Germany Boys 55.30 Girls 44.70&#10;Greece Boys 62.20 Girls 37.80&#10;Ireland Boys 63.40 Girls 36.60&#10;Italy Boys 65.89 Girls 34.11&#10;Latvia Boys 51.69 Girls 48.31&#10;Lithuania Boys 59.31 Girls 40.69&#10;Poland Boys 57.11 Girls 42.89&#10;Serbia Boys 61.28 Girls 38.72&#10;Slovakia Boys 55.29 Girls 44.71&#10;Sweden Boys 59.74 Girls 40.26&#10;UK (England) Boys 73.06 Girls 26.94&#10;UK (N. Ireland) Boys 62.99 Girls 37.01&#10;UK (Scotland) Boys 66.28 Girls 33.72&#10;UK (Wales) Boys 70.14 Girls 29.86&#10;Total average (21 countries) Boys 63.10 Girls 36.90">
              <a:extLst xmlns:a="http://schemas.openxmlformats.org/drawingml/2006/main">
                <a:ext uri="{FF2B5EF4-FFF2-40B4-BE49-F238E27FC236}">
                  <a16:creationId xmlns:a16="http://schemas.microsoft.com/office/drawing/2014/main" id="{04FA0FFB-C141-4032-AA3F-9B1606928A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7FF12C7E" w14:textId="10ECB9C1" w:rsidR="00751B98" w:rsidRPr="00D739A7" w:rsidRDefault="00830A4A"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98</w:t>
      </w:r>
      <w:r w:rsidRPr="00D739A7">
        <w:fldChar w:fldCharType="end"/>
      </w:r>
      <w:r w:rsidR="00751B98" w:rsidRPr="00D739A7">
        <w:t>. Gender distribution of learners with an official decision of SEN in special schools, based on the enrolled school population (%)</w:t>
      </w:r>
    </w:p>
    <w:p w14:paraId="6244E637" w14:textId="73CD1532" w:rsidR="00635A08" w:rsidRPr="00D739A7" w:rsidRDefault="00635A08" w:rsidP="004A29D9">
      <w:pPr>
        <w:pStyle w:val="Agency-body-text-report"/>
        <w:sectPr w:rsidR="00635A08" w:rsidRPr="00D739A7" w:rsidSect="00566BC9">
          <w:type w:val="continuous"/>
          <w:pgSz w:w="11899" w:h="16838"/>
          <w:pgMar w:top="1134" w:right="1551" w:bottom="1276" w:left="1418" w:header="709" w:footer="709" w:gutter="0"/>
          <w:cols w:num="2" w:space="710" w:equalWidth="0">
            <w:col w:w="3333" w:space="710"/>
            <w:col w:w="4887"/>
          </w:cols>
          <w:docGrid w:linePitch="360"/>
        </w:sectPr>
      </w:pPr>
    </w:p>
    <w:p w14:paraId="6FA43D9D" w14:textId="755E3B20" w:rsidR="00751B98" w:rsidRPr="00D739A7" w:rsidRDefault="00436B97" w:rsidP="004A29D9">
      <w:pPr>
        <w:pStyle w:val="Agency-heading-3-report"/>
        <w:rPr>
          <w:b w:val="0"/>
        </w:rPr>
        <w:sectPr w:rsidR="00751B98" w:rsidRPr="00D739A7" w:rsidSect="00751B98">
          <w:type w:val="continuous"/>
          <w:pgSz w:w="11899" w:h="16838"/>
          <w:pgMar w:top="1134" w:right="1551" w:bottom="1276" w:left="1418" w:header="709" w:footer="709" w:gutter="0"/>
          <w:cols w:space="710"/>
          <w:docGrid w:linePitch="360"/>
        </w:sectPr>
      </w:pPr>
      <w:bookmarkStart w:id="86" w:name="_Toc35943073"/>
      <w:r w:rsidRPr="00D739A7">
        <w:lastRenderedPageBreak/>
        <w:t>Indicator </w:t>
      </w:r>
      <w:r w:rsidR="00903978" w:rsidRPr="00D739A7">
        <w:t>3.</w:t>
      </w:r>
      <w:r w:rsidRPr="00D739A7">
        <w:t>3</w:t>
      </w:r>
      <w:r w:rsidR="00751B98" w:rsidRPr="00D739A7">
        <w:t>b.5: the percentage of learners with an official decision of SEN in fully separate educational settings, based on the enrolled school population (%)</w:t>
      </w:r>
      <w:bookmarkEnd w:id="86"/>
    </w:p>
    <w:p w14:paraId="0ADCA839" w14:textId="72BF25A7" w:rsidR="00751B98" w:rsidRPr="00D739A7" w:rsidRDefault="00751B98" w:rsidP="00CA3187">
      <w:pPr>
        <w:pStyle w:val="Agency-body-text-report"/>
        <w:rPr>
          <w:bCs/>
        </w:rPr>
      </w:pPr>
      <w:r w:rsidRPr="00D739A7">
        <w:t>The data focuses on learners with an official decision of SEN</w:t>
      </w:r>
      <w:r w:rsidR="00CA3187" w:rsidRPr="00D739A7">
        <w:t>,</w:t>
      </w:r>
      <w:r w:rsidRPr="00D739A7">
        <w:t xml:space="preserve"> in line with the EASIE operational definition, who are enrolled in fully separate educational settings, i.e. special classes and special schools</w:t>
      </w:r>
      <w:r w:rsidR="00CA3187" w:rsidRPr="00D739A7">
        <w:t>,</w:t>
      </w:r>
      <w:r w:rsidRPr="00D739A7">
        <w:t xml:space="preserve"> </w:t>
      </w:r>
      <w:r w:rsidRPr="00D739A7">
        <w:rPr>
          <w:bCs/>
        </w:rPr>
        <w:t>in line with the 80% placement benchmark (or the most relevant proxy for this benchmark).</w:t>
      </w:r>
    </w:p>
    <w:p w14:paraId="4E2E53AB" w14:textId="77777777" w:rsidR="00751B98" w:rsidRPr="00D739A7" w:rsidRDefault="00751B98" w:rsidP="00CA3187">
      <w:pPr>
        <w:pStyle w:val="Agency-body-text-report"/>
      </w:pPr>
      <w:r w:rsidRPr="00D739A7">
        <w:t>This indicator has been calculated as follows: The number of learners with an official decision of SEN who are educated in separate special classes in mainstream schools (Q3.3) + The number of learners with an official decision of SEN who are educated in separate special schools (Q3.4) / The number of learners who are enrolled in all formal educational settings (Q1.2) x 100.</w:t>
      </w:r>
    </w:p>
    <w:p w14:paraId="624CB377" w14:textId="70DE5778" w:rsidR="00751B98" w:rsidRPr="00D739A7" w:rsidRDefault="00751B98" w:rsidP="00CA3187">
      <w:pPr>
        <w:pStyle w:val="Agency-body-text-report"/>
      </w:pPr>
      <w:r w:rsidRPr="00D739A7">
        <w:t xml:space="preserve">Data is available from </w:t>
      </w:r>
      <w:r w:rsidR="0028189F" w:rsidRPr="00D739A7">
        <w:t>17</w:t>
      </w:r>
      <w:r w:rsidRPr="00D739A7">
        <w:t xml:space="preserve"> countries.</w:t>
      </w:r>
    </w:p>
    <w:p w14:paraId="70EA11E2" w14:textId="1E5A289F" w:rsidR="00751B98" w:rsidRPr="00D739A7" w:rsidRDefault="00751B98" w:rsidP="00CA3187">
      <w:pPr>
        <w:pStyle w:val="Agency-body-text-report"/>
      </w:pPr>
      <w:r w:rsidRPr="00D739A7">
        <w:t>The fully separate enrolment rates for learners with an official decision of SEN range from 0.</w:t>
      </w:r>
      <w:r w:rsidR="0028189F" w:rsidRPr="00D739A7">
        <w:t>18</w:t>
      </w:r>
      <w:r w:rsidRPr="00D739A7">
        <w:t xml:space="preserve">% to </w:t>
      </w:r>
      <w:r w:rsidR="0028189F" w:rsidRPr="00D739A7">
        <w:t>3.15</w:t>
      </w:r>
      <w:r w:rsidRPr="00D739A7">
        <w:t xml:space="preserve">%; the total average for the </w:t>
      </w:r>
      <w:r w:rsidR="0028189F" w:rsidRPr="00D739A7">
        <w:t>17</w:t>
      </w:r>
      <w:r w:rsidRPr="00D739A7">
        <w:t xml:space="preserve"> countries is 1.</w:t>
      </w:r>
      <w:r w:rsidR="0028189F" w:rsidRPr="00D739A7">
        <w:t>09</w:t>
      </w:r>
      <w:r w:rsidRPr="00D739A7">
        <w:t>%.</w:t>
      </w:r>
    </w:p>
    <w:p w14:paraId="1B73E020" w14:textId="5F8F0D00" w:rsidR="00751B98" w:rsidRPr="00D739A7" w:rsidRDefault="0028189F" w:rsidP="0028189F">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E3386CC" wp14:editId="346C2F90">
            <wp:extent cx="3067050" cy="7496269"/>
            <wp:effectExtent l="0" t="0" r="6350" b="9525"/>
            <wp:docPr id="116" name="Diagram 116" descr="Austria 3.15&#10;Belgium (Fl) 0.26&#10;Bulgaria 0.57&#10;Cyprus 0.78&#10;Czech Republic 2.17&#10;Estonia 0.21&#10;France 0.28&#10;Greece 0.25&#10;Ireland 1.49&#10;Latvia 0.18&#10;Lithuania 1.05&#10;Luxembourg 0.91&#10;Poland 1.99&#10;Serbia 0.89&#10;Slovakia 2.12&#10;UK (England) 2.13&#10;UK (N. Ireland) 2.35&#10;Total average (17 countries) 1.09">
              <a:extLst xmlns:a="http://schemas.openxmlformats.org/drawingml/2006/main">
                <a:ext uri="{FF2B5EF4-FFF2-40B4-BE49-F238E27FC236}">
                  <a16:creationId xmlns:a16="http://schemas.microsoft.com/office/drawing/2014/main" id="{D303150C-D68A-4BA3-9140-37F38F3E41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4769DA3B" w14:textId="49696B9A" w:rsidR="00751B98" w:rsidRPr="00D739A7" w:rsidRDefault="00B23105"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99</w:t>
      </w:r>
      <w:r w:rsidRPr="00D739A7">
        <w:fldChar w:fldCharType="end"/>
      </w:r>
      <w:r w:rsidR="00751B98" w:rsidRPr="00D739A7">
        <w:t>. Percentage of learners with an official decision of SEN in fully separate educational settings, based on the enrolled school population (%)</w:t>
      </w:r>
    </w:p>
    <w:p w14:paraId="42E5E286"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566BC9">
          <w:type w:val="continuous"/>
          <w:pgSz w:w="11899" w:h="16838"/>
          <w:pgMar w:top="1134" w:right="1551" w:bottom="1276" w:left="1418" w:header="709" w:footer="709" w:gutter="0"/>
          <w:cols w:num="2" w:space="710" w:equalWidth="0">
            <w:col w:w="3333" w:space="710"/>
            <w:col w:w="4887"/>
          </w:cols>
          <w:docGrid w:linePitch="360"/>
        </w:sectPr>
      </w:pPr>
    </w:p>
    <w:p w14:paraId="08300766" w14:textId="77777777" w:rsidR="00751B98" w:rsidRPr="00D739A7" w:rsidRDefault="00751B98" w:rsidP="004A29D9">
      <w:pPr>
        <w:pStyle w:val="Agency-heading-4-report"/>
      </w:pPr>
      <w:r w:rsidRPr="00D739A7">
        <w:lastRenderedPageBreak/>
        <w:t>Gender breakdown of learners with an official decision of SEN in fully separate educational settings, based on the enrolled school population (%)</w:t>
      </w:r>
    </w:p>
    <w:p w14:paraId="359889EE"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37F039F1" w14:textId="77777777" w:rsidR="00751B98" w:rsidRPr="00D739A7" w:rsidRDefault="00751B98" w:rsidP="00CA3187">
      <w:pPr>
        <w:pStyle w:val="Agency-body-text-report"/>
      </w:pPr>
      <w:r w:rsidRPr="00D739A7">
        <w:t>The gender breakdowns have been calculated as follows:</w:t>
      </w:r>
    </w:p>
    <w:p w14:paraId="15EB9B29" w14:textId="68E09C76" w:rsidR="00751B98" w:rsidRPr="00D739A7" w:rsidRDefault="00EF3C3C" w:rsidP="00CA3187">
      <w:pPr>
        <w:pStyle w:val="Agency-body-text-report"/>
      </w:pPr>
      <w:r w:rsidRPr="00D739A7">
        <w:t>Boys</w:t>
      </w:r>
      <w:r w:rsidR="00751B98" w:rsidRPr="00D739A7">
        <w:t>: The number of boys with an official decision of SEN who are educated in separate special classes in mainstream schools (</w:t>
      </w:r>
      <w:r w:rsidR="007237E0" w:rsidRPr="00D739A7">
        <w:t>Q3</w:t>
      </w:r>
      <w:r w:rsidR="00751B98" w:rsidRPr="00D739A7">
        <w:t>.3) + The number of boys with an official decision of SEN who are educated in separate special schools (</w:t>
      </w:r>
      <w:r w:rsidR="007237E0" w:rsidRPr="00D739A7">
        <w:t>Q3</w:t>
      </w:r>
      <w:r w:rsidR="00751B98" w:rsidRPr="00D739A7">
        <w:t>.4) / The number of learners who are enrolled in all formal educational settings (Q1.2) x 100.</w:t>
      </w:r>
    </w:p>
    <w:p w14:paraId="0AAC27C0" w14:textId="0F825812" w:rsidR="00751B98" w:rsidRPr="00D739A7" w:rsidRDefault="00EF3C3C" w:rsidP="00CA3187">
      <w:pPr>
        <w:pStyle w:val="Agency-body-text-report"/>
      </w:pPr>
      <w:r w:rsidRPr="00D739A7">
        <w:t>Girls</w:t>
      </w:r>
      <w:r w:rsidR="00751B98" w:rsidRPr="00D739A7">
        <w:t>: The number of girls with an official decision of SEN who are educated in separate special classes in mainstream schools (</w:t>
      </w:r>
      <w:r w:rsidR="007237E0" w:rsidRPr="00D739A7">
        <w:t>Q3</w:t>
      </w:r>
      <w:r w:rsidR="00751B98" w:rsidRPr="00D739A7">
        <w:t>.3) + The number of girls with an official decision of SEN who are educated in separate special schools (</w:t>
      </w:r>
      <w:r w:rsidR="007237E0" w:rsidRPr="00D739A7">
        <w:t>Q3</w:t>
      </w:r>
      <w:r w:rsidR="00751B98" w:rsidRPr="00D739A7">
        <w:t>.4) / The number of learners who are enrolled in all formal educational settings (Q1.2) x 100.</w:t>
      </w:r>
    </w:p>
    <w:p w14:paraId="097D988A" w14:textId="6CF6EF15" w:rsidR="00751B98" w:rsidRPr="00D739A7" w:rsidRDefault="00751B98" w:rsidP="00CA3187">
      <w:pPr>
        <w:pStyle w:val="Agency-body-text-report"/>
        <w:rPr>
          <w:bCs/>
        </w:rPr>
      </w:pPr>
      <w:r w:rsidRPr="00D739A7">
        <w:rPr>
          <w:bCs/>
        </w:rPr>
        <w:t>Data is available from 1</w:t>
      </w:r>
      <w:r w:rsidR="0028189F" w:rsidRPr="00D739A7">
        <w:rPr>
          <w:bCs/>
        </w:rPr>
        <w:t>6</w:t>
      </w:r>
      <w:r w:rsidRPr="00D739A7">
        <w:rPr>
          <w:bCs/>
        </w:rPr>
        <w:t xml:space="preserve"> countries.</w:t>
      </w:r>
    </w:p>
    <w:p w14:paraId="3251AAEB" w14:textId="734C748A" w:rsidR="00751B98" w:rsidRPr="00D739A7" w:rsidRDefault="00751B98" w:rsidP="00CA3187">
      <w:pPr>
        <w:pStyle w:val="Agency-body-text-report"/>
      </w:pPr>
      <w:r w:rsidRPr="00D739A7">
        <w:t xml:space="preserve">The fully separate placement enrolment rates for </w:t>
      </w:r>
      <w:r w:rsidR="00EF3C3C" w:rsidRPr="00D739A7">
        <w:t>boys</w:t>
      </w:r>
      <w:r w:rsidRPr="00D739A7">
        <w:t xml:space="preserve"> with an official decision of SEN range from 0.</w:t>
      </w:r>
      <w:r w:rsidR="0028189F" w:rsidRPr="00D739A7">
        <w:t>09</w:t>
      </w:r>
      <w:r w:rsidRPr="00D739A7">
        <w:t xml:space="preserve">% to </w:t>
      </w:r>
      <w:r w:rsidR="0028189F" w:rsidRPr="00D739A7">
        <w:t>1.83</w:t>
      </w:r>
      <w:r w:rsidRPr="00D739A7">
        <w:t>%; the total average for the 1</w:t>
      </w:r>
      <w:r w:rsidR="0028189F" w:rsidRPr="00D739A7">
        <w:t>6</w:t>
      </w:r>
      <w:r w:rsidRPr="00D739A7">
        <w:t xml:space="preserve"> countries is </w:t>
      </w:r>
      <w:r w:rsidR="001A2E69" w:rsidRPr="00D739A7">
        <w:t>0.69</w:t>
      </w:r>
      <w:r w:rsidRPr="00D739A7">
        <w:t>%.</w:t>
      </w:r>
    </w:p>
    <w:p w14:paraId="0216C979" w14:textId="571FCAC4" w:rsidR="00751B98" w:rsidRPr="00D739A7" w:rsidRDefault="00751B98" w:rsidP="00CA3187">
      <w:pPr>
        <w:pStyle w:val="Agency-body-text-report"/>
      </w:pPr>
      <w:r w:rsidRPr="00D739A7">
        <w:t xml:space="preserve">The fully separate placement enrolment rates for </w:t>
      </w:r>
      <w:r w:rsidR="00EF3C3C" w:rsidRPr="00D739A7">
        <w:t>girls</w:t>
      </w:r>
      <w:r w:rsidRPr="00D739A7">
        <w:t xml:space="preserve"> with an official decision of SEN range from 0.</w:t>
      </w:r>
      <w:r w:rsidR="001A2E69" w:rsidRPr="00D739A7">
        <w:t>04</w:t>
      </w:r>
      <w:r w:rsidRPr="00D739A7">
        <w:t xml:space="preserve">% to </w:t>
      </w:r>
      <w:r w:rsidR="001A2E69" w:rsidRPr="00D739A7">
        <w:t>1.32</w:t>
      </w:r>
      <w:r w:rsidRPr="00D739A7">
        <w:t>%; the total average for the 1</w:t>
      </w:r>
      <w:r w:rsidR="0028189F" w:rsidRPr="00D739A7">
        <w:t>6</w:t>
      </w:r>
      <w:r w:rsidRPr="00D739A7">
        <w:t xml:space="preserve"> countries is 0.</w:t>
      </w:r>
      <w:r w:rsidR="001A2E69" w:rsidRPr="00D739A7">
        <w:t>4</w:t>
      </w:r>
      <w:r w:rsidRPr="00D739A7">
        <w:t>0%.</w:t>
      </w:r>
    </w:p>
    <w:p w14:paraId="378A43C4" w14:textId="47276A8C" w:rsidR="00751B98" w:rsidRPr="00D739A7" w:rsidRDefault="0028189F" w:rsidP="0028189F">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52F90989" wp14:editId="2077898F">
            <wp:extent cx="3067050" cy="7577751"/>
            <wp:effectExtent l="0" t="0" r="6350" b="17145"/>
            <wp:docPr id="117" name="Diagram 117" descr="Austria Boys 1.83 Girls 1.32&#10;Belgium (Fl) Boys 0.22 Girls 0.04&#10;Bulgaria Boys 0.36 Girls 0.21&#10;Cyprus Boys 0.46 Girls 0.32&#10;Czech Republic Boys 1.27 Girls 0.91&#10;Estonia Boys 0.14 Girls 0.07&#10;France Boys 0.17 Girls 0.11&#10;Greece Boys 0.15 Girls 0.10&#10;Ireland Boys 1.01 Girls 0.48&#10;Latvia Boys 0.09 Girls 0.09&#10;Lithuania Boys 0.62 Girls 0.43&#10;Poland Boys 1.14 Girls 0.85&#10;Serbia Boys 0.53 Girls 0.36&#10;Slovakia Boys 1.17 Girls 0.95&#10;UK (England) Boys 1.56 Girls 0.58&#10;UK (N. Ireland) Boys 1.48 Girls 0.88&#10;Total average (16 countries) Boys 0.69 Girls 0.40">
              <a:extLst xmlns:a="http://schemas.openxmlformats.org/drawingml/2006/main">
                <a:ext uri="{FF2B5EF4-FFF2-40B4-BE49-F238E27FC236}">
                  <a16:creationId xmlns:a16="http://schemas.microsoft.com/office/drawing/2014/main" id="{4B386B5F-3EC6-45F6-ADFB-09FE3217C4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68C43478" w14:textId="2BC0BF49" w:rsidR="00751B98" w:rsidRPr="00093840" w:rsidRDefault="00B23105" w:rsidP="00093840">
      <w:pPr>
        <w:pStyle w:val="Agency-caption-report"/>
        <w:sectPr w:rsidR="00751B98" w:rsidRPr="00093840" w:rsidSect="00566BC9">
          <w:type w:val="continuous"/>
          <w:pgSz w:w="11899" w:h="16838"/>
          <w:pgMar w:top="1134" w:right="1551" w:bottom="1276" w:left="1418" w:header="709" w:footer="709" w:gutter="0"/>
          <w:cols w:num="2" w:space="710" w:equalWidth="0">
            <w:col w:w="3333" w:space="710"/>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100</w:t>
      </w:r>
      <w:r w:rsidRPr="00D739A7">
        <w:fldChar w:fldCharType="end"/>
      </w:r>
      <w:r w:rsidR="00751B98" w:rsidRPr="00D739A7">
        <w:t>. Gender breakdown of learners with an official decision of SEN in fully separate educational settings, based on the enrolled school population (%)</w:t>
      </w:r>
    </w:p>
    <w:p w14:paraId="4A1DD156" w14:textId="77777777" w:rsidR="00751B98" w:rsidRPr="00D739A7" w:rsidRDefault="00751B98" w:rsidP="004A29D9">
      <w:pPr>
        <w:pStyle w:val="Agency-heading-4-report"/>
      </w:pPr>
      <w:r w:rsidRPr="00D739A7">
        <w:lastRenderedPageBreak/>
        <w:t>Gender distribution of learners with an official decision of SEN in fully separate educational settings, based on the enrolled school population (%)</w:t>
      </w:r>
    </w:p>
    <w:p w14:paraId="74F49FBD"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67A10B25" w14:textId="77777777" w:rsidR="00751B98" w:rsidRPr="00D739A7" w:rsidRDefault="00751B98" w:rsidP="00CA3187">
      <w:pPr>
        <w:pStyle w:val="Agency-body-text-report"/>
      </w:pPr>
      <w:r w:rsidRPr="00D739A7">
        <w:t>The gender distributions have been calculated as follows:</w:t>
      </w:r>
    </w:p>
    <w:p w14:paraId="28358374" w14:textId="4C90C92A" w:rsidR="00751B98" w:rsidRPr="00D739A7" w:rsidRDefault="00EF3C3C" w:rsidP="00CA3187">
      <w:pPr>
        <w:pStyle w:val="Agency-body-text-report"/>
      </w:pPr>
      <w:r w:rsidRPr="00D739A7">
        <w:t>Boys</w:t>
      </w:r>
      <w:r w:rsidR="00751B98" w:rsidRPr="00D739A7">
        <w:t>:</w:t>
      </w:r>
      <w:r w:rsidR="00751B98" w:rsidRPr="00D739A7">
        <w:rPr>
          <w:szCs w:val="20"/>
        </w:rPr>
        <w:t xml:space="preserve"> </w:t>
      </w:r>
      <w:r w:rsidR="00751B98" w:rsidRPr="00D739A7">
        <w:t>The number of boys with an official decision of SEN who are educated in separate special classes in mainstream schools (</w:t>
      </w:r>
      <w:r w:rsidR="007237E0" w:rsidRPr="00D739A7">
        <w:t>Q3</w:t>
      </w:r>
      <w:r w:rsidR="00751B98" w:rsidRPr="00D739A7">
        <w:t>.3) + The number of boys with an official decision of SEN who are educated in separate special schools (</w:t>
      </w:r>
      <w:r w:rsidR="007237E0" w:rsidRPr="00D739A7">
        <w:t>Q3</w:t>
      </w:r>
      <w:r w:rsidR="00751B98" w:rsidRPr="00D739A7">
        <w:t>.4) / The number of learners with an official decision of SEN who are educated in separate special classes in mainstream schools (Q3.3) + The number of learners with an official decision of SEN who are educated in separate special schools (Q3.4) x 100.</w:t>
      </w:r>
    </w:p>
    <w:p w14:paraId="2800BA08" w14:textId="40680055" w:rsidR="00751B98" w:rsidRPr="00D739A7" w:rsidRDefault="00EF3C3C" w:rsidP="00CA3187">
      <w:pPr>
        <w:pStyle w:val="Agency-body-text-report"/>
      </w:pPr>
      <w:r w:rsidRPr="00D739A7">
        <w:t>Girls</w:t>
      </w:r>
      <w:r w:rsidR="00751B98" w:rsidRPr="00D739A7">
        <w:t>:</w:t>
      </w:r>
      <w:r w:rsidR="00751B98" w:rsidRPr="00D739A7">
        <w:rPr>
          <w:szCs w:val="20"/>
        </w:rPr>
        <w:t xml:space="preserve"> </w:t>
      </w:r>
      <w:r w:rsidR="00751B98" w:rsidRPr="00D739A7">
        <w:t>The number of girls with an official decision of SEN who are educated in separate special classes in mainstream schools (</w:t>
      </w:r>
      <w:r w:rsidR="007237E0" w:rsidRPr="00D739A7">
        <w:t>Q3</w:t>
      </w:r>
      <w:r w:rsidR="00751B98" w:rsidRPr="00D739A7">
        <w:t>.3) + The number of girls with an official decision of SEN who are educated in separate special schools (</w:t>
      </w:r>
      <w:r w:rsidR="007237E0" w:rsidRPr="00D739A7">
        <w:t>Q3</w:t>
      </w:r>
      <w:r w:rsidR="00751B98" w:rsidRPr="00D739A7">
        <w:t>.4) / The number of learners with an official decision of SEN who are educated in separate special classes in mainstream schools (Q3.3) + The number of learners with an official decision of SEN who are educated in separate special schools (Q3.4) x 100.</w:t>
      </w:r>
    </w:p>
    <w:p w14:paraId="3EED83EC" w14:textId="647E381A" w:rsidR="00751B98" w:rsidRPr="00D739A7" w:rsidRDefault="00751B98" w:rsidP="00CA3187">
      <w:pPr>
        <w:pStyle w:val="Agency-body-text-report"/>
        <w:rPr>
          <w:bCs/>
        </w:rPr>
      </w:pPr>
      <w:r w:rsidRPr="00D739A7">
        <w:rPr>
          <w:bCs/>
        </w:rPr>
        <w:t>Data is available from 1</w:t>
      </w:r>
      <w:r w:rsidR="001A2E69" w:rsidRPr="00D739A7">
        <w:rPr>
          <w:bCs/>
        </w:rPr>
        <w:t>6</w:t>
      </w:r>
      <w:r w:rsidRPr="00D739A7">
        <w:rPr>
          <w:bCs/>
        </w:rPr>
        <w:t xml:space="preserve"> countries.</w:t>
      </w:r>
    </w:p>
    <w:p w14:paraId="38EAC55C" w14:textId="737E8FB6" w:rsidR="00751B98" w:rsidRPr="00D739A7" w:rsidRDefault="00751B98" w:rsidP="00CA3187">
      <w:pPr>
        <w:pStyle w:val="Agency-body-text-report"/>
        <w:rPr>
          <w:bCs/>
        </w:rPr>
      </w:pPr>
      <w:r w:rsidRPr="00D739A7">
        <w:rPr>
          <w:bCs/>
        </w:rPr>
        <w:t>The proportion of boys with an official decision of SEN in fully separate educational settings ranges from 5</w:t>
      </w:r>
      <w:r w:rsidR="001A2E69" w:rsidRPr="00D739A7">
        <w:rPr>
          <w:bCs/>
        </w:rPr>
        <w:t>1.82</w:t>
      </w:r>
      <w:r w:rsidRPr="00D739A7">
        <w:rPr>
          <w:bCs/>
        </w:rPr>
        <w:t xml:space="preserve">% to </w:t>
      </w:r>
      <w:r w:rsidR="001A2E69" w:rsidRPr="00D739A7">
        <w:rPr>
          <w:bCs/>
        </w:rPr>
        <w:t>83.07</w:t>
      </w:r>
      <w:r w:rsidRPr="00D739A7">
        <w:rPr>
          <w:bCs/>
        </w:rPr>
        <w:t>%; the total average for the 1</w:t>
      </w:r>
      <w:r w:rsidR="001A2E69" w:rsidRPr="00D739A7">
        <w:rPr>
          <w:bCs/>
        </w:rPr>
        <w:t>6</w:t>
      </w:r>
      <w:r w:rsidRPr="00D739A7">
        <w:rPr>
          <w:bCs/>
        </w:rPr>
        <w:t xml:space="preserve"> countries is 6</w:t>
      </w:r>
      <w:r w:rsidR="001A2E69" w:rsidRPr="00D739A7">
        <w:rPr>
          <w:bCs/>
        </w:rPr>
        <w:t>3.08</w:t>
      </w:r>
      <w:r w:rsidRPr="00D739A7">
        <w:rPr>
          <w:bCs/>
        </w:rPr>
        <w:t>%.</w:t>
      </w:r>
    </w:p>
    <w:p w14:paraId="21A21EFC" w14:textId="4EC28F4C" w:rsidR="00751B98" w:rsidRPr="00D739A7" w:rsidRDefault="00751B98" w:rsidP="00CA3187">
      <w:pPr>
        <w:pStyle w:val="Agency-body-text-report"/>
        <w:rPr>
          <w:bCs/>
        </w:rPr>
      </w:pPr>
      <w:r w:rsidRPr="00D739A7">
        <w:rPr>
          <w:bCs/>
        </w:rPr>
        <w:t xml:space="preserve">The proportion of girls with an official decision of SEN in fully separate educational settings </w:t>
      </w:r>
      <w:r w:rsidRPr="00D739A7">
        <w:rPr>
          <w:bCs/>
        </w:rPr>
        <w:t xml:space="preserve">ranges from </w:t>
      </w:r>
      <w:r w:rsidR="001A2E69" w:rsidRPr="00D739A7">
        <w:rPr>
          <w:bCs/>
        </w:rPr>
        <w:t>16.93</w:t>
      </w:r>
      <w:r w:rsidRPr="00D739A7">
        <w:rPr>
          <w:bCs/>
        </w:rPr>
        <w:t>% to 4</w:t>
      </w:r>
      <w:r w:rsidR="001A2E69" w:rsidRPr="00D739A7">
        <w:rPr>
          <w:bCs/>
        </w:rPr>
        <w:t>8.18</w:t>
      </w:r>
      <w:r w:rsidRPr="00D739A7">
        <w:rPr>
          <w:bCs/>
        </w:rPr>
        <w:t>%; the total average for the 1</w:t>
      </w:r>
      <w:r w:rsidR="001A2E69" w:rsidRPr="00D739A7">
        <w:rPr>
          <w:bCs/>
        </w:rPr>
        <w:t>6</w:t>
      </w:r>
      <w:r w:rsidRPr="00D739A7">
        <w:rPr>
          <w:bCs/>
        </w:rPr>
        <w:t xml:space="preserve"> countries is 3</w:t>
      </w:r>
      <w:r w:rsidR="001A2E69" w:rsidRPr="00D739A7">
        <w:rPr>
          <w:bCs/>
        </w:rPr>
        <w:t>6.92</w:t>
      </w:r>
      <w:r w:rsidRPr="00D739A7">
        <w:rPr>
          <w:bCs/>
        </w:rPr>
        <w:t>%.</w:t>
      </w:r>
    </w:p>
    <w:p w14:paraId="5B4BC79E" w14:textId="0E125D20" w:rsidR="00751B98" w:rsidRPr="00D739A7" w:rsidRDefault="001A2E69" w:rsidP="001A2E69">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3588FE33" wp14:editId="78149650">
            <wp:extent cx="3103880" cy="7125077"/>
            <wp:effectExtent l="0" t="0" r="7620" b="12700"/>
            <wp:docPr id="118" name="Diagram 118" descr="Austria Boys 57.99 Girls 42.01&#10;Belgium (Fl) Boys 83.07 Girls 16.93&#10;Bulgaria Boys 63.08 Girls 36.92&#10;Cyprus Boys 59.11 Girls 40.89&#10;Czech Republic Boys 58.34 Girls 41.66&#10;Estonia Boys 68.89 Girls 31.11&#10;France Boys 59.88 Girls 40.12&#10;Greece Boys 60.39 Girls 39.61&#10;Ireland Boys 67.57 Girls 32.43&#10;Latvia Boys 51.82 Girls 48.18&#10;Lithuania Boys 59.20 Girls 40.80&#10;Poland Boys 57.18 Girls 42.82&#10;Serbia Boys 59.62 Girls 40.38&#10;Slovakia Boys 55.20 Girls 44.80&#10;UK (England) Boys 73.02 Girls 26.98&#10;UK (N. Ireland) Boys 62.73 Girls 37.27&#10;Total average (16 countries) Boys 63.08 Girls 36.92">
              <a:extLst xmlns:a="http://schemas.openxmlformats.org/drawingml/2006/main">
                <a:ext uri="{FF2B5EF4-FFF2-40B4-BE49-F238E27FC236}">
                  <a16:creationId xmlns:a16="http://schemas.microsoft.com/office/drawing/2014/main" id="{1CEC2A8B-1339-4E80-B74A-8A27D25039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7FC33DD1" w14:textId="41EBD044" w:rsidR="00751B98" w:rsidRPr="00D739A7" w:rsidRDefault="00B23105" w:rsidP="003F3ED7">
      <w:pPr>
        <w:pStyle w:val="Agency-caption-report"/>
        <w:rPr>
          <w:rFonts w:cs="Calibri"/>
          <w:b w:val="0"/>
          <w:bCs w:val="0"/>
        </w:rPr>
        <w:sectPr w:rsidR="00751B98" w:rsidRPr="00D739A7" w:rsidSect="00CA3187">
          <w:type w:val="continuous"/>
          <w:pgSz w:w="11899" w:h="16838"/>
          <w:pgMar w:top="1134" w:right="1551" w:bottom="1276" w:left="1418" w:header="709" w:footer="709" w:gutter="0"/>
          <w:cols w:num="2" w:space="710" w:equalWidth="0">
            <w:col w:w="3481" w:space="562"/>
            <w:col w:w="4887"/>
          </w:cols>
          <w:docGrid w:linePitch="360"/>
        </w:sectPr>
      </w:pPr>
      <w:r w:rsidRPr="00D739A7">
        <w:t xml:space="preserve">Figure </w:t>
      </w:r>
      <w:r w:rsidRPr="00D739A7">
        <w:fldChar w:fldCharType="begin"/>
      </w:r>
      <w:r w:rsidRPr="00D739A7">
        <w:instrText xml:space="preserve"> SEQ Figure \* ARABIC </w:instrText>
      </w:r>
      <w:r w:rsidRPr="00D739A7">
        <w:fldChar w:fldCharType="separate"/>
      </w:r>
      <w:r w:rsidR="00B54F4E" w:rsidRPr="00D739A7">
        <w:t>101</w:t>
      </w:r>
      <w:r w:rsidRPr="00D739A7">
        <w:fldChar w:fldCharType="end"/>
      </w:r>
      <w:r w:rsidR="00751B98" w:rsidRPr="00D739A7">
        <w:t>. Gender distribution of learners with an official decision of SEN in fully separate educational settings, based on the enrolled school population (%)</w:t>
      </w:r>
    </w:p>
    <w:p w14:paraId="341EF32F" w14:textId="53AC790A" w:rsidR="00751B98" w:rsidRPr="00D739A7" w:rsidRDefault="00903978" w:rsidP="004A29D9">
      <w:pPr>
        <w:pStyle w:val="Agency-heading-2-report"/>
      </w:pPr>
      <w:bookmarkStart w:id="87" w:name="_Toc35943074"/>
      <w:r w:rsidRPr="00D739A7">
        <w:lastRenderedPageBreak/>
        <w:t>3.</w:t>
      </w:r>
      <w:r w:rsidR="00751B98" w:rsidRPr="00D739A7">
        <w:t>3c. Distribution of placements, based on the population of learners with an official decision of SEN</w:t>
      </w:r>
      <w:bookmarkEnd w:id="87"/>
    </w:p>
    <w:p w14:paraId="22642B8A" w14:textId="5F3CEA46" w:rsidR="00751B98" w:rsidRPr="00D739A7" w:rsidRDefault="00751B98" w:rsidP="002825E1">
      <w:pPr>
        <w:pStyle w:val="Agency-body-text-report"/>
        <w:keepNext/>
      </w:pPr>
      <w:r w:rsidRPr="00D739A7">
        <w:t xml:space="preserve">As with the indicators in </w:t>
      </w:r>
      <w:hyperlink w:anchor="ch3section3b" w:history="1">
        <w:r w:rsidR="00C56667" w:rsidRPr="00D739A7">
          <w:rPr>
            <w:rStyle w:val="Hyperlink"/>
          </w:rPr>
          <w:t>section </w:t>
        </w:r>
        <w:r w:rsidR="00903978" w:rsidRPr="00D739A7">
          <w:rPr>
            <w:rStyle w:val="Hyperlink"/>
          </w:rPr>
          <w:t>3.</w:t>
        </w:r>
        <w:r w:rsidRPr="00D739A7">
          <w:rPr>
            <w:rStyle w:val="Hyperlink"/>
          </w:rPr>
          <w:t>3b</w:t>
        </w:r>
      </w:hyperlink>
      <w:r w:rsidRPr="00D739A7">
        <w:t>, the indicators presented in this section relate to the distribution of placements of learners with an official decision of SEN in:</w:t>
      </w:r>
    </w:p>
    <w:p w14:paraId="77E72253" w14:textId="77777777" w:rsidR="00751B98" w:rsidRPr="00D739A7" w:rsidRDefault="00751B98" w:rsidP="004A29D9">
      <w:pPr>
        <w:pStyle w:val="Agency-body-text-report"/>
        <w:numPr>
          <w:ilvl w:val="0"/>
          <w:numId w:val="58"/>
        </w:numPr>
      </w:pPr>
      <w:r w:rsidRPr="00D739A7">
        <w:t>Inclusive settings</w:t>
      </w:r>
    </w:p>
    <w:p w14:paraId="791CB825" w14:textId="77777777" w:rsidR="00751B98" w:rsidRPr="00D739A7" w:rsidRDefault="00751B98" w:rsidP="004A29D9">
      <w:pPr>
        <w:pStyle w:val="Agency-body-text-report"/>
        <w:numPr>
          <w:ilvl w:val="0"/>
          <w:numId w:val="58"/>
        </w:numPr>
      </w:pPr>
      <w:r w:rsidRPr="00D739A7">
        <w:t>Separate special classes in mainstream schools</w:t>
      </w:r>
    </w:p>
    <w:p w14:paraId="5DD15628" w14:textId="77777777" w:rsidR="00751B98" w:rsidRPr="00D739A7" w:rsidRDefault="00751B98" w:rsidP="004A29D9">
      <w:pPr>
        <w:pStyle w:val="Agency-body-text-report"/>
        <w:numPr>
          <w:ilvl w:val="0"/>
          <w:numId w:val="58"/>
        </w:numPr>
      </w:pPr>
      <w:r w:rsidRPr="00D739A7">
        <w:t>Separate special schools</w:t>
      </w:r>
    </w:p>
    <w:p w14:paraId="42E319F8" w14:textId="77777777" w:rsidR="00751B98" w:rsidRPr="00D739A7" w:rsidRDefault="00751B98" w:rsidP="004A29D9">
      <w:pPr>
        <w:pStyle w:val="Agency-body-text-report"/>
        <w:numPr>
          <w:ilvl w:val="0"/>
          <w:numId w:val="58"/>
        </w:numPr>
      </w:pPr>
      <w:r w:rsidRPr="00D739A7">
        <w:t>Non-formal settings.</w:t>
      </w:r>
    </w:p>
    <w:p w14:paraId="1D6805FA" w14:textId="77777777" w:rsidR="00751B98" w:rsidRPr="00D739A7" w:rsidRDefault="00751B98" w:rsidP="004A29D9">
      <w:pPr>
        <w:pStyle w:val="Agency-body-text-report"/>
      </w:pPr>
      <w:r w:rsidRPr="00D739A7">
        <w:t>However, the data focuses on the population of learners with an official decision of SEN in different settings in relation to the whole school population of learners with an official decision of SEN.</w:t>
      </w:r>
    </w:p>
    <w:p w14:paraId="3ABA1B37" w14:textId="77777777" w:rsidR="00751B98" w:rsidRPr="00D739A7" w:rsidRDefault="00751B98" w:rsidP="004A29D9">
      <w:pPr>
        <w:pStyle w:val="Agency-body-text-report"/>
      </w:pPr>
      <w:r w:rsidRPr="00D739A7">
        <w:t>For each of these areas of indicators, gender and ISCED level breakdowns and distributions are presented in separate figures.</w:t>
      </w:r>
    </w:p>
    <w:p w14:paraId="10B2ED31" w14:textId="77777777" w:rsidR="00751B98" w:rsidRPr="00D739A7" w:rsidRDefault="00751B98" w:rsidP="004A29D9">
      <w:pPr>
        <w:pStyle w:val="Agency-body-text-report"/>
        <w:sectPr w:rsidR="00751B98" w:rsidRPr="00D739A7" w:rsidSect="00751B98">
          <w:type w:val="continuous"/>
          <w:pgSz w:w="11899" w:h="16838"/>
          <w:pgMar w:top="1134" w:right="1551" w:bottom="1276" w:left="1418" w:header="709" w:footer="709" w:gutter="0"/>
          <w:cols w:space="710"/>
          <w:docGrid w:linePitch="360"/>
        </w:sectPr>
      </w:pPr>
      <w:r w:rsidRPr="00D739A7">
        <w:t xml:space="preserve">All data must be considered in line with the </w:t>
      </w:r>
      <w:hyperlink r:id="rId142" w:history="1">
        <w:r w:rsidRPr="00D739A7">
          <w:rPr>
            <w:color w:val="0000FF"/>
            <w:u w:val="single"/>
          </w:rPr>
          <w:t>Country Background Information</w:t>
        </w:r>
      </w:hyperlink>
      <w:r w:rsidRPr="00D739A7">
        <w:t xml:space="preserve"> relating to the official decision of SEN procedures in the country concerned.</w:t>
      </w:r>
    </w:p>
    <w:p w14:paraId="3B422CF8" w14:textId="4216BAF3" w:rsidR="00751B98" w:rsidRPr="00D739A7" w:rsidRDefault="00436B97" w:rsidP="004A29D9">
      <w:pPr>
        <w:pStyle w:val="Agency-heading-3-report"/>
        <w:rPr>
          <w:b w:val="0"/>
        </w:rPr>
        <w:sectPr w:rsidR="00751B98" w:rsidRPr="00D739A7" w:rsidSect="00751B98">
          <w:pgSz w:w="11899" w:h="16838"/>
          <w:pgMar w:top="1134" w:right="1551" w:bottom="1276" w:left="1418" w:header="709" w:footer="709" w:gutter="0"/>
          <w:cols w:space="710"/>
          <w:docGrid w:linePitch="360"/>
        </w:sectPr>
      </w:pPr>
      <w:bookmarkStart w:id="88" w:name="_Toc35943075"/>
      <w:r w:rsidRPr="00D739A7">
        <w:lastRenderedPageBreak/>
        <w:t>Indicator </w:t>
      </w:r>
      <w:r w:rsidR="00903978" w:rsidRPr="00D739A7">
        <w:t>3.</w:t>
      </w:r>
      <w:r w:rsidRPr="00D739A7">
        <w:t>3</w:t>
      </w:r>
      <w:r w:rsidR="00751B98" w:rsidRPr="00D739A7">
        <w:t>c.1: the percentage of learners with an official decision of SEN in inclusive education, based on the population of learners with an official decision of SEN (%)</w:t>
      </w:r>
      <w:bookmarkEnd w:id="88"/>
    </w:p>
    <w:p w14:paraId="74C3FA76" w14:textId="45BD6206" w:rsidR="00751B98" w:rsidRPr="00D739A7" w:rsidRDefault="00751B98" w:rsidP="00C56667">
      <w:pPr>
        <w:pStyle w:val="Agency-body-text-report"/>
      </w:pPr>
      <w:r w:rsidRPr="00D739A7">
        <w:t>The data focuses on learners with an official decision of SEN</w:t>
      </w:r>
      <w:r w:rsidR="00C56667" w:rsidRPr="00D739A7">
        <w:t>,</w:t>
      </w:r>
      <w:r w:rsidRPr="00D739A7">
        <w:t xml:space="preserve"> in line with the EASIE operational definition, who are enrolled in inclusive education</w:t>
      </w:r>
      <w:r w:rsidR="00C56667" w:rsidRPr="00D739A7">
        <w:t>,</w:t>
      </w:r>
      <w:r w:rsidRPr="00D739A7">
        <w:t xml:space="preserve"> in line with the 80% placement benchmark (or the most relevant proxy for this benchmark)</w:t>
      </w:r>
      <w:r w:rsidR="00C56667" w:rsidRPr="00D739A7">
        <w:t>,</w:t>
      </w:r>
      <w:r w:rsidRPr="00D739A7">
        <w:t xml:space="preserve"> in comparison to the whole population of learners with an official decision of SEN.</w:t>
      </w:r>
    </w:p>
    <w:p w14:paraId="1D6C6EF0" w14:textId="77777777" w:rsidR="00751B98" w:rsidRPr="00D739A7" w:rsidRDefault="00751B98" w:rsidP="00C56667">
      <w:pPr>
        <w:pStyle w:val="Agency-body-text-report"/>
      </w:pPr>
      <w:r w:rsidRPr="00D739A7">
        <w:t>This indicator has been calculated as follows: The number of learners with an official decision of SEN who are educated in mainstream classes for at least 80% of the time (Q3.2) / The number of learners with an official decision of SEN (Q3.1) x 100.</w:t>
      </w:r>
    </w:p>
    <w:p w14:paraId="63E8C095" w14:textId="45FCE000" w:rsidR="00751B98" w:rsidRPr="00D739A7" w:rsidRDefault="00751B98" w:rsidP="00C56667">
      <w:pPr>
        <w:pStyle w:val="Agency-body-text-report"/>
      </w:pPr>
      <w:r w:rsidRPr="00D739A7">
        <w:t>Data is available from 2</w:t>
      </w:r>
      <w:r w:rsidR="001A2E69" w:rsidRPr="00D739A7">
        <w:t>4</w:t>
      </w:r>
      <w:r w:rsidRPr="00D739A7">
        <w:t xml:space="preserve"> countries.</w:t>
      </w:r>
    </w:p>
    <w:p w14:paraId="7330F456" w14:textId="30A6272F" w:rsidR="00751B98" w:rsidRPr="00D739A7" w:rsidRDefault="00751B98" w:rsidP="00C56667">
      <w:pPr>
        <w:pStyle w:val="Agency-body-text-report"/>
      </w:pPr>
      <w:r w:rsidRPr="00D739A7">
        <w:t xml:space="preserve">The inclusive education enrolment rates of learners with an official decision of SEN, based on the whole population of learners with an official decision of SEN, range from </w:t>
      </w:r>
      <w:r w:rsidR="001A2E69" w:rsidRPr="00D739A7">
        <w:t>0.61</w:t>
      </w:r>
      <w:r w:rsidRPr="00D739A7">
        <w:t xml:space="preserve">% to </w:t>
      </w:r>
      <w:r w:rsidR="001A2E69" w:rsidRPr="00D739A7">
        <w:t>100</w:t>
      </w:r>
      <w:r w:rsidR="00C56667" w:rsidRPr="00D739A7">
        <w:t>.00</w:t>
      </w:r>
      <w:r w:rsidRPr="00D739A7">
        <w:t>%; the total average for the 2</w:t>
      </w:r>
      <w:r w:rsidR="001A2E69" w:rsidRPr="00D739A7">
        <w:t>4</w:t>
      </w:r>
      <w:r w:rsidRPr="00D739A7">
        <w:t xml:space="preserve"> countries is </w:t>
      </w:r>
      <w:r w:rsidR="001A2E69" w:rsidRPr="00D739A7">
        <w:t>70.57</w:t>
      </w:r>
      <w:r w:rsidRPr="00D739A7">
        <w:t>%.</w:t>
      </w:r>
    </w:p>
    <w:p w14:paraId="5C195440" w14:textId="00E5FEFF" w:rsidR="00751B98" w:rsidRPr="00D739A7" w:rsidRDefault="001A2E69" w:rsidP="001A2E69">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10F40500" wp14:editId="2097A3C5">
            <wp:extent cx="3060700" cy="7324253"/>
            <wp:effectExtent l="0" t="0" r="12700" b="16510"/>
            <wp:docPr id="120" name="Diagram 120" descr="Austria 45.83&#10;Belgium (Fl) 66.69&#10;Bulgaria 64.23&#10;Cyprus 85.81&#10;Czech Republic 62.55&#10;Estonia 65.12&#10;France 63.21&#10;Germany 62.14&#10;Greece 94.34&#10;Hungary 65.58&#10;Ireland 69.61&#10;Italy 99.68&#10;Lithuania 46.20&#10;Luxembourg 40.59&#10;Poland 30.97&#10;Portugal 78.36&#10;Slovakia 66.77&#10;Slovenia 100.00&#10;Spain 100.00&#10;Sweden 0.61&#10;UK (England) 44.41&#10;UK (N. Ireland) 47.15&#10;UK (Scotland) 90.03&#10;UK (Wales) 25.29&#10;Total average (24 countries) 70.57">
              <a:extLst xmlns:a="http://schemas.openxmlformats.org/drawingml/2006/main">
                <a:ext uri="{FF2B5EF4-FFF2-40B4-BE49-F238E27FC236}">
                  <a16:creationId xmlns:a16="http://schemas.microsoft.com/office/drawing/2014/main" id="{97D74CF3-0A5B-42A8-8C16-5BCD6595AF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52C20619" w14:textId="6D623809" w:rsidR="00751B98" w:rsidRPr="00D739A7" w:rsidRDefault="00B23105"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102</w:t>
      </w:r>
      <w:r w:rsidRPr="00D739A7">
        <w:fldChar w:fldCharType="end"/>
      </w:r>
      <w:r w:rsidR="00751B98" w:rsidRPr="00D739A7">
        <w:t>. Percentage of learners with an official decision of SEN in inclusive education, based on the population of learners with an official decision of SEN (%)</w:t>
      </w:r>
    </w:p>
    <w:p w14:paraId="7870C7AB"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2E79C9">
          <w:type w:val="continuous"/>
          <w:pgSz w:w="11899" w:h="16838"/>
          <w:pgMar w:top="1134" w:right="1551" w:bottom="1276" w:left="1418" w:header="709" w:footer="709" w:gutter="0"/>
          <w:cols w:num="2" w:space="710" w:equalWidth="0">
            <w:col w:w="3333" w:space="710"/>
            <w:col w:w="4887"/>
          </w:cols>
          <w:docGrid w:linePitch="360"/>
        </w:sectPr>
      </w:pPr>
    </w:p>
    <w:p w14:paraId="19A8DC1E" w14:textId="77777777" w:rsidR="00751B98" w:rsidRPr="00D739A7" w:rsidRDefault="00751B98" w:rsidP="004A29D9">
      <w:pPr>
        <w:pStyle w:val="Agency-heading-4-report"/>
      </w:pPr>
      <w:r w:rsidRPr="00D739A7">
        <w:lastRenderedPageBreak/>
        <w:t>Gender breakdown of learners with an official decision of SEN in inclusive education, based on the population of learners with an official decision of SEN (%)</w:t>
      </w:r>
    </w:p>
    <w:p w14:paraId="7E111B13"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7148A03C" w14:textId="77777777" w:rsidR="00751B98" w:rsidRPr="00D739A7" w:rsidRDefault="00751B98" w:rsidP="00C56667">
      <w:pPr>
        <w:pStyle w:val="Agency-body-text-report"/>
      </w:pPr>
      <w:r w:rsidRPr="00D739A7">
        <w:t>The gender breakdowns have been calculated as follows:</w:t>
      </w:r>
    </w:p>
    <w:p w14:paraId="0A381337" w14:textId="5A72B6BB" w:rsidR="00751B98" w:rsidRPr="00D739A7" w:rsidRDefault="00EF3C3C" w:rsidP="00C56667">
      <w:pPr>
        <w:pStyle w:val="Agency-body-text-report"/>
      </w:pPr>
      <w:r w:rsidRPr="00D739A7">
        <w:t>Boys</w:t>
      </w:r>
      <w:r w:rsidR="00751B98" w:rsidRPr="00D739A7">
        <w:t>: The number of boys with an official decision of SEN who are educated in mainstream classes for at least 80% of the time (Q3.2) / The number of learners with an official decision of SEN (Q3.1) x 100.</w:t>
      </w:r>
    </w:p>
    <w:p w14:paraId="2445CA5F" w14:textId="7DD908C9" w:rsidR="00751B98" w:rsidRPr="00D739A7" w:rsidRDefault="00EF3C3C" w:rsidP="00C56667">
      <w:pPr>
        <w:pStyle w:val="Agency-body-text-report"/>
      </w:pPr>
      <w:r w:rsidRPr="00D739A7">
        <w:t>Girls</w:t>
      </w:r>
      <w:r w:rsidR="00751B98" w:rsidRPr="00D739A7">
        <w:t>: The number of girls with an official decision of SEN who are educated in mainstream classes for at least 80% of the time (Q3.2) / The number of learners with an official decision of SEN (Q3.1) x 100.</w:t>
      </w:r>
    </w:p>
    <w:p w14:paraId="24716A7E" w14:textId="25C001BC" w:rsidR="00751B98" w:rsidRPr="00D739A7" w:rsidRDefault="00751B98" w:rsidP="00C56667">
      <w:pPr>
        <w:pStyle w:val="Agency-body-text-report"/>
      </w:pPr>
      <w:r w:rsidRPr="00D739A7">
        <w:t>Data is available from 2</w:t>
      </w:r>
      <w:r w:rsidR="001A2E69" w:rsidRPr="00D739A7">
        <w:t>3</w:t>
      </w:r>
      <w:r w:rsidRPr="00D739A7">
        <w:t xml:space="preserve"> countries.</w:t>
      </w:r>
    </w:p>
    <w:p w14:paraId="2E0F1E4B" w14:textId="5FB7C956" w:rsidR="00751B98" w:rsidRPr="00D739A7" w:rsidRDefault="00751B98" w:rsidP="00C56667">
      <w:pPr>
        <w:pStyle w:val="Agency-body-text-report"/>
      </w:pPr>
      <w:r w:rsidRPr="00D739A7">
        <w:t xml:space="preserve">The inclusive education enrolment rates of </w:t>
      </w:r>
      <w:r w:rsidR="00AE36D0" w:rsidRPr="00D739A7">
        <w:t xml:space="preserve">boys </w:t>
      </w:r>
      <w:r w:rsidRPr="00D739A7">
        <w:t xml:space="preserve">with an official decision of SEN, based on the whole population of learners with an official decision of SEN, range from </w:t>
      </w:r>
      <w:r w:rsidR="001A2E69" w:rsidRPr="00D739A7">
        <w:t>0.35</w:t>
      </w:r>
      <w:r w:rsidRPr="00D739A7">
        <w:t>% to 6</w:t>
      </w:r>
      <w:r w:rsidR="001A2E69" w:rsidRPr="00D739A7">
        <w:t>8.23</w:t>
      </w:r>
      <w:r w:rsidRPr="00D739A7">
        <w:t>%; the total average for the 2</w:t>
      </w:r>
      <w:r w:rsidR="001A2E69" w:rsidRPr="00D739A7">
        <w:t>3</w:t>
      </w:r>
      <w:r w:rsidRPr="00D739A7">
        <w:t xml:space="preserve"> countries is 4</w:t>
      </w:r>
      <w:r w:rsidR="00487953" w:rsidRPr="00D739A7">
        <w:t>7.08</w:t>
      </w:r>
      <w:r w:rsidRPr="00D739A7">
        <w:t>%.</w:t>
      </w:r>
    </w:p>
    <w:p w14:paraId="1EABD6DE" w14:textId="14F83C7B" w:rsidR="001A2E69" w:rsidRPr="00D739A7" w:rsidRDefault="00751B98" w:rsidP="00C56667">
      <w:pPr>
        <w:pStyle w:val="Agency-body-text-report"/>
      </w:pPr>
      <w:r w:rsidRPr="00D739A7">
        <w:t xml:space="preserve">The inclusive education enrolment rates of </w:t>
      </w:r>
      <w:r w:rsidR="00AE36D0" w:rsidRPr="00D739A7">
        <w:t xml:space="preserve">girls </w:t>
      </w:r>
      <w:r w:rsidRPr="00D739A7">
        <w:t xml:space="preserve">with an official decision of SEN, based on the whole population of learners with an official decision of SEN, range from </w:t>
      </w:r>
      <w:r w:rsidR="001A2E69" w:rsidRPr="00D739A7">
        <w:t>0.25</w:t>
      </w:r>
      <w:r w:rsidRPr="00D739A7">
        <w:t>% to 3</w:t>
      </w:r>
      <w:r w:rsidR="00487953" w:rsidRPr="00D739A7">
        <w:t>9.08</w:t>
      </w:r>
      <w:r w:rsidRPr="00D739A7">
        <w:t>%; the total average for the 2</w:t>
      </w:r>
      <w:r w:rsidR="001A2E69" w:rsidRPr="00D739A7">
        <w:t>3</w:t>
      </w:r>
      <w:r w:rsidRPr="00D739A7">
        <w:t xml:space="preserve"> countries is </w:t>
      </w:r>
      <w:r w:rsidR="00487953" w:rsidRPr="00D739A7">
        <w:t>23.53</w:t>
      </w:r>
      <w:r w:rsidRPr="00D739A7">
        <w:t>%.</w:t>
      </w:r>
    </w:p>
    <w:p w14:paraId="55B3DFAA" w14:textId="08B70D32" w:rsidR="00751B98" w:rsidRPr="00D739A7" w:rsidRDefault="001A2E69" w:rsidP="001A2E69">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360E5D4C" wp14:editId="6492954E">
            <wp:extent cx="3060700" cy="7396681"/>
            <wp:effectExtent l="0" t="0" r="12700" b="7620"/>
            <wp:docPr id="121" name="Diagram 121" descr="Austria Boys 26.95 Girls 18.88&#10;Belgium (Fl) Boys 49.20 Girls 17.48&#10;Bulgaria Boys 39.07 Girls 25.17&#10;Cyprus Boys 59.05 Girls 26.76&#10;Czech Republic Boys 41.38 Girls 21.17&#10;Estonia Boys 31.01 Girls 34.11&#10;France Boys 43.88 Girls 19.33&#10;Germany Boys 40.77 Girls 21.37&#10;Greece Boys 65.75 Girls 28.59&#10;Hungary Boys 44.24 Girls 21.34&#10;Ireland Boys 47.41 Girls 22.20&#10;Italy Boys 66.62 Girls 33.06&#10;Lithuania Boys 26.90 Girls 19.30&#10;Poland Boys 18.74 Girls 12.23&#10;Portugal Boys 46.53 Girls 31.83&#10;Slovakia Boys 46.98 Girls 19.79&#10;Slovenia Boys 61.26 Girls 38.74&#10;Spain Boys 68.23 Girls 31.77&#10;Sweden Boys 0.35 Girls 0.25&#10;UK (England) Boys 32.94 Girls 11.47&#10;UK (N. Ireland) Boys 32.74 Girls 14.41&#10;UK (Scotland) Boys 50.96 Girls 39.08&#10;UK (Wales) Boys 18.09 Girls 7.21&#10;Total average (23 countries) Boys 47.08 Girls 23.53">
              <a:extLst xmlns:a="http://schemas.openxmlformats.org/drawingml/2006/main">
                <a:ext uri="{FF2B5EF4-FFF2-40B4-BE49-F238E27FC236}">
                  <a16:creationId xmlns:a16="http://schemas.microsoft.com/office/drawing/2014/main" id="{E84120A5-4F16-4E3A-80F6-F08849491A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70986355" w14:textId="650331E3" w:rsidR="00751B98" w:rsidRPr="00D739A7" w:rsidRDefault="00B23105"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103</w:t>
      </w:r>
      <w:r w:rsidRPr="00D739A7">
        <w:fldChar w:fldCharType="end"/>
      </w:r>
      <w:r w:rsidR="00751B98" w:rsidRPr="00D739A7">
        <w:t>. Gender breakdown of learners with an official decision of SEN in inclusive education, based on the population of learners with an official decision of SEN (%)</w:t>
      </w:r>
    </w:p>
    <w:p w14:paraId="2127A745"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2E79C9">
          <w:type w:val="continuous"/>
          <w:pgSz w:w="11899" w:h="16838"/>
          <w:pgMar w:top="1134" w:right="1551" w:bottom="1276" w:left="1418" w:header="709" w:footer="709" w:gutter="0"/>
          <w:cols w:num="2" w:space="710" w:equalWidth="0">
            <w:col w:w="3333" w:space="710"/>
            <w:col w:w="4887"/>
          </w:cols>
          <w:docGrid w:linePitch="360"/>
        </w:sectPr>
      </w:pPr>
    </w:p>
    <w:p w14:paraId="0948D16B" w14:textId="77777777" w:rsidR="00751B98" w:rsidRPr="00D739A7" w:rsidRDefault="00751B98" w:rsidP="004A29D9">
      <w:pPr>
        <w:pStyle w:val="Agency-heading-4-report"/>
      </w:pPr>
      <w:r w:rsidRPr="00D739A7">
        <w:lastRenderedPageBreak/>
        <w:t>Gender distribution of learners with an official decision of SEN in inclusive education, based on the population of learners with an official decision of SEN (%)</w:t>
      </w:r>
    </w:p>
    <w:p w14:paraId="4996B70F"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35F99557" w14:textId="77777777" w:rsidR="00751B98" w:rsidRPr="00D739A7" w:rsidRDefault="00751B98" w:rsidP="00C56667">
      <w:pPr>
        <w:pStyle w:val="Agency-body-text-report"/>
      </w:pPr>
      <w:r w:rsidRPr="00D739A7">
        <w:t>The gender distributions have been calculated as follows:</w:t>
      </w:r>
    </w:p>
    <w:p w14:paraId="42E2EABF" w14:textId="123508C3" w:rsidR="00751B98" w:rsidRPr="00D739A7" w:rsidRDefault="00EF3C3C" w:rsidP="00C56667">
      <w:pPr>
        <w:pStyle w:val="Agency-body-text-report"/>
        <w:rPr>
          <w:szCs w:val="20"/>
        </w:rPr>
      </w:pPr>
      <w:r w:rsidRPr="00D739A7">
        <w:t>Boys</w:t>
      </w:r>
      <w:r w:rsidR="00751B98" w:rsidRPr="00D739A7">
        <w:t>:</w:t>
      </w:r>
      <w:r w:rsidR="00751B98" w:rsidRPr="00D739A7">
        <w:rPr>
          <w:szCs w:val="20"/>
        </w:rPr>
        <w:t xml:space="preserve"> The number of boys with an official decision of SEN who are educated in mainstream classes for at least 80% of the time (Q3.2) / The number of learners with an official decision of SEN who are educated in mainstream classes for at least 80% of the time (Q3.2) x 100.</w:t>
      </w:r>
    </w:p>
    <w:p w14:paraId="16546773" w14:textId="179DDEA9" w:rsidR="00751B98" w:rsidRPr="00D739A7" w:rsidRDefault="00EF3C3C" w:rsidP="00C56667">
      <w:pPr>
        <w:pStyle w:val="Agency-body-text-report"/>
        <w:rPr>
          <w:szCs w:val="20"/>
        </w:rPr>
      </w:pPr>
      <w:r w:rsidRPr="00D739A7">
        <w:t>Girls</w:t>
      </w:r>
      <w:r w:rsidR="00751B98" w:rsidRPr="00D739A7">
        <w:t>:</w:t>
      </w:r>
      <w:r w:rsidR="00751B98" w:rsidRPr="00D739A7">
        <w:rPr>
          <w:szCs w:val="20"/>
        </w:rPr>
        <w:t xml:space="preserve"> The number of girls with an official decision of SEN who are educated in mainstream classes for at least 80% of the time (Q3.2) / The number of learners with an official decision of SEN who are educated in mainstream classes for at least 80% of the time (Q3.2) x 100.</w:t>
      </w:r>
    </w:p>
    <w:p w14:paraId="3F1153E2" w14:textId="7BC8E48C" w:rsidR="00751B98" w:rsidRPr="00D739A7" w:rsidRDefault="00751B98" w:rsidP="00C56667">
      <w:pPr>
        <w:pStyle w:val="Agency-body-text-report"/>
      </w:pPr>
      <w:r w:rsidRPr="00D739A7">
        <w:t>Data is available from 2</w:t>
      </w:r>
      <w:r w:rsidR="00487953" w:rsidRPr="00D739A7">
        <w:t>3</w:t>
      </w:r>
      <w:r w:rsidRPr="00D739A7">
        <w:t xml:space="preserve"> countries.</w:t>
      </w:r>
    </w:p>
    <w:p w14:paraId="16CBEC48" w14:textId="36AE2602" w:rsidR="00751B98" w:rsidRPr="00D739A7" w:rsidRDefault="00751B98" w:rsidP="00C56667">
      <w:pPr>
        <w:pStyle w:val="Agency-body-text-report"/>
        <w:rPr>
          <w:bCs/>
        </w:rPr>
      </w:pPr>
      <w:r w:rsidRPr="00D739A7">
        <w:rPr>
          <w:bCs/>
        </w:rPr>
        <w:t xml:space="preserve">The proportion of boys with an official decision of SEN in inclusive education, based on the population of learners with an official decision of SEN, ranges from </w:t>
      </w:r>
      <w:r w:rsidR="00487953" w:rsidRPr="00D739A7">
        <w:rPr>
          <w:bCs/>
        </w:rPr>
        <w:t>47.62</w:t>
      </w:r>
      <w:r w:rsidRPr="00D739A7">
        <w:rPr>
          <w:bCs/>
        </w:rPr>
        <w:t>% to 7</w:t>
      </w:r>
      <w:r w:rsidR="00487953" w:rsidRPr="00D739A7">
        <w:rPr>
          <w:bCs/>
        </w:rPr>
        <w:t>4.17</w:t>
      </w:r>
      <w:r w:rsidRPr="00D739A7">
        <w:rPr>
          <w:bCs/>
        </w:rPr>
        <w:t>%; the total average for the 2</w:t>
      </w:r>
      <w:r w:rsidR="00487953" w:rsidRPr="00D739A7">
        <w:rPr>
          <w:bCs/>
        </w:rPr>
        <w:t>3</w:t>
      </w:r>
      <w:r w:rsidRPr="00D739A7">
        <w:rPr>
          <w:bCs/>
        </w:rPr>
        <w:t xml:space="preserve"> countries is 6</w:t>
      </w:r>
      <w:r w:rsidR="00487953" w:rsidRPr="00D739A7">
        <w:rPr>
          <w:bCs/>
        </w:rPr>
        <w:t>6.68</w:t>
      </w:r>
      <w:r w:rsidRPr="00D739A7">
        <w:rPr>
          <w:bCs/>
        </w:rPr>
        <w:t>%.</w:t>
      </w:r>
    </w:p>
    <w:p w14:paraId="28343E34" w14:textId="597B3CBC" w:rsidR="00751B98" w:rsidRPr="00D739A7" w:rsidRDefault="00751B98" w:rsidP="00C56667">
      <w:pPr>
        <w:pStyle w:val="Agency-body-text-report"/>
        <w:rPr>
          <w:bCs/>
        </w:rPr>
      </w:pPr>
      <w:r w:rsidRPr="00D739A7">
        <w:rPr>
          <w:bCs/>
        </w:rPr>
        <w:t>The proportion of girls with an official decision of SEN in inclusive education, based on the population of learners with an official decision of SEN, ranges from 2</w:t>
      </w:r>
      <w:r w:rsidR="00487953" w:rsidRPr="00D739A7">
        <w:rPr>
          <w:bCs/>
        </w:rPr>
        <w:t>5.83</w:t>
      </w:r>
      <w:r w:rsidRPr="00D739A7">
        <w:rPr>
          <w:bCs/>
        </w:rPr>
        <w:t xml:space="preserve">% to </w:t>
      </w:r>
      <w:r w:rsidR="00487953" w:rsidRPr="00D739A7">
        <w:rPr>
          <w:bCs/>
        </w:rPr>
        <w:t>52.38</w:t>
      </w:r>
      <w:r w:rsidRPr="00D739A7">
        <w:rPr>
          <w:bCs/>
        </w:rPr>
        <w:t>%; the total average for the 2</w:t>
      </w:r>
      <w:r w:rsidR="00487953" w:rsidRPr="00D739A7">
        <w:rPr>
          <w:bCs/>
        </w:rPr>
        <w:t>3</w:t>
      </w:r>
      <w:r w:rsidRPr="00D739A7">
        <w:rPr>
          <w:bCs/>
        </w:rPr>
        <w:t xml:space="preserve"> countries is 3</w:t>
      </w:r>
      <w:r w:rsidR="00487953" w:rsidRPr="00D739A7">
        <w:rPr>
          <w:bCs/>
        </w:rPr>
        <w:t>3.32</w:t>
      </w:r>
      <w:r w:rsidRPr="00D739A7">
        <w:rPr>
          <w:bCs/>
        </w:rPr>
        <w:t>%.</w:t>
      </w:r>
    </w:p>
    <w:p w14:paraId="055C4AC8" w14:textId="44D59516" w:rsidR="00751B98" w:rsidRPr="00D739A7" w:rsidRDefault="00487953" w:rsidP="00487953">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6A8ED594" wp14:editId="4427840D">
            <wp:extent cx="3067050" cy="7369521"/>
            <wp:effectExtent l="0" t="0" r="6350" b="9525"/>
            <wp:docPr id="122" name="Diagram 122" descr="Austria Boys 58.81 Girls 41.19&#10;Belgium (Fl) Boys 73.79 Girls 26.21&#10;Bulgaria Boys 60.82 Girls 39.18&#10;Cyprus Boys 68.81 Girls 31.19&#10;Czech Republic Boys 66.15 Girls 33.85&#10;Estonia Boys 47.62 Girls 52.38&#10;France Boys 69.41 Girls 30.59&#10;Germany Boys 65.61 Girls 34.39&#10;Greece Boys 69.70 Girls 30.30&#10;Hungary Boys 67.47 Girls 32.53&#10;Ireland Boys 68.11 Girls 31.89&#10;Italy Boys 66.83 Girls 33.17&#10;Lithuania Boys 58.22 Girls 41.78&#10;Poland Boys 60.50 Girls 39.50&#10;Portugal Boys 59.38 Girls 40.62&#10;Slovakia Boys 70.36 Girls 29.64&#10;Slovenia Boys 61.26 Girls 38.74&#10;Spain Boys 68.23 Girls 31.77&#10;Sweden Boys 58.33 Girls 41.67&#10;UK (England) Boys 74.17 Girls 25.83&#10;UK (N. Ireland) Boys 69.44 Girls 30.56&#10;UK (Scotland) Boys 56.60 Girls 43.40&#10;UK (Wales) Boys 71.51 Girls 28.49&#10;Total average (23 countries) Boys 66.68 Girls 33.32">
              <a:extLst xmlns:a="http://schemas.openxmlformats.org/drawingml/2006/main">
                <a:ext uri="{FF2B5EF4-FFF2-40B4-BE49-F238E27FC236}">
                  <a16:creationId xmlns:a16="http://schemas.microsoft.com/office/drawing/2014/main" id="{20D42FE4-B571-4CE7-BA6F-BC617AE4A9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40AD8B49" w14:textId="2CC9BE17" w:rsidR="00751B98" w:rsidRPr="00D739A7" w:rsidRDefault="00B23105"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104</w:t>
      </w:r>
      <w:r w:rsidRPr="00D739A7">
        <w:fldChar w:fldCharType="end"/>
      </w:r>
      <w:r w:rsidR="00751B98" w:rsidRPr="00D739A7">
        <w:t>. Gender distribution of learners with an official decision of SEN in inclusive education, based on the population of learners with an official decision of SEN (%)</w:t>
      </w:r>
    </w:p>
    <w:p w14:paraId="5CC544F0"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F009DA">
          <w:type w:val="continuous"/>
          <w:pgSz w:w="11899" w:h="16838"/>
          <w:pgMar w:top="1134" w:right="1551" w:bottom="1276" w:left="1418" w:header="709" w:footer="709" w:gutter="0"/>
          <w:cols w:num="2" w:space="710" w:equalWidth="0">
            <w:col w:w="3333" w:space="710"/>
            <w:col w:w="4887"/>
          </w:cols>
          <w:docGrid w:linePitch="360"/>
        </w:sectPr>
      </w:pPr>
    </w:p>
    <w:p w14:paraId="3F7ACFBA" w14:textId="3DC0287E" w:rsidR="00751B98" w:rsidRPr="00D739A7" w:rsidRDefault="00436B97" w:rsidP="004A29D9">
      <w:pPr>
        <w:pStyle w:val="Agency-heading-3-report"/>
      </w:pPr>
      <w:bookmarkStart w:id="89" w:name="_Toc35943076"/>
      <w:r w:rsidRPr="00D739A7">
        <w:lastRenderedPageBreak/>
        <w:t>Indicator </w:t>
      </w:r>
      <w:r w:rsidR="00903978" w:rsidRPr="00D739A7">
        <w:t>3.</w:t>
      </w:r>
      <w:r w:rsidRPr="00D739A7">
        <w:t>3</w:t>
      </w:r>
      <w:r w:rsidR="00751B98" w:rsidRPr="00D739A7">
        <w:t>c.2: the percentage of learners with an official decision of SEN in special classes, based on the population of learners with an official decision of SEN (%)</w:t>
      </w:r>
      <w:bookmarkEnd w:id="89"/>
    </w:p>
    <w:p w14:paraId="657FEE48"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77E52695" w14:textId="35FBBE3F" w:rsidR="00751B98" w:rsidRPr="00D739A7" w:rsidRDefault="00751B98" w:rsidP="003C73EE">
      <w:pPr>
        <w:pStyle w:val="Agency-body-text-report"/>
        <w:rPr>
          <w:bCs/>
        </w:rPr>
      </w:pPr>
      <w:r w:rsidRPr="00D739A7">
        <w:t>The data focuses on learners with an official decision of SEN</w:t>
      </w:r>
      <w:r w:rsidR="0063275B" w:rsidRPr="00D739A7">
        <w:t>,</w:t>
      </w:r>
      <w:r w:rsidRPr="00D739A7">
        <w:t xml:space="preserve"> in line with the EASIE operational definition, who are enrolled in fully separate special classes</w:t>
      </w:r>
      <w:r w:rsidR="0063275B" w:rsidRPr="00D739A7">
        <w:t>,</w:t>
      </w:r>
      <w:r w:rsidRPr="00D739A7">
        <w:t xml:space="preserve"> </w:t>
      </w:r>
      <w:r w:rsidRPr="00D739A7">
        <w:rPr>
          <w:bCs/>
        </w:rPr>
        <w:t>in line with the 80% placement benchmark (or the most relevant proxy for this benchmark)</w:t>
      </w:r>
      <w:r w:rsidR="0063275B" w:rsidRPr="00D739A7">
        <w:rPr>
          <w:bCs/>
        </w:rPr>
        <w:t>,</w:t>
      </w:r>
      <w:r w:rsidRPr="00D739A7">
        <w:rPr>
          <w:bCs/>
        </w:rPr>
        <w:t xml:space="preserve"> in relation to the whole population of learners with an official decision of SEN.</w:t>
      </w:r>
    </w:p>
    <w:p w14:paraId="2D060795" w14:textId="77777777" w:rsidR="00751B98" w:rsidRPr="00D739A7" w:rsidRDefault="00751B98" w:rsidP="003C73EE">
      <w:pPr>
        <w:pStyle w:val="Agency-body-text-report"/>
      </w:pPr>
      <w:r w:rsidRPr="00D739A7">
        <w:t>This indicator has been calculated as follows: The number of learners with an official decision of SEN who are educated in separate special classes in mainstream schools (Q3.3) / The number of learners who have an official decision of SEN (Q3.1) x 100.</w:t>
      </w:r>
    </w:p>
    <w:p w14:paraId="5B5DB6DE" w14:textId="3DA16E9B" w:rsidR="00751B98" w:rsidRPr="00D739A7" w:rsidRDefault="00751B98" w:rsidP="003C73EE">
      <w:pPr>
        <w:pStyle w:val="Agency-body-text-report"/>
      </w:pPr>
      <w:r w:rsidRPr="00D739A7">
        <w:t xml:space="preserve">Data is available from </w:t>
      </w:r>
      <w:r w:rsidR="00DA161D" w:rsidRPr="00D739A7">
        <w:t>16</w:t>
      </w:r>
      <w:r w:rsidRPr="00D739A7">
        <w:t xml:space="preserve"> countries.</w:t>
      </w:r>
    </w:p>
    <w:p w14:paraId="353D5763" w14:textId="3AD02235" w:rsidR="00751B98" w:rsidRPr="00D739A7" w:rsidRDefault="00751B98" w:rsidP="003C73EE">
      <w:pPr>
        <w:pStyle w:val="Agency-body-text-report"/>
      </w:pPr>
      <w:r w:rsidRPr="00D739A7">
        <w:t xml:space="preserve">The enrolment rates in special classes for learners with an official decision of SEN, based on the whole population of learners with an official decision of SEN, range from </w:t>
      </w:r>
      <w:r w:rsidR="00DA161D" w:rsidRPr="00D739A7">
        <w:t>0.50</w:t>
      </w:r>
      <w:r w:rsidRPr="00D739A7">
        <w:t xml:space="preserve">% to </w:t>
      </w:r>
      <w:r w:rsidR="00DA161D" w:rsidRPr="00D739A7">
        <w:t>34.42</w:t>
      </w:r>
      <w:r w:rsidRPr="00D739A7">
        <w:t xml:space="preserve">%; the total average for the </w:t>
      </w:r>
      <w:r w:rsidR="00DA161D" w:rsidRPr="00D739A7">
        <w:t>16</w:t>
      </w:r>
      <w:r w:rsidRPr="00D739A7">
        <w:t xml:space="preserve"> countries is 1</w:t>
      </w:r>
      <w:r w:rsidR="00DA161D" w:rsidRPr="00D739A7">
        <w:t>0.54</w:t>
      </w:r>
      <w:r w:rsidRPr="00D739A7">
        <w:t>%.</w:t>
      </w:r>
    </w:p>
    <w:p w14:paraId="66D5AA0C" w14:textId="7AE858D0" w:rsidR="00751B98" w:rsidRPr="00D739A7" w:rsidRDefault="00DA161D" w:rsidP="00DA161D">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color w:val="000542"/>
          <w:lang w:val="en-GB"/>
        </w:rPr>
        <w:drawing>
          <wp:inline distT="0" distB="0" distL="0" distR="0" wp14:anchorId="66D32212" wp14:editId="63938F13">
            <wp:extent cx="3067050" cy="7378575"/>
            <wp:effectExtent l="0" t="0" r="6350" b="13335"/>
            <wp:docPr id="123" name="Diagram 123" descr="Bulgaria 10.21&#10;Cyprus 7.95&#10;Czech Republic 19.63&#10;Estonia 1.55&#10;France 16.30&#10;Greece 0.50&#10;Hungary 34.42&#10;Ireland 8.73&#10;Latvia 18.92&#10;Lithuania 13.38&#10;Luxembourg 27.15&#10;Poland 0.59&#10;Portugal 21.64&#10;Slovakia 0.80&#10;UK (England) 3.07&#10;UK (N. Ireland) 0.52&#10;Total average (16 countries) 10.54">
              <a:extLst xmlns:a="http://schemas.openxmlformats.org/drawingml/2006/main">
                <a:ext uri="{FF2B5EF4-FFF2-40B4-BE49-F238E27FC236}">
                  <a16:creationId xmlns:a16="http://schemas.microsoft.com/office/drawing/2014/main" id="{31A9A333-A5A9-4392-AD56-971365A1A7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2DE96C52" w14:textId="38DD1ADF" w:rsidR="00751B98" w:rsidRPr="00D739A7" w:rsidRDefault="00B23105"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00B54F4E" w:rsidRPr="00D739A7">
        <w:t>105</w:t>
      </w:r>
      <w:r w:rsidRPr="00D739A7">
        <w:fldChar w:fldCharType="end"/>
      </w:r>
      <w:r w:rsidR="00751B98" w:rsidRPr="00D739A7">
        <w:t>. Percentage of learners with an official decision of SEN in special classes, based on the population of learners with an official decision of SEN (%)</w:t>
      </w:r>
    </w:p>
    <w:p w14:paraId="6EED5715"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F009DA">
          <w:type w:val="continuous"/>
          <w:pgSz w:w="11899" w:h="16838"/>
          <w:pgMar w:top="1134" w:right="1551" w:bottom="1276" w:left="1418" w:header="709" w:footer="709" w:gutter="0"/>
          <w:cols w:num="2" w:space="710" w:equalWidth="0">
            <w:col w:w="3333" w:space="710"/>
            <w:col w:w="4887"/>
          </w:cols>
          <w:docGrid w:linePitch="360"/>
        </w:sectPr>
      </w:pPr>
    </w:p>
    <w:p w14:paraId="2232C3E8" w14:textId="77777777" w:rsidR="00751B98" w:rsidRPr="00D739A7" w:rsidRDefault="00751B98" w:rsidP="004A29D9">
      <w:pPr>
        <w:pStyle w:val="Agency-heading-4-report"/>
      </w:pPr>
      <w:r w:rsidRPr="00D739A7">
        <w:lastRenderedPageBreak/>
        <w:t>Gender breakdown of learners with an official decision of SEN in special classes, based on the population of learners with an official decision of SEN (%)</w:t>
      </w:r>
    </w:p>
    <w:p w14:paraId="109257C0"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593D2AA1" w14:textId="77777777" w:rsidR="00751B98" w:rsidRPr="00D739A7" w:rsidRDefault="00751B98" w:rsidP="003C73EE">
      <w:pPr>
        <w:pStyle w:val="Agency-body-text-report"/>
      </w:pPr>
      <w:r w:rsidRPr="00D739A7">
        <w:t>The gender breakdowns have been calculated as follows:</w:t>
      </w:r>
    </w:p>
    <w:p w14:paraId="1A994014" w14:textId="70E1A0FB" w:rsidR="00751B98" w:rsidRPr="00D739A7" w:rsidRDefault="00EF3C3C" w:rsidP="003C73EE">
      <w:pPr>
        <w:pStyle w:val="Agency-body-text-report"/>
      </w:pPr>
      <w:r w:rsidRPr="00D739A7">
        <w:t>Boys</w:t>
      </w:r>
      <w:r w:rsidR="00751B98" w:rsidRPr="00D739A7">
        <w:t>: The number of boys with an official decision of SEN who are educated in separate special classes in mainstream schools (</w:t>
      </w:r>
      <w:r w:rsidR="007237E0" w:rsidRPr="00D739A7">
        <w:t>Q3</w:t>
      </w:r>
      <w:r w:rsidR="00751B98" w:rsidRPr="00D739A7">
        <w:t>.3) / The number of learners who have an official decision of SEN (Q3.1) x 100.</w:t>
      </w:r>
    </w:p>
    <w:p w14:paraId="043BEDBA" w14:textId="1AE9B0CD" w:rsidR="00751B98" w:rsidRPr="00D739A7" w:rsidRDefault="00EF3C3C" w:rsidP="003C73EE">
      <w:pPr>
        <w:pStyle w:val="Agency-body-text-report"/>
      </w:pPr>
      <w:r w:rsidRPr="00D739A7">
        <w:t>Girls</w:t>
      </w:r>
      <w:r w:rsidR="00751B98" w:rsidRPr="00D739A7">
        <w:t>: The number of girls with an official decision of SEN who are educated in separate special classes in mainstream schools (</w:t>
      </w:r>
      <w:r w:rsidR="007237E0" w:rsidRPr="00D739A7">
        <w:t>Q3</w:t>
      </w:r>
      <w:r w:rsidR="00751B98" w:rsidRPr="00D739A7">
        <w:t>.3) / The number of learners who have an official decision of SEN (Q3.1) x 100.</w:t>
      </w:r>
    </w:p>
    <w:p w14:paraId="0A1B9D5D" w14:textId="0E731AFC" w:rsidR="00751B98" w:rsidRPr="00D739A7" w:rsidRDefault="00751B98" w:rsidP="003C73EE">
      <w:pPr>
        <w:pStyle w:val="Agency-body-text-report"/>
        <w:rPr>
          <w:bCs/>
        </w:rPr>
      </w:pPr>
      <w:r w:rsidRPr="00D739A7">
        <w:rPr>
          <w:bCs/>
        </w:rPr>
        <w:t>Data is available from 1</w:t>
      </w:r>
      <w:r w:rsidR="00DA161D" w:rsidRPr="00D739A7">
        <w:rPr>
          <w:bCs/>
        </w:rPr>
        <w:t>5</w:t>
      </w:r>
      <w:r w:rsidRPr="00D739A7">
        <w:rPr>
          <w:bCs/>
        </w:rPr>
        <w:t xml:space="preserve"> countries.</w:t>
      </w:r>
    </w:p>
    <w:p w14:paraId="6070B361" w14:textId="45EF54C0" w:rsidR="00751B98" w:rsidRPr="00D739A7" w:rsidRDefault="00751B98" w:rsidP="003C73EE">
      <w:pPr>
        <w:pStyle w:val="Agency-body-text-report"/>
      </w:pPr>
      <w:r w:rsidRPr="00D739A7">
        <w:t xml:space="preserve">The special class enrolment rates of </w:t>
      </w:r>
      <w:r w:rsidR="00AE36D0" w:rsidRPr="00D739A7">
        <w:t xml:space="preserve">boys </w:t>
      </w:r>
      <w:r w:rsidRPr="00D739A7">
        <w:t xml:space="preserve">with an official decision of SEN, based on the whole population of learners with an official decision of SEN, range from </w:t>
      </w:r>
      <w:r w:rsidR="00DA161D" w:rsidRPr="00D739A7">
        <w:t>0.00</w:t>
      </w:r>
      <w:r w:rsidRPr="00D739A7">
        <w:t xml:space="preserve">% to </w:t>
      </w:r>
      <w:r w:rsidR="00DA161D" w:rsidRPr="00D739A7">
        <w:t>20.21</w:t>
      </w:r>
      <w:r w:rsidRPr="00D739A7">
        <w:t>%; the total average for the 1</w:t>
      </w:r>
      <w:r w:rsidR="00DA161D" w:rsidRPr="00D739A7">
        <w:t>5</w:t>
      </w:r>
      <w:r w:rsidRPr="00D739A7">
        <w:t xml:space="preserve"> countries is </w:t>
      </w:r>
      <w:r w:rsidR="00DA161D" w:rsidRPr="00D739A7">
        <w:t>6.39</w:t>
      </w:r>
      <w:r w:rsidRPr="00D739A7">
        <w:t>%.</w:t>
      </w:r>
    </w:p>
    <w:p w14:paraId="5E9E6BB9" w14:textId="75AE3DE7" w:rsidR="00751B98" w:rsidRPr="00D739A7" w:rsidRDefault="00751B98" w:rsidP="003C73EE">
      <w:pPr>
        <w:pStyle w:val="Agency-body-text-report"/>
      </w:pPr>
      <w:r w:rsidRPr="00D739A7">
        <w:t xml:space="preserve">The special class enrolment rates of </w:t>
      </w:r>
      <w:r w:rsidR="00AE36D0" w:rsidRPr="00D739A7">
        <w:t xml:space="preserve">girls </w:t>
      </w:r>
      <w:r w:rsidRPr="00D739A7">
        <w:t xml:space="preserve">with an official decision of SEN, based on the whole population of learners with an official decision of SEN, range from </w:t>
      </w:r>
      <w:r w:rsidR="00624C16" w:rsidRPr="00D739A7">
        <w:t>0.20</w:t>
      </w:r>
      <w:r w:rsidRPr="00D739A7">
        <w:t>% to 1</w:t>
      </w:r>
      <w:r w:rsidR="00DA161D" w:rsidRPr="00D739A7">
        <w:t>4.21</w:t>
      </w:r>
      <w:r w:rsidRPr="00D739A7">
        <w:t>%; the total average for the 1</w:t>
      </w:r>
      <w:r w:rsidR="00DA161D" w:rsidRPr="00D739A7">
        <w:t>5</w:t>
      </w:r>
      <w:r w:rsidRPr="00D739A7">
        <w:t xml:space="preserve"> countries is 4.</w:t>
      </w:r>
      <w:r w:rsidR="00DA161D" w:rsidRPr="00D739A7">
        <w:t>1</w:t>
      </w:r>
      <w:r w:rsidRPr="00D739A7">
        <w:t>2%.</w:t>
      </w:r>
    </w:p>
    <w:p w14:paraId="71D3ED5D" w14:textId="5981CF3D" w:rsidR="00751B98" w:rsidRPr="00D739A7" w:rsidRDefault="00DA161D" w:rsidP="00DA161D">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46C7CA0C" wp14:editId="4D0704CA">
            <wp:extent cx="3060700" cy="7396681"/>
            <wp:effectExtent l="0" t="0" r="12700" b="7620"/>
            <wp:docPr id="124" name="Diagram 124" descr="Bulgaria Boys 6.60 Girls 3.60&#10;Cyprus Boys 4.10 Girls 3.86&#10;Czech Republic Boys 12.02 Girls 7.62&#10;Estonia Boys 0.00 Girls 1.55&#10;France Boys 9.71 Girls 6.59&#10;Greece Boys 0.25 Girls 0.26&#10;Hungary Boys 20.21 Girls 14.21&#10;Ireland Boys 6.80 Girls 1.93&#10;Latvia Boys 9.91 Girls 9.01&#10;Lithuania Boys 7.87 Girls 5.51&#10;Poland Boys 0.39 Girls 0.20&#10;Portugal Boys 12.70 Girls 8.94&#10;Slovakia Boys 0.41 Girls 0.39&#10;UK (England) Boys 2.22 Girls 0.85&#10;UK (N. Ireland) Boys 0.22 Girls 0.30&#10;Total average (15 countries) Boys 6.39 Girls 4.12">
              <a:extLst xmlns:a="http://schemas.openxmlformats.org/drawingml/2006/main">
                <a:ext uri="{FF2B5EF4-FFF2-40B4-BE49-F238E27FC236}">
                  <a16:creationId xmlns:a16="http://schemas.microsoft.com/office/drawing/2014/main" id="{8F168272-FC05-4DD4-AC12-716684B7B7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A4609CF" w14:textId="1C44AE0B" w:rsidR="00751B98" w:rsidRPr="00D739A7" w:rsidRDefault="00B54F4E"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Pr="00D739A7">
        <w:t>106</w:t>
      </w:r>
      <w:r w:rsidRPr="00D739A7">
        <w:fldChar w:fldCharType="end"/>
      </w:r>
      <w:r w:rsidR="00751B98" w:rsidRPr="00D739A7">
        <w:t>. Gender breakdown of learners with an official decision of SEN in special classes, based on the population of learners with an official decision of SEN (%)</w:t>
      </w:r>
    </w:p>
    <w:p w14:paraId="1BF34250"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F173DC">
          <w:type w:val="continuous"/>
          <w:pgSz w:w="11899" w:h="16838"/>
          <w:pgMar w:top="1134" w:right="1551" w:bottom="1276" w:left="1418" w:header="709" w:footer="709" w:gutter="0"/>
          <w:cols w:num="2" w:space="710" w:equalWidth="0">
            <w:col w:w="3333" w:space="710"/>
            <w:col w:w="4887"/>
          </w:cols>
          <w:docGrid w:linePitch="360"/>
        </w:sectPr>
      </w:pPr>
    </w:p>
    <w:p w14:paraId="5E43B10E" w14:textId="77777777" w:rsidR="00751B98" w:rsidRPr="00D739A7" w:rsidRDefault="00751B98" w:rsidP="004A29D9">
      <w:pPr>
        <w:pStyle w:val="Agency-heading-4-report"/>
      </w:pPr>
      <w:r w:rsidRPr="00D739A7">
        <w:lastRenderedPageBreak/>
        <w:t>Gender distribution of learners with an official decision of SEN in special classes, based on the population of learners with an official decision of SEN (%)</w:t>
      </w:r>
    </w:p>
    <w:p w14:paraId="65EC568D"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36C151B7" w14:textId="77777777" w:rsidR="00751B98" w:rsidRPr="00D739A7" w:rsidRDefault="00751B98" w:rsidP="003C73EE">
      <w:pPr>
        <w:pStyle w:val="Agency-body-text-report"/>
      </w:pPr>
      <w:r w:rsidRPr="00D739A7">
        <w:t>The gender distributions have been calculated as follows:</w:t>
      </w:r>
    </w:p>
    <w:p w14:paraId="3168A1F0" w14:textId="12306671" w:rsidR="00751B98" w:rsidRPr="00D739A7" w:rsidRDefault="00EF3C3C" w:rsidP="003C73EE">
      <w:pPr>
        <w:pStyle w:val="Agency-body-text-report"/>
      </w:pPr>
      <w:r w:rsidRPr="00D739A7">
        <w:t>Boys</w:t>
      </w:r>
      <w:r w:rsidR="00751B98" w:rsidRPr="00D739A7">
        <w:t>: The number of boys with an official decision of SEN who are educated in separate special classes in mainstream schools (</w:t>
      </w:r>
      <w:r w:rsidR="007237E0" w:rsidRPr="00D739A7">
        <w:t>Q3</w:t>
      </w:r>
      <w:r w:rsidR="00751B98" w:rsidRPr="00D739A7">
        <w:t>.3) / The number of learners with an official decision of SEN who are educated in separate special classes in mainstream schools (Q3.3) x 100.</w:t>
      </w:r>
    </w:p>
    <w:p w14:paraId="16194078" w14:textId="65D6B8D7" w:rsidR="00751B98" w:rsidRPr="00D739A7" w:rsidRDefault="00EF3C3C" w:rsidP="003C73EE">
      <w:pPr>
        <w:pStyle w:val="Agency-body-text-report"/>
      </w:pPr>
      <w:r w:rsidRPr="00D739A7">
        <w:t>Girls</w:t>
      </w:r>
      <w:r w:rsidR="00751B98" w:rsidRPr="00D739A7">
        <w:t>: The number of girls with an official decision of SEN who are educated in separate special classes in mainstream schools (</w:t>
      </w:r>
      <w:r w:rsidR="007237E0" w:rsidRPr="00D739A7">
        <w:t>Q3</w:t>
      </w:r>
      <w:r w:rsidR="00751B98" w:rsidRPr="00D739A7">
        <w:t>.3) / The number of learners with an official decision of SEN who are educated in separate special classes in mainstream schools (Q3.3) x 100.</w:t>
      </w:r>
    </w:p>
    <w:p w14:paraId="61CAEB9F" w14:textId="17A583E1" w:rsidR="00751B98" w:rsidRPr="00D739A7" w:rsidRDefault="00751B98" w:rsidP="003C73EE">
      <w:pPr>
        <w:pStyle w:val="Agency-body-text-report"/>
        <w:rPr>
          <w:bCs/>
        </w:rPr>
      </w:pPr>
      <w:r w:rsidRPr="00D739A7">
        <w:rPr>
          <w:bCs/>
        </w:rPr>
        <w:t>Data is available from 1</w:t>
      </w:r>
      <w:r w:rsidR="002D6A21" w:rsidRPr="00D739A7">
        <w:rPr>
          <w:bCs/>
        </w:rPr>
        <w:t>5</w:t>
      </w:r>
      <w:r w:rsidRPr="00D739A7">
        <w:rPr>
          <w:bCs/>
        </w:rPr>
        <w:t xml:space="preserve"> countries.</w:t>
      </w:r>
    </w:p>
    <w:p w14:paraId="40BE1D29" w14:textId="13342A4F" w:rsidR="00751B98" w:rsidRPr="00D739A7" w:rsidRDefault="00751B98" w:rsidP="003C73EE">
      <w:pPr>
        <w:pStyle w:val="Agency-body-text-report"/>
        <w:rPr>
          <w:bCs/>
        </w:rPr>
      </w:pPr>
      <w:r w:rsidRPr="00D739A7">
        <w:rPr>
          <w:bCs/>
        </w:rPr>
        <w:t xml:space="preserve">The proportion of boys with an official decision of SEN in special classes, based on the population of learners with an official decision of SEN, ranges from </w:t>
      </w:r>
      <w:r w:rsidR="002D6A21" w:rsidRPr="00D739A7">
        <w:rPr>
          <w:bCs/>
        </w:rPr>
        <w:t>0.00</w:t>
      </w:r>
      <w:r w:rsidRPr="00D739A7">
        <w:rPr>
          <w:bCs/>
        </w:rPr>
        <w:t>% to 7</w:t>
      </w:r>
      <w:r w:rsidR="002D6A21" w:rsidRPr="00D739A7">
        <w:rPr>
          <w:bCs/>
        </w:rPr>
        <w:t>7.89</w:t>
      </w:r>
      <w:r w:rsidRPr="00D739A7">
        <w:rPr>
          <w:bCs/>
        </w:rPr>
        <w:t>%; the total average for the 1</w:t>
      </w:r>
      <w:r w:rsidR="002D6A21" w:rsidRPr="00D739A7">
        <w:rPr>
          <w:bCs/>
        </w:rPr>
        <w:t>5</w:t>
      </w:r>
      <w:r w:rsidRPr="00D739A7">
        <w:rPr>
          <w:bCs/>
        </w:rPr>
        <w:t xml:space="preserve"> countries is 6</w:t>
      </w:r>
      <w:r w:rsidR="002D6A21" w:rsidRPr="00D739A7">
        <w:rPr>
          <w:bCs/>
        </w:rPr>
        <w:t>0.78</w:t>
      </w:r>
      <w:r w:rsidRPr="00D739A7">
        <w:rPr>
          <w:bCs/>
        </w:rPr>
        <w:t>%.</w:t>
      </w:r>
    </w:p>
    <w:p w14:paraId="58718509" w14:textId="52E4CCD2" w:rsidR="00751B98" w:rsidRPr="00D739A7" w:rsidRDefault="00751B98" w:rsidP="003C73EE">
      <w:pPr>
        <w:pStyle w:val="Agency-body-text-report"/>
        <w:rPr>
          <w:bCs/>
        </w:rPr>
      </w:pPr>
      <w:r w:rsidRPr="00D739A7">
        <w:rPr>
          <w:bCs/>
        </w:rPr>
        <w:t xml:space="preserve">The proportion of girls with an official decision of SEN in special classes, based on the population of learners with an official decision of SEN, ranges from </w:t>
      </w:r>
      <w:r w:rsidR="002D6A21" w:rsidRPr="00D739A7">
        <w:rPr>
          <w:bCs/>
        </w:rPr>
        <w:t>22.11</w:t>
      </w:r>
      <w:r w:rsidRPr="00D739A7">
        <w:rPr>
          <w:bCs/>
        </w:rPr>
        <w:t xml:space="preserve">% to </w:t>
      </w:r>
      <w:r w:rsidR="002D6A21" w:rsidRPr="00D739A7">
        <w:rPr>
          <w:bCs/>
        </w:rPr>
        <w:t>100</w:t>
      </w:r>
      <w:r w:rsidR="004F30E8" w:rsidRPr="00D739A7">
        <w:rPr>
          <w:bCs/>
        </w:rPr>
        <w:t>.00</w:t>
      </w:r>
      <w:r w:rsidRPr="00D739A7">
        <w:rPr>
          <w:bCs/>
        </w:rPr>
        <w:t>%; the total average for the 1</w:t>
      </w:r>
      <w:r w:rsidR="002D6A21" w:rsidRPr="00D739A7">
        <w:rPr>
          <w:bCs/>
        </w:rPr>
        <w:t>5</w:t>
      </w:r>
      <w:r w:rsidRPr="00D739A7">
        <w:rPr>
          <w:bCs/>
        </w:rPr>
        <w:t xml:space="preserve"> countries is 3</w:t>
      </w:r>
      <w:r w:rsidR="002D6A21" w:rsidRPr="00D739A7">
        <w:rPr>
          <w:bCs/>
        </w:rPr>
        <w:t>9.22</w:t>
      </w:r>
      <w:r w:rsidRPr="00D739A7">
        <w:rPr>
          <w:bCs/>
        </w:rPr>
        <w:t>%.</w:t>
      </w:r>
    </w:p>
    <w:p w14:paraId="0D45DF68" w14:textId="07E10C55" w:rsidR="00751B98" w:rsidRPr="00D739A7" w:rsidRDefault="00DA161D" w:rsidP="00DA161D">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40F31C35" wp14:editId="267ABEB4">
            <wp:extent cx="3048000" cy="7333307"/>
            <wp:effectExtent l="0" t="0" r="12700" b="7620"/>
            <wp:docPr id="125" name="Diagram 125" descr="Bulgaria Boys 64.68 Girls 35.32&#10;Cyprus Boys 51.50 Girls 48.50&#10;Czech Republic Boys 61.21 Girls 38.79&#10;Estonia Boys 0.00 Girls 100.00&#10;France Boys 59.56 Girls 40.44&#10;Greece Boys 49.12 Girls 50.88&#10;Hungary Boys 58.72 Girls 41.28&#10;Ireland Boys 77.89 Girls 22.11&#10;Latvia Boys 52.38 Girls 47.62&#10;Lithuania Boys 58.85 Girls 41.15&#10;Poland Boys 65.84 Girls 34.16&#10;Portugal Boys 58.69 Girls 41.31&#10;Slovakia Boys 51.55 Girls 48.45&#10;UK (England) Boys 72.33 Girls 27.67&#10;UK (N. Ireland) Boys 42.86 Girls 57.14&#10;Total average (15 countries) Boys 60.78 Girls 39.22">
              <a:extLst xmlns:a="http://schemas.openxmlformats.org/drawingml/2006/main">
                <a:ext uri="{FF2B5EF4-FFF2-40B4-BE49-F238E27FC236}">
                  <a16:creationId xmlns:a16="http://schemas.microsoft.com/office/drawing/2014/main" id="{10527411-9AC2-4D0E-9765-2D4705799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4C984FAD" w14:textId="4D7CF21F" w:rsidR="00751B98" w:rsidRPr="00D739A7" w:rsidRDefault="00B54F4E"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Pr="00D739A7">
        <w:t>107</w:t>
      </w:r>
      <w:r w:rsidRPr="00D739A7">
        <w:fldChar w:fldCharType="end"/>
      </w:r>
      <w:r w:rsidR="00751B98" w:rsidRPr="00D739A7">
        <w:t>. Gender distribution of learners with an official decision of SEN in special classes, based on the population of learners with an official decision of SEN (%)</w:t>
      </w:r>
    </w:p>
    <w:p w14:paraId="0A3577C0"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F173DC">
          <w:type w:val="continuous"/>
          <w:pgSz w:w="11899" w:h="16838"/>
          <w:pgMar w:top="1134" w:right="1551" w:bottom="1276" w:left="1418" w:header="709" w:footer="709" w:gutter="0"/>
          <w:cols w:num="2" w:space="710" w:equalWidth="0">
            <w:col w:w="3333" w:space="710"/>
            <w:col w:w="4887"/>
          </w:cols>
          <w:docGrid w:linePitch="360"/>
        </w:sectPr>
      </w:pPr>
    </w:p>
    <w:p w14:paraId="6CB39A52" w14:textId="5C7E7396" w:rsidR="00751B98" w:rsidRPr="00D739A7" w:rsidRDefault="00436B97" w:rsidP="004A29D9">
      <w:pPr>
        <w:pStyle w:val="Agency-heading-3-report"/>
      </w:pPr>
      <w:bookmarkStart w:id="90" w:name="_Toc35943077"/>
      <w:r w:rsidRPr="00D739A7">
        <w:lastRenderedPageBreak/>
        <w:t>Indicator </w:t>
      </w:r>
      <w:r w:rsidR="00903978" w:rsidRPr="00D739A7">
        <w:t>3.</w:t>
      </w:r>
      <w:r w:rsidRPr="00D739A7">
        <w:t>3</w:t>
      </w:r>
      <w:r w:rsidR="00751B98" w:rsidRPr="00D739A7">
        <w:t>c.3: the percentage of learners with an official decision of SEN in special schools, based on the population of learners with an official decision of SEN (%)</w:t>
      </w:r>
      <w:bookmarkEnd w:id="90"/>
    </w:p>
    <w:p w14:paraId="4134309A"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0A3964AE" w14:textId="00974F79" w:rsidR="00751B98" w:rsidRPr="00D739A7" w:rsidRDefault="00751B98" w:rsidP="004F30E8">
      <w:pPr>
        <w:pStyle w:val="Agency-body-text-report"/>
        <w:rPr>
          <w:bCs/>
        </w:rPr>
      </w:pPr>
      <w:r w:rsidRPr="00D739A7">
        <w:t>The data focuses on learners with an official decision of SEN</w:t>
      </w:r>
      <w:r w:rsidR="004F30E8" w:rsidRPr="00D739A7">
        <w:t>,</w:t>
      </w:r>
      <w:r w:rsidRPr="00D739A7">
        <w:t xml:space="preserve"> in line with the EASIE operational definition, who are enrolled in fully separate special schools</w:t>
      </w:r>
      <w:r w:rsidR="004F30E8" w:rsidRPr="00D739A7">
        <w:t>,</w:t>
      </w:r>
      <w:r w:rsidRPr="00D739A7">
        <w:t xml:space="preserve"> </w:t>
      </w:r>
      <w:r w:rsidRPr="00D739A7">
        <w:rPr>
          <w:bCs/>
        </w:rPr>
        <w:t>in line with the 80% placement benchmark (or the most relevant proxy for this benchmark)</w:t>
      </w:r>
      <w:r w:rsidR="004F30E8" w:rsidRPr="00D739A7">
        <w:rPr>
          <w:bCs/>
        </w:rPr>
        <w:t>,</w:t>
      </w:r>
      <w:r w:rsidRPr="00D739A7">
        <w:rPr>
          <w:bCs/>
        </w:rPr>
        <w:t xml:space="preserve"> in relation to the whole population of learners with an official decision of SEN.</w:t>
      </w:r>
    </w:p>
    <w:p w14:paraId="56D82DCB" w14:textId="77777777" w:rsidR="00751B98" w:rsidRPr="00D739A7" w:rsidRDefault="00751B98" w:rsidP="004F30E8">
      <w:pPr>
        <w:pStyle w:val="Agency-body-text-report"/>
      </w:pPr>
      <w:r w:rsidRPr="00D739A7">
        <w:t>This indicator has been calculated as follows: The number of learners with an official decision of SEN who are educated in separate special schools (Q3.4) / The number of learners who have an official decision of SEN (Q3.1) x 100.</w:t>
      </w:r>
    </w:p>
    <w:p w14:paraId="3E61A2A2" w14:textId="5A3743F8" w:rsidR="00751B98" w:rsidRPr="00D739A7" w:rsidRDefault="00751B98" w:rsidP="004F30E8">
      <w:pPr>
        <w:pStyle w:val="Agency-body-text-report"/>
      </w:pPr>
      <w:r w:rsidRPr="00D739A7">
        <w:t xml:space="preserve">Data is available from </w:t>
      </w:r>
      <w:r w:rsidR="002D6A21" w:rsidRPr="00D739A7">
        <w:t>21</w:t>
      </w:r>
      <w:r w:rsidRPr="00D739A7">
        <w:t xml:space="preserve"> countries.</w:t>
      </w:r>
    </w:p>
    <w:p w14:paraId="42A8EB2E" w14:textId="6033BE67" w:rsidR="00751B98" w:rsidRPr="00D739A7" w:rsidRDefault="00751B98" w:rsidP="004F30E8">
      <w:pPr>
        <w:pStyle w:val="Agency-body-text-report"/>
      </w:pPr>
      <w:r w:rsidRPr="00D739A7">
        <w:t>The enrolment rates in special schools for learners with an official decision of SEN, based on the whole population of learners with an official decision of SEN, range from 0.</w:t>
      </w:r>
      <w:r w:rsidR="002D6A21" w:rsidRPr="00D739A7">
        <w:t>32</w:t>
      </w:r>
      <w:r w:rsidRPr="00D739A7">
        <w:t xml:space="preserve">% to </w:t>
      </w:r>
      <w:r w:rsidR="002D6A21" w:rsidRPr="00D739A7">
        <w:t>99.39</w:t>
      </w:r>
      <w:r w:rsidRPr="00D739A7">
        <w:t xml:space="preserve">%; the total average for the </w:t>
      </w:r>
      <w:r w:rsidR="002D6A21" w:rsidRPr="00D739A7">
        <w:t>21</w:t>
      </w:r>
      <w:r w:rsidRPr="00D739A7">
        <w:t xml:space="preserve"> countries is </w:t>
      </w:r>
      <w:r w:rsidR="002D6A21" w:rsidRPr="00D739A7">
        <w:t>25.97</w:t>
      </w:r>
      <w:r w:rsidRPr="00D739A7">
        <w:t>%.</w:t>
      </w:r>
    </w:p>
    <w:p w14:paraId="510C4FB2" w14:textId="01498170" w:rsidR="00751B98" w:rsidRPr="00D739A7" w:rsidRDefault="002D6A21" w:rsidP="002D6A21">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2C3143E3" wp14:editId="086632E1">
            <wp:extent cx="3096260" cy="7342361"/>
            <wp:effectExtent l="0" t="0" r="15240" b="11430"/>
            <wp:docPr id="126" name="Diagram 126" descr="Austria 54.17&#10;Belgium (Fl) 33.31&#10;Bulgaria 25.56&#10;Cyprus 2.76&#10;Czech Republic 17.82&#10;Estonia 33.33&#10;France 9.13&#10;Germany 37.86&#10;Greece 3.12&#10;Ireland 21.66&#10;Italy 0.32&#10;Latvia 80.18&#10;Lithuania 40.42&#10;Luxembourg 32.26&#10;Poland 68.44&#10;Slovakia 32.43&#10;Sweden 99.39&#10;UK (England) 52.51&#10;UK (N. Ireland) 52.33&#10;UK (Scotland) 7.87&#10;UK (Wales) 68.46&#10;Total average (21 countries) 25.97">
              <a:extLst xmlns:a="http://schemas.openxmlformats.org/drawingml/2006/main">
                <a:ext uri="{FF2B5EF4-FFF2-40B4-BE49-F238E27FC236}">
                  <a16:creationId xmlns:a16="http://schemas.microsoft.com/office/drawing/2014/main" id="{7FA79C54-2387-4A3D-99C8-6C436831FC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605A4A23" w14:textId="2F31C34A" w:rsidR="00751B98" w:rsidRPr="00D739A7" w:rsidRDefault="00B54F4E"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Pr="00D739A7">
        <w:t>108</w:t>
      </w:r>
      <w:r w:rsidRPr="00D739A7">
        <w:fldChar w:fldCharType="end"/>
      </w:r>
      <w:r w:rsidR="00751B98" w:rsidRPr="00D739A7">
        <w:t>. Percentage of learners with an official decision of SEN in special schools, based on the population of learners with an official decision of SEN (%)</w:t>
      </w:r>
    </w:p>
    <w:p w14:paraId="02DAFED4"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F173DC">
          <w:type w:val="continuous"/>
          <w:pgSz w:w="11899" w:h="16838"/>
          <w:pgMar w:top="1134" w:right="1551" w:bottom="1276" w:left="1418" w:header="709" w:footer="709" w:gutter="0"/>
          <w:cols w:num="2" w:space="710" w:equalWidth="0">
            <w:col w:w="3333" w:space="710"/>
            <w:col w:w="4887"/>
          </w:cols>
          <w:docGrid w:linePitch="360"/>
        </w:sectPr>
      </w:pPr>
    </w:p>
    <w:p w14:paraId="266EC3E3" w14:textId="77777777" w:rsidR="00751B98" w:rsidRPr="00D739A7" w:rsidRDefault="00751B98" w:rsidP="004A29D9">
      <w:pPr>
        <w:pStyle w:val="Agency-heading-4-report"/>
      </w:pPr>
      <w:r w:rsidRPr="00D739A7">
        <w:lastRenderedPageBreak/>
        <w:t>Gender breakdown of learners with an official decision of SEN in special schools, based on the population of learners with an official decision of SEN (%)</w:t>
      </w:r>
    </w:p>
    <w:p w14:paraId="025DB024"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5F3B02EF" w14:textId="77777777" w:rsidR="00751B98" w:rsidRPr="00D739A7" w:rsidRDefault="00751B98" w:rsidP="004F30E8">
      <w:pPr>
        <w:pStyle w:val="Agency-body-text-report"/>
      </w:pPr>
      <w:r w:rsidRPr="00D739A7">
        <w:t>The gender breakdowns have been calculated as follows:</w:t>
      </w:r>
    </w:p>
    <w:p w14:paraId="75EC6AF5" w14:textId="797E0E5B" w:rsidR="00751B98" w:rsidRPr="00D739A7" w:rsidRDefault="00EF3C3C" w:rsidP="004F30E8">
      <w:pPr>
        <w:pStyle w:val="Agency-body-text-report"/>
      </w:pPr>
      <w:r w:rsidRPr="00D739A7">
        <w:t>Boys</w:t>
      </w:r>
      <w:r w:rsidR="00751B98" w:rsidRPr="00D739A7">
        <w:t>: The number of boys with an official decision of SEN who are educated in separate special schools (</w:t>
      </w:r>
      <w:r w:rsidR="007237E0" w:rsidRPr="00D739A7">
        <w:t>Q3</w:t>
      </w:r>
      <w:r w:rsidR="00751B98" w:rsidRPr="00D739A7">
        <w:t>.4) / The number of learners who have an official decision of SEN (Q3.1) x 100.</w:t>
      </w:r>
    </w:p>
    <w:p w14:paraId="09D02B93" w14:textId="73F9BBBB" w:rsidR="00751B98" w:rsidRPr="00D739A7" w:rsidRDefault="00EF3C3C" w:rsidP="004F30E8">
      <w:pPr>
        <w:pStyle w:val="Agency-body-text-report"/>
      </w:pPr>
      <w:r w:rsidRPr="00D739A7">
        <w:t>Girls</w:t>
      </w:r>
      <w:r w:rsidR="00751B98" w:rsidRPr="00D739A7">
        <w:t>: The number of girls with an official decision of SEN who are educated in separate special schools (</w:t>
      </w:r>
      <w:r w:rsidR="007237E0" w:rsidRPr="00D739A7">
        <w:t>Q3</w:t>
      </w:r>
      <w:r w:rsidR="00751B98" w:rsidRPr="00D739A7">
        <w:t>.4) / The number of learners who have an official decision of SEN (Q3.1) x 100.</w:t>
      </w:r>
    </w:p>
    <w:p w14:paraId="12244F8B" w14:textId="2AC2508A" w:rsidR="00751B98" w:rsidRPr="00D739A7" w:rsidRDefault="00751B98" w:rsidP="004F30E8">
      <w:pPr>
        <w:pStyle w:val="Agency-body-text-report"/>
        <w:rPr>
          <w:bCs/>
        </w:rPr>
      </w:pPr>
      <w:r w:rsidRPr="00D739A7">
        <w:rPr>
          <w:bCs/>
        </w:rPr>
        <w:t>Data is available from 2</w:t>
      </w:r>
      <w:r w:rsidR="002D6A21" w:rsidRPr="00D739A7">
        <w:rPr>
          <w:bCs/>
        </w:rPr>
        <w:t>0</w:t>
      </w:r>
      <w:r w:rsidRPr="00D739A7">
        <w:rPr>
          <w:bCs/>
        </w:rPr>
        <w:t xml:space="preserve"> countries.</w:t>
      </w:r>
    </w:p>
    <w:p w14:paraId="160C3043" w14:textId="77A2368B" w:rsidR="00751B98" w:rsidRPr="00D739A7" w:rsidRDefault="00751B98" w:rsidP="004F30E8">
      <w:pPr>
        <w:pStyle w:val="Agency-body-text-report"/>
      </w:pPr>
      <w:r w:rsidRPr="00D739A7">
        <w:t xml:space="preserve">The enrolment rates in special schools for </w:t>
      </w:r>
      <w:r w:rsidR="00AE36D0" w:rsidRPr="00D739A7">
        <w:t xml:space="preserve">boys </w:t>
      </w:r>
      <w:r w:rsidRPr="00D739A7">
        <w:t>with an official decision of SEN, based on the whole population of learners with an official decision of SEN, range from 0.</w:t>
      </w:r>
      <w:r w:rsidR="002D6A21" w:rsidRPr="00D739A7">
        <w:t>21</w:t>
      </w:r>
      <w:r w:rsidRPr="00D739A7">
        <w:t xml:space="preserve">% to </w:t>
      </w:r>
      <w:r w:rsidR="002D6A21" w:rsidRPr="00D739A7">
        <w:t>59.38</w:t>
      </w:r>
      <w:r w:rsidRPr="00D739A7">
        <w:t>%; the total average for the 2</w:t>
      </w:r>
      <w:r w:rsidR="002D6A21" w:rsidRPr="00D739A7">
        <w:t>0</w:t>
      </w:r>
      <w:r w:rsidRPr="00D739A7">
        <w:t xml:space="preserve"> countries is </w:t>
      </w:r>
      <w:r w:rsidR="002D6A21" w:rsidRPr="00D739A7">
        <w:t>16.40</w:t>
      </w:r>
      <w:r w:rsidRPr="00D739A7">
        <w:t>%.</w:t>
      </w:r>
    </w:p>
    <w:p w14:paraId="6CA4269F" w14:textId="7735228F" w:rsidR="00751B98" w:rsidRPr="00D739A7" w:rsidRDefault="00751B98" w:rsidP="004F30E8">
      <w:pPr>
        <w:pStyle w:val="Agency-body-text-report"/>
      </w:pPr>
      <w:r w:rsidRPr="00D739A7">
        <w:t xml:space="preserve">The enrolment rates in special schools for </w:t>
      </w:r>
      <w:r w:rsidR="00AE36D0" w:rsidRPr="00D739A7">
        <w:t xml:space="preserve">girls </w:t>
      </w:r>
      <w:r w:rsidRPr="00D739A7">
        <w:t>with an official decision of SEN, based on the whole population of learners with an official decision of SEN, range from 0.</w:t>
      </w:r>
      <w:r w:rsidR="002D6A21" w:rsidRPr="00D739A7">
        <w:t>11</w:t>
      </w:r>
      <w:r w:rsidRPr="00D739A7">
        <w:t xml:space="preserve">% to </w:t>
      </w:r>
      <w:r w:rsidR="002D6A21" w:rsidRPr="00D739A7">
        <w:t>40.02</w:t>
      </w:r>
      <w:r w:rsidRPr="00D739A7">
        <w:t>%; the total average for the 2</w:t>
      </w:r>
      <w:r w:rsidR="002D6A21" w:rsidRPr="00D739A7">
        <w:t>0</w:t>
      </w:r>
      <w:r w:rsidRPr="00D739A7">
        <w:t xml:space="preserve"> countries is </w:t>
      </w:r>
      <w:r w:rsidR="002D6A21" w:rsidRPr="00D739A7">
        <w:t>9.57</w:t>
      </w:r>
      <w:r w:rsidRPr="00D739A7">
        <w:t>%.</w:t>
      </w:r>
    </w:p>
    <w:p w14:paraId="4DB496AC" w14:textId="48527E2E" w:rsidR="00751B98" w:rsidRPr="00D739A7" w:rsidRDefault="002D6A21" w:rsidP="002D6A21">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0685CFA3" wp14:editId="6B14426E">
            <wp:extent cx="3054350" cy="7360468"/>
            <wp:effectExtent l="0" t="0" r="6350" b="18415"/>
            <wp:docPr id="129" name="Diagram 129" descr="Austria Boys 31.41 Girls 22.76&#10;Belgium (Fl) Boys 27.67 Girls 5.64&#10;Bulgaria Boys 15.96 Girls 9.60&#10;Cyprus Boys 2.24 Girls 0.52&#10;Czech Republic Boys 9.83 Girls 7.99&#10;Estonia Boys 24.03 Girls 9.30&#10;France Boys 5.52 Girls 3.61&#10;Germany Boys 20.94 Girls 16.92&#10;Greece Boys 1.94 Girls 1.18&#10;Ireland Boys 13.73 Girls 7.93&#10;Italy Boys 0.21 Girls 0.11&#10;Latvia Boys 41.44 Girls 38.74&#10;Lithuania Boys 23.97 Girls 16.45&#10;Poland Boys 39.08 Girls 29.36&#10;Slovakia Boys 17.93 Girls 14.50&#10;Sweden Boys 59.38 Girls 40.02&#10;UK (England) Boys 38.37 Girls 14.15&#10;UK (N. Ireland) Boys 32.96 Girls 19.36&#10;UK (Scotland) Boys 5.22 Girls 2.65&#10;UK (Wales) Boys 48.01 Girls 20.44&#10;Total average (20 countries) Boys 16.40 Girls 9.57">
              <a:extLst xmlns:a="http://schemas.openxmlformats.org/drawingml/2006/main">
                <a:ext uri="{FF2B5EF4-FFF2-40B4-BE49-F238E27FC236}">
                  <a16:creationId xmlns:a16="http://schemas.microsoft.com/office/drawing/2014/main" id="{1DF550C3-38FA-4B93-9436-C64733CDDF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2405206C" w14:textId="6017881C" w:rsidR="00751B98" w:rsidRPr="00D739A7" w:rsidRDefault="00B54F4E"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Pr="00D739A7">
        <w:t>109</w:t>
      </w:r>
      <w:r w:rsidRPr="00D739A7">
        <w:fldChar w:fldCharType="end"/>
      </w:r>
      <w:r w:rsidR="00751B98" w:rsidRPr="00D739A7">
        <w:t>. Gender breakdown of learners with an official decision of SEN in special schools, based on the population of learners with an official decision of SEN (%)</w:t>
      </w:r>
    </w:p>
    <w:p w14:paraId="73B9A433"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F173DC">
          <w:type w:val="continuous"/>
          <w:pgSz w:w="11899" w:h="16838"/>
          <w:pgMar w:top="1134" w:right="1551" w:bottom="1276" w:left="1418" w:header="709" w:footer="709" w:gutter="0"/>
          <w:cols w:num="2" w:space="710" w:equalWidth="0">
            <w:col w:w="3333" w:space="710"/>
            <w:col w:w="4887"/>
          </w:cols>
          <w:docGrid w:linePitch="360"/>
        </w:sectPr>
      </w:pPr>
    </w:p>
    <w:p w14:paraId="33DD37FB" w14:textId="77777777" w:rsidR="00751B98" w:rsidRPr="00D739A7" w:rsidRDefault="00751B98" w:rsidP="004A29D9">
      <w:pPr>
        <w:pStyle w:val="Agency-heading-4-report"/>
      </w:pPr>
      <w:r w:rsidRPr="00D739A7">
        <w:lastRenderedPageBreak/>
        <w:t>Gender distribution of learners with an official decision of SEN in special schools, based on the population of learners with an official decision of SEN (%)</w:t>
      </w:r>
    </w:p>
    <w:p w14:paraId="48B970F9"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0D2FE3AA" w14:textId="77777777" w:rsidR="00751B98" w:rsidRPr="00D739A7" w:rsidRDefault="00751B98" w:rsidP="004F30E8">
      <w:pPr>
        <w:pStyle w:val="Agency-body-text-report"/>
      </w:pPr>
      <w:r w:rsidRPr="00D739A7">
        <w:t>The gender distributions have been calculated as follows:</w:t>
      </w:r>
    </w:p>
    <w:p w14:paraId="013DB71F" w14:textId="4EA3ECBE" w:rsidR="00751B98" w:rsidRPr="00D739A7" w:rsidRDefault="00EF3C3C" w:rsidP="004F30E8">
      <w:pPr>
        <w:pStyle w:val="Agency-body-text-report"/>
      </w:pPr>
      <w:r w:rsidRPr="00D739A7">
        <w:t>Boys</w:t>
      </w:r>
      <w:r w:rsidR="00751B98" w:rsidRPr="00D739A7">
        <w:t>:</w:t>
      </w:r>
      <w:r w:rsidR="00751B98" w:rsidRPr="00D739A7">
        <w:rPr>
          <w:szCs w:val="20"/>
        </w:rPr>
        <w:t xml:space="preserve"> </w:t>
      </w:r>
      <w:r w:rsidR="00751B98" w:rsidRPr="00D739A7">
        <w:t>The number of boys with an official decision of SEN who are educated in separate special schools (</w:t>
      </w:r>
      <w:r w:rsidR="007237E0" w:rsidRPr="00D739A7">
        <w:t>Q3</w:t>
      </w:r>
      <w:r w:rsidR="00751B98" w:rsidRPr="00D739A7">
        <w:t>.4) / The number of learners with an official decision of SEN who are educated in separate special schools (Q3.4) x 100.</w:t>
      </w:r>
    </w:p>
    <w:p w14:paraId="37A6C2E1" w14:textId="01BE1FF3" w:rsidR="00751B98" w:rsidRPr="00D739A7" w:rsidRDefault="00EF3C3C" w:rsidP="004F30E8">
      <w:pPr>
        <w:pStyle w:val="Agency-body-text-report"/>
      </w:pPr>
      <w:r w:rsidRPr="00D739A7">
        <w:t>Girls</w:t>
      </w:r>
      <w:r w:rsidR="00751B98" w:rsidRPr="00D739A7">
        <w:t>:</w:t>
      </w:r>
      <w:r w:rsidR="00751B98" w:rsidRPr="00D739A7">
        <w:rPr>
          <w:szCs w:val="20"/>
        </w:rPr>
        <w:t xml:space="preserve"> </w:t>
      </w:r>
      <w:r w:rsidR="00751B98" w:rsidRPr="00D739A7">
        <w:t>The number of girls with an official decision of SEN who are educated in separate special schools (</w:t>
      </w:r>
      <w:r w:rsidR="007237E0" w:rsidRPr="00D739A7">
        <w:t>Q3</w:t>
      </w:r>
      <w:r w:rsidR="00751B98" w:rsidRPr="00D739A7">
        <w:t>.4) / The number of learners with an official decision of SEN who are educated in separate special schools (Q3.4) x 100.</w:t>
      </w:r>
    </w:p>
    <w:p w14:paraId="138F086F" w14:textId="179043B2" w:rsidR="00751B98" w:rsidRPr="00D739A7" w:rsidRDefault="00751B98" w:rsidP="004F30E8">
      <w:pPr>
        <w:pStyle w:val="Agency-body-text-report"/>
        <w:rPr>
          <w:bCs/>
        </w:rPr>
      </w:pPr>
      <w:r w:rsidRPr="00D739A7">
        <w:rPr>
          <w:bCs/>
        </w:rPr>
        <w:t>Data is available from 2</w:t>
      </w:r>
      <w:r w:rsidR="00FD5965" w:rsidRPr="00D739A7">
        <w:rPr>
          <w:bCs/>
        </w:rPr>
        <w:t>0</w:t>
      </w:r>
      <w:r w:rsidRPr="00D739A7">
        <w:rPr>
          <w:bCs/>
        </w:rPr>
        <w:t xml:space="preserve"> countries.</w:t>
      </w:r>
    </w:p>
    <w:p w14:paraId="71434F55" w14:textId="03D08AE6" w:rsidR="00751B98" w:rsidRPr="00D739A7" w:rsidRDefault="00751B98" w:rsidP="004F30E8">
      <w:pPr>
        <w:pStyle w:val="Agency-body-text-report"/>
        <w:rPr>
          <w:bCs/>
        </w:rPr>
      </w:pPr>
      <w:r w:rsidRPr="00D739A7">
        <w:rPr>
          <w:bCs/>
        </w:rPr>
        <w:t>The proportion of boys with an official decision of SEN in special schools, based on the population of learners with an official decision of SEN, ranges from 5</w:t>
      </w:r>
      <w:r w:rsidR="00FD5965" w:rsidRPr="00D739A7">
        <w:rPr>
          <w:bCs/>
        </w:rPr>
        <w:t>1.69</w:t>
      </w:r>
      <w:r w:rsidRPr="00D739A7">
        <w:rPr>
          <w:bCs/>
        </w:rPr>
        <w:t xml:space="preserve">% to </w:t>
      </w:r>
      <w:r w:rsidR="00FD5965" w:rsidRPr="00D739A7">
        <w:rPr>
          <w:bCs/>
        </w:rPr>
        <w:t>83.07</w:t>
      </w:r>
      <w:r w:rsidRPr="00D739A7">
        <w:rPr>
          <w:bCs/>
        </w:rPr>
        <w:t>%; the total average for the 2</w:t>
      </w:r>
      <w:r w:rsidR="00FD5965" w:rsidRPr="00D739A7">
        <w:rPr>
          <w:bCs/>
        </w:rPr>
        <w:t>0</w:t>
      </w:r>
      <w:r w:rsidRPr="00D739A7">
        <w:rPr>
          <w:bCs/>
        </w:rPr>
        <w:t xml:space="preserve"> countries is 6</w:t>
      </w:r>
      <w:r w:rsidR="00FD5965" w:rsidRPr="00D739A7">
        <w:rPr>
          <w:bCs/>
        </w:rPr>
        <w:t>3.15</w:t>
      </w:r>
      <w:r w:rsidRPr="00D739A7">
        <w:rPr>
          <w:bCs/>
        </w:rPr>
        <w:t>%.</w:t>
      </w:r>
    </w:p>
    <w:p w14:paraId="2A03A208" w14:textId="1CC71732" w:rsidR="002D6A21" w:rsidRPr="00D739A7" w:rsidRDefault="00751B98" w:rsidP="004F30E8">
      <w:pPr>
        <w:pStyle w:val="Agency-body-text-report"/>
        <w:rPr>
          <w:bCs/>
        </w:rPr>
      </w:pPr>
      <w:r w:rsidRPr="00D739A7">
        <w:rPr>
          <w:bCs/>
        </w:rPr>
        <w:t xml:space="preserve">The proportion of girls with an official decision of SEN in special schools, based on the population of learners with an official decision of SEN, ranges from </w:t>
      </w:r>
      <w:r w:rsidR="00FD5965" w:rsidRPr="00D739A7">
        <w:rPr>
          <w:bCs/>
        </w:rPr>
        <w:t>16.93</w:t>
      </w:r>
      <w:r w:rsidRPr="00D739A7">
        <w:rPr>
          <w:bCs/>
        </w:rPr>
        <w:t>% to 4</w:t>
      </w:r>
      <w:r w:rsidR="00FD5965" w:rsidRPr="00D739A7">
        <w:rPr>
          <w:bCs/>
        </w:rPr>
        <w:t>8.31</w:t>
      </w:r>
      <w:r w:rsidRPr="00D739A7">
        <w:rPr>
          <w:bCs/>
        </w:rPr>
        <w:t>%; the total average for the 2</w:t>
      </w:r>
      <w:r w:rsidR="00FD5965" w:rsidRPr="00D739A7">
        <w:rPr>
          <w:bCs/>
        </w:rPr>
        <w:t>0</w:t>
      </w:r>
      <w:r w:rsidRPr="00D739A7">
        <w:rPr>
          <w:bCs/>
        </w:rPr>
        <w:t xml:space="preserve"> countries is 3</w:t>
      </w:r>
      <w:r w:rsidR="00FD5965" w:rsidRPr="00D739A7">
        <w:rPr>
          <w:bCs/>
        </w:rPr>
        <w:t>6.85</w:t>
      </w:r>
      <w:r w:rsidRPr="00D739A7">
        <w:rPr>
          <w:bCs/>
        </w:rPr>
        <w:t>%.</w:t>
      </w:r>
    </w:p>
    <w:p w14:paraId="7CC04D9E" w14:textId="5A84056E" w:rsidR="00751B98" w:rsidRPr="00D739A7" w:rsidRDefault="002D6A21" w:rsidP="00FD5965">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7DDB1218" wp14:editId="3D3077C2">
            <wp:extent cx="3103880" cy="7405735"/>
            <wp:effectExtent l="0" t="0" r="7620" b="11430"/>
            <wp:docPr id="128" name="Diagram 128" descr="Austria Boys 57.99 Girls 42.01&#10;Belgium (Fl) Boys 83.07 Girls 16.93&#10;Bulgaria Boys 62.45 Girls 37.55&#10;Cyprus Boys 81.03 Girls 18.97&#10;Czech Republic Boys 55.18 Girls 44.82&#10;Estonia Boys 72.09 Girls 27.91&#10;France Boys 60.44 Girls 39.56&#10;Germany Boys 55.30 Girls 44.70&#10;Greece Boys 62.20 Girls 37.80&#10;Ireland Boys 63.40 Girls 36.60&#10;Italy Boys 65.89 Girls 34.11&#10;Latvia Boys 51.69 Girls 48.31&#10;Lithuania Boys 59.31 Girls 40.69&#10;Poland Boys 57.11 Girls 42.89&#10;Slovakia Boys 55.29 Girls 44.71&#10;Sweden Boys 59.74 Girls 40.26&#10;UK (England) Boys 73.06 Girls 26.94&#10;UK (N. Ireland) Boys 62.99 Girls 37.01&#10;UK (Scotland) Boys 66.28 Girls 33.72&#10;UK (Wales) Boys 70.14 Girls 29.86&#10;Total average (20 countries) Boys 63.15 Girls 36.85">
              <a:extLst xmlns:a="http://schemas.openxmlformats.org/drawingml/2006/main">
                <a:ext uri="{FF2B5EF4-FFF2-40B4-BE49-F238E27FC236}">
                  <a16:creationId xmlns:a16="http://schemas.microsoft.com/office/drawing/2014/main" id="{533434DB-0A84-4C0C-8D3D-CF4412EAE0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786EAC5E" w14:textId="3EB226F6" w:rsidR="00751B98" w:rsidRPr="00D739A7" w:rsidRDefault="00B54F4E"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Pr="00D739A7">
        <w:t>110</w:t>
      </w:r>
      <w:r w:rsidRPr="00D739A7">
        <w:fldChar w:fldCharType="end"/>
      </w:r>
      <w:r w:rsidR="00751B98" w:rsidRPr="00D739A7">
        <w:t>. Gender distribution of learners with an official decision of SEN in special schools, based on the population of learners with an official decision of SEN (%)</w:t>
      </w:r>
    </w:p>
    <w:p w14:paraId="48D789A9"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F173DC">
          <w:type w:val="continuous"/>
          <w:pgSz w:w="11899" w:h="16838"/>
          <w:pgMar w:top="1134" w:right="1551" w:bottom="1276" w:left="1418" w:header="709" w:footer="709" w:gutter="0"/>
          <w:cols w:num="2" w:space="710" w:equalWidth="0">
            <w:col w:w="3333" w:space="710"/>
            <w:col w:w="4887"/>
          </w:cols>
          <w:docGrid w:linePitch="360"/>
        </w:sectPr>
      </w:pPr>
    </w:p>
    <w:p w14:paraId="67CF86E2" w14:textId="7DCCCF95" w:rsidR="00751B98" w:rsidRPr="00D739A7" w:rsidRDefault="00436B97" w:rsidP="004A29D9">
      <w:pPr>
        <w:pStyle w:val="Agency-heading-3-report"/>
      </w:pPr>
      <w:bookmarkStart w:id="91" w:name="_Toc35943078"/>
      <w:r w:rsidRPr="00D739A7">
        <w:lastRenderedPageBreak/>
        <w:t>Indicator </w:t>
      </w:r>
      <w:r w:rsidR="00903978" w:rsidRPr="00D739A7">
        <w:t>3.</w:t>
      </w:r>
      <w:r w:rsidRPr="00D739A7">
        <w:t>3</w:t>
      </w:r>
      <w:r w:rsidR="00751B98" w:rsidRPr="00D739A7">
        <w:t xml:space="preserve">c.5: the percentage of learners with an official decision of SEN in fully separate educational settings, based on the population of learners with an official decision of </w:t>
      </w:r>
      <w:r w:rsidR="00E33F88" w:rsidRPr="00D739A7">
        <w:t>SEN </w:t>
      </w:r>
      <w:r w:rsidR="00751B98" w:rsidRPr="00D739A7">
        <w:t>(%)</w:t>
      </w:r>
      <w:bookmarkEnd w:id="91"/>
    </w:p>
    <w:p w14:paraId="1F766FFC"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1DB2CEE5" w14:textId="77C04DF9" w:rsidR="00751B98" w:rsidRPr="00D739A7" w:rsidRDefault="00751B98" w:rsidP="004F30E8">
      <w:pPr>
        <w:pStyle w:val="Agency-body-text-report"/>
        <w:rPr>
          <w:bCs/>
        </w:rPr>
      </w:pPr>
      <w:r w:rsidRPr="00D739A7">
        <w:t>The data focuses on learners with an official decision of SEN</w:t>
      </w:r>
      <w:r w:rsidR="00E33F88" w:rsidRPr="00D739A7">
        <w:t>,</w:t>
      </w:r>
      <w:r w:rsidRPr="00D739A7">
        <w:t xml:space="preserve"> in line with the EASIE operational definition, who are enrolled in fully separate </w:t>
      </w:r>
      <w:r w:rsidR="00E33F88" w:rsidRPr="00D739A7">
        <w:t xml:space="preserve">educational </w:t>
      </w:r>
      <w:r w:rsidRPr="00D739A7">
        <w:t>settings, i.e. special classes and special schools</w:t>
      </w:r>
      <w:r w:rsidR="00E33F88" w:rsidRPr="00D739A7">
        <w:t>,</w:t>
      </w:r>
      <w:r w:rsidRPr="00D739A7">
        <w:t xml:space="preserve"> </w:t>
      </w:r>
      <w:r w:rsidRPr="00D739A7">
        <w:rPr>
          <w:bCs/>
        </w:rPr>
        <w:t>in line with the 80% placement benchmark (or the most relevant proxy for this benchmark)</w:t>
      </w:r>
      <w:r w:rsidR="00E33F88" w:rsidRPr="00D739A7">
        <w:rPr>
          <w:bCs/>
        </w:rPr>
        <w:t>,</w:t>
      </w:r>
      <w:r w:rsidRPr="00D739A7">
        <w:rPr>
          <w:bCs/>
        </w:rPr>
        <w:t xml:space="preserve"> in relation to the whole population of learners with an official decision of SEN.</w:t>
      </w:r>
    </w:p>
    <w:p w14:paraId="6FB7F171" w14:textId="77777777" w:rsidR="00751B98" w:rsidRPr="00D739A7" w:rsidRDefault="00751B98" w:rsidP="004F30E8">
      <w:pPr>
        <w:pStyle w:val="Agency-body-text-report"/>
      </w:pPr>
      <w:r w:rsidRPr="00D739A7">
        <w:t>This indicator has been calculated as follows: The number of learners with an official decision of SEN who are educated in separate special classes in mainstream schools (Q3.3) + The number of learners with an official decision of SEN who are educated in separate special schools (Q3.4) / The number of learners who have an official decision of SEN (Q3.1) x 100.</w:t>
      </w:r>
    </w:p>
    <w:p w14:paraId="7EB67C79" w14:textId="3C20707F" w:rsidR="00751B98" w:rsidRPr="00D739A7" w:rsidRDefault="00751B98" w:rsidP="004F30E8">
      <w:pPr>
        <w:pStyle w:val="Agency-body-text-report"/>
      </w:pPr>
      <w:r w:rsidRPr="00D739A7">
        <w:t xml:space="preserve">Data is available from </w:t>
      </w:r>
      <w:r w:rsidR="00FD5965" w:rsidRPr="00D739A7">
        <w:t>1</w:t>
      </w:r>
      <w:r w:rsidRPr="00D739A7">
        <w:t>4 countries.</w:t>
      </w:r>
    </w:p>
    <w:p w14:paraId="4EE7765C" w14:textId="5B6D8725" w:rsidR="00751B98" w:rsidRPr="00D739A7" w:rsidRDefault="00751B98" w:rsidP="004F30E8">
      <w:pPr>
        <w:pStyle w:val="Agency-body-text-report"/>
      </w:pPr>
      <w:r w:rsidRPr="00D739A7">
        <w:t xml:space="preserve">The enrolment rates in fully separate settings for learners with an official decision of SEN, based on the whole population of learners with an official decision of SEN, range from </w:t>
      </w:r>
      <w:r w:rsidR="00FD5965" w:rsidRPr="00D739A7">
        <w:t>3.62</w:t>
      </w:r>
      <w:r w:rsidRPr="00D739A7">
        <w:t xml:space="preserve">% to </w:t>
      </w:r>
      <w:r w:rsidR="00FD5965" w:rsidRPr="00D739A7">
        <w:t>99.10</w:t>
      </w:r>
      <w:r w:rsidRPr="00D739A7">
        <w:t xml:space="preserve">%; the total average for the </w:t>
      </w:r>
      <w:r w:rsidR="00FD5965" w:rsidRPr="00D739A7">
        <w:t>1</w:t>
      </w:r>
      <w:r w:rsidRPr="00D739A7">
        <w:t xml:space="preserve">4 countries is </w:t>
      </w:r>
      <w:r w:rsidR="00FD5965" w:rsidRPr="00D739A7">
        <w:t>40.74</w:t>
      </w:r>
      <w:r w:rsidRPr="00D739A7">
        <w:t>%.</w:t>
      </w:r>
    </w:p>
    <w:p w14:paraId="035C5689" w14:textId="4369890F" w:rsidR="00751B98" w:rsidRPr="00D739A7" w:rsidRDefault="00FD5965" w:rsidP="00FD5965">
      <w:pPr>
        <w:spacing w:before="120" w:after="120" w:line="240" w:lineRule="auto"/>
        <w:rPr>
          <w:rFonts w:ascii="Calibri" w:eastAsia="Times New Roman" w:hAnsi="Calibri" w:cs="Calibri"/>
          <w:color w:val="000000"/>
          <w:lang w:val="en-GB"/>
        </w:rPr>
      </w:pPr>
      <w:r w:rsidRPr="00D739A7">
        <w:rPr>
          <w:rFonts w:ascii="Calibri" w:hAnsi="Calibri" w:cs="Calibri"/>
          <w:noProof/>
          <w:lang w:val="en-GB"/>
        </w:rPr>
        <w:drawing>
          <wp:inline distT="0" distB="0" distL="0" distR="0" wp14:anchorId="671F2E78" wp14:editId="1A27111F">
            <wp:extent cx="3103880" cy="7197505"/>
            <wp:effectExtent l="0" t="0" r="7620" b="16510"/>
            <wp:docPr id="130" name="Diagram 130" descr="Bulgaria 35.77&#10;Cyprus 10.71&#10;Czech Republic 37.45&#10;Estonia 34.88&#10;France 25.42&#10;Greece 3.62&#10;Ireland 30.39&#10;Latvia 99.10&#10;Lithuania 53.80&#10;Luxembourg 59.41&#10;Poland 69.03&#10;Slovakia 33.23&#10;UK (England) 55.59&#10;UK (N. Ireland) 52.85&#10;Total average (14 countries) 40.74">
              <a:extLst xmlns:a="http://schemas.openxmlformats.org/drawingml/2006/main">
                <a:ext uri="{FF2B5EF4-FFF2-40B4-BE49-F238E27FC236}">
                  <a16:creationId xmlns:a16="http://schemas.microsoft.com/office/drawing/2014/main" id="{A80F87FF-C1C5-409E-9010-A1C08EBB75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0870828A" w14:textId="6667A709" w:rsidR="00751B98" w:rsidRPr="00D739A7" w:rsidRDefault="00B54F4E"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Pr="00D739A7">
        <w:t>111</w:t>
      </w:r>
      <w:r w:rsidRPr="00D739A7">
        <w:fldChar w:fldCharType="end"/>
      </w:r>
      <w:r w:rsidR="00751B98" w:rsidRPr="00D739A7">
        <w:t>. Percentage of learners with an official decision of SEN in fully separate educational settings, based on the population of learners with an official decision of SEN (%)</w:t>
      </w:r>
    </w:p>
    <w:p w14:paraId="5F4CA785"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F702D0">
          <w:type w:val="continuous"/>
          <w:pgSz w:w="11899" w:h="16838"/>
          <w:pgMar w:top="1134" w:right="1551" w:bottom="1276" w:left="1418" w:header="709" w:footer="709" w:gutter="0"/>
          <w:cols w:num="2" w:space="710" w:equalWidth="0">
            <w:col w:w="3333" w:space="710"/>
            <w:col w:w="4887"/>
          </w:cols>
          <w:docGrid w:linePitch="360"/>
        </w:sectPr>
      </w:pPr>
    </w:p>
    <w:p w14:paraId="1AC38CC9" w14:textId="77777777" w:rsidR="00751B98" w:rsidRPr="00D739A7" w:rsidRDefault="00751B98" w:rsidP="004A29D9">
      <w:pPr>
        <w:pStyle w:val="Agency-heading-4-report"/>
      </w:pPr>
      <w:r w:rsidRPr="00D739A7">
        <w:lastRenderedPageBreak/>
        <w:t>Gender breakdown of learners with an official decision of SEN in fully separate educational settings, based on the population of learners with an official decision of SEN (%)</w:t>
      </w:r>
    </w:p>
    <w:p w14:paraId="5AFCAAF9" w14:textId="77777777" w:rsidR="00751B98" w:rsidRPr="00D739A7" w:rsidRDefault="00751B98" w:rsidP="00751B98">
      <w:pPr>
        <w:spacing w:before="120" w:after="120" w:line="240" w:lineRule="auto"/>
        <w:rPr>
          <w:rFonts w:ascii="Calibri" w:eastAsia="Times New Roman" w:hAnsi="Calibri" w:cs="Calibri"/>
          <w:color w:val="000000"/>
          <w:lang w:val="en-GB"/>
        </w:rPr>
        <w:sectPr w:rsidR="00751B98" w:rsidRPr="00D739A7" w:rsidSect="00751B98">
          <w:pgSz w:w="11899" w:h="16838"/>
          <w:pgMar w:top="1134" w:right="1551" w:bottom="1276" w:left="1418" w:header="709" w:footer="709" w:gutter="0"/>
          <w:cols w:space="710"/>
          <w:docGrid w:linePitch="360"/>
        </w:sectPr>
      </w:pPr>
    </w:p>
    <w:p w14:paraId="2A37F5E3" w14:textId="77777777" w:rsidR="00751B98" w:rsidRPr="00D739A7" w:rsidRDefault="00751B98" w:rsidP="004F30E8">
      <w:pPr>
        <w:pStyle w:val="Agency-body-text-report"/>
      </w:pPr>
      <w:r w:rsidRPr="00D739A7">
        <w:t>The gender breakdowns have been calculated as follows:</w:t>
      </w:r>
    </w:p>
    <w:p w14:paraId="3FE0E0BA" w14:textId="23A0B078" w:rsidR="00751B98" w:rsidRPr="00D739A7" w:rsidRDefault="00EF3C3C" w:rsidP="004F30E8">
      <w:pPr>
        <w:pStyle w:val="Agency-body-text-report"/>
      </w:pPr>
      <w:r w:rsidRPr="00D739A7">
        <w:t>Boys</w:t>
      </w:r>
      <w:r w:rsidR="00751B98" w:rsidRPr="00D739A7">
        <w:t>: The number of boys with an official decision of SEN who are educated in separate special classes in mainstream schools (</w:t>
      </w:r>
      <w:r w:rsidR="007237E0" w:rsidRPr="00D739A7">
        <w:t>Q3</w:t>
      </w:r>
      <w:r w:rsidR="00751B98" w:rsidRPr="00D739A7">
        <w:t>.3) + The number of boys with an official decision of SEN who are educated in separate special schools (</w:t>
      </w:r>
      <w:r w:rsidR="007237E0" w:rsidRPr="00D739A7">
        <w:t>Q3</w:t>
      </w:r>
      <w:r w:rsidR="00751B98" w:rsidRPr="00D739A7">
        <w:t>.4) / The number of learners who have an official decision of SEN (Q3.1) x 100.</w:t>
      </w:r>
    </w:p>
    <w:p w14:paraId="311A228D" w14:textId="714BA48D" w:rsidR="00751B98" w:rsidRPr="00D739A7" w:rsidRDefault="00EF3C3C" w:rsidP="004F30E8">
      <w:pPr>
        <w:pStyle w:val="Agency-body-text-report"/>
      </w:pPr>
      <w:r w:rsidRPr="00D739A7">
        <w:t>Girls</w:t>
      </w:r>
      <w:r w:rsidR="00751B98" w:rsidRPr="00D739A7">
        <w:t>: The number of girls with an official decision of SEN who are educated in separate special classes in mainstream schools (</w:t>
      </w:r>
      <w:r w:rsidR="007237E0" w:rsidRPr="00D739A7">
        <w:t>Q3</w:t>
      </w:r>
      <w:r w:rsidR="00751B98" w:rsidRPr="00D739A7">
        <w:t>.3) + The number of girls with an official decision of SEN who are educated in separate special schools (</w:t>
      </w:r>
      <w:r w:rsidR="007237E0" w:rsidRPr="00D739A7">
        <w:t>Q3</w:t>
      </w:r>
      <w:r w:rsidR="00751B98" w:rsidRPr="00D739A7">
        <w:t>.4) / The number of learners who have an official decision of SEN (Q3.1) x 100.</w:t>
      </w:r>
    </w:p>
    <w:p w14:paraId="52AC530A" w14:textId="3386E6BC" w:rsidR="00751B98" w:rsidRPr="00D739A7" w:rsidRDefault="00751B98" w:rsidP="004F30E8">
      <w:pPr>
        <w:pStyle w:val="Agency-body-text-report"/>
        <w:rPr>
          <w:bCs/>
        </w:rPr>
      </w:pPr>
      <w:r w:rsidRPr="00D739A7">
        <w:rPr>
          <w:bCs/>
        </w:rPr>
        <w:t>Data is available from 1</w:t>
      </w:r>
      <w:r w:rsidR="00FD5965" w:rsidRPr="00D739A7">
        <w:rPr>
          <w:bCs/>
        </w:rPr>
        <w:t>3</w:t>
      </w:r>
      <w:r w:rsidRPr="00D739A7">
        <w:rPr>
          <w:bCs/>
        </w:rPr>
        <w:t xml:space="preserve"> countries.</w:t>
      </w:r>
    </w:p>
    <w:p w14:paraId="37FA7BFA" w14:textId="66AD1573" w:rsidR="00751B98" w:rsidRPr="00D739A7" w:rsidRDefault="00751B98" w:rsidP="004F30E8">
      <w:pPr>
        <w:pStyle w:val="Agency-body-text-report"/>
      </w:pPr>
      <w:r w:rsidRPr="00D739A7">
        <w:t>The fully separate placement enrolment rates</w:t>
      </w:r>
      <w:r w:rsidR="00A75B71" w:rsidRPr="00D739A7">
        <w:t xml:space="preserve"> for </w:t>
      </w:r>
      <w:r w:rsidR="00EF3C3C" w:rsidRPr="00D739A7">
        <w:t>boys</w:t>
      </w:r>
      <w:r w:rsidRPr="00D739A7">
        <w:t xml:space="preserve">, based on the whole population of learners with an official decision of SEN, range from </w:t>
      </w:r>
      <w:r w:rsidR="00FD5965" w:rsidRPr="00D739A7">
        <w:t>2.19</w:t>
      </w:r>
      <w:r w:rsidRPr="00D739A7">
        <w:t xml:space="preserve">% to </w:t>
      </w:r>
      <w:r w:rsidR="00FD5965" w:rsidRPr="00D739A7">
        <w:t>51.35</w:t>
      </w:r>
      <w:r w:rsidRPr="00D739A7">
        <w:t>%; the total average for the 1</w:t>
      </w:r>
      <w:r w:rsidR="00FD5965" w:rsidRPr="00D739A7">
        <w:t>3</w:t>
      </w:r>
      <w:r w:rsidRPr="00D739A7">
        <w:t xml:space="preserve"> countries is 2</w:t>
      </w:r>
      <w:r w:rsidR="00FD5965" w:rsidRPr="00D739A7">
        <w:t>5.65</w:t>
      </w:r>
      <w:r w:rsidRPr="00D739A7">
        <w:t>%.</w:t>
      </w:r>
    </w:p>
    <w:p w14:paraId="3C30E6DC" w14:textId="191CCB26" w:rsidR="00FD5965" w:rsidRPr="00D739A7" w:rsidRDefault="00751B98" w:rsidP="004F30E8">
      <w:pPr>
        <w:pStyle w:val="Agency-body-text-report"/>
      </w:pPr>
      <w:r w:rsidRPr="00D739A7">
        <w:t>The fully separate placement enrolment rates</w:t>
      </w:r>
      <w:r w:rsidR="00A75B71" w:rsidRPr="00D739A7">
        <w:t xml:space="preserve"> for </w:t>
      </w:r>
      <w:r w:rsidR="00EF3C3C" w:rsidRPr="00D739A7">
        <w:t>girls</w:t>
      </w:r>
      <w:r w:rsidRPr="00D739A7">
        <w:t>, based on the whole population of learners with an official decision of SEN, range from 1.</w:t>
      </w:r>
      <w:r w:rsidR="00FD5965" w:rsidRPr="00D739A7">
        <w:t>44</w:t>
      </w:r>
      <w:r w:rsidRPr="00D739A7">
        <w:t xml:space="preserve">% to </w:t>
      </w:r>
      <w:r w:rsidR="00FD5965" w:rsidRPr="00D739A7">
        <w:t>47.75</w:t>
      </w:r>
      <w:r w:rsidRPr="00D739A7">
        <w:t>%; the total average for the 1</w:t>
      </w:r>
      <w:r w:rsidR="00FD5965" w:rsidRPr="00D739A7">
        <w:t>3</w:t>
      </w:r>
      <w:r w:rsidRPr="00D739A7">
        <w:t xml:space="preserve"> countries is 1</w:t>
      </w:r>
      <w:r w:rsidR="00FD5965" w:rsidRPr="00D739A7">
        <w:t>5.05</w:t>
      </w:r>
      <w:r w:rsidRPr="00D739A7">
        <w:t>%.</w:t>
      </w:r>
    </w:p>
    <w:p w14:paraId="0C755171" w14:textId="22383EAE" w:rsidR="00751B98" w:rsidRPr="00D739A7" w:rsidRDefault="00FD5965" w:rsidP="00FD5965">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2DEB8FD6" wp14:editId="163F9E62">
            <wp:extent cx="3067050" cy="7342361"/>
            <wp:effectExtent l="0" t="0" r="6350" b="11430"/>
            <wp:docPr id="131" name="Diagram 131" descr="Bulgaria Boys 22.56 Girls 13.20&#10;Cyprus Boys 6.33 Girls 4.38&#10;Czech Republic Boys 21.85 Girls 15.60&#10;Estonia Boys 24.03 Girls 10.85&#10;France Boys 15.22 Girls 10.20&#10;Greece Boys 2.19 Girls 1.44&#10;Ireland Boys 20.54 Girls 9.86&#10;Latvia Boys 51.35 Girls 47.75&#10;Lithuania Boys 31.85 Girls 21.95&#10;Poland Boys 39.47 Girls 29.56&#10;Slovakia Boys 18.34 Girls 14.89&#10;UK (England) Boys 40.59 Girls 15.00&#10;UK (N. Ireland) Boys 33.19 Girls 19.66&#10;Total average (13 countries) Boys 25.65 Girls 15.05">
              <a:extLst xmlns:a="http://schemas.openxmlformats.org/drawingml/2006/main">
                <a:ext uri="{FF2B5EF4-FFF2-40B4-BE49-F238E27FC236}">
                  <a16:creationId xmlns:a16="http://schemas.microsoft.com/office/drawing/2014/main" id="{4501B779-5F16-43B8-9983-C0CE7A0B42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0BC2063D" w14:textId="5BEA55BA" w:rsidR="00751B98" w:rsidRPr="00D739A7" w:rsidRDefault="00B54F4E" w:rsidP="004A29D9">
      <w:pPr>
        <w:pStyle w:val="Agency-caption-report"/>
      </w:pPr>
      <w:r w:rsidRPr="00D739A7">
        <w:t xml:space="preserve">Figure </w:t>
      </w:r>
      <w:r w:rsidRPr="00D739A7">
        <w:fldChar w:fldCharType="begin"/>
      </w:r>
      <w:r w:rsidRPr="00D739A7">
        <w:instrText xml:space="preserve"> SEQ Figure \* ARABIC </w:instrText>
      </w:r>
      <w:r w:rsidRPr="00D739A7">
        <w:fldChar w:fldCharType="separate"/>
      </w:r>
      <w:r w:rsidRPr="00D739A7">
        <w:t>112</w:t>
      </w:r>
      <w:r w:rsidRPr="00D739A7">
        <w:fldChar w:fldCharType="end"/>
      </w:r>
      <w:r w:rsidR="00751B98" w:rsidRPr="00D739A7">
        <w:t>. Gender breakdown of learners with an official decision of SEN in fully separate educational settings, based on the population of learners with an official decision of SEN (%)</w:t>
      </w:r>
    </w:p>
    <w:p w14:paraId="2D760FC1" w14:textId="77777777" w:rsidR="00751B98" w:rsidRPr="00D739A7" w:rsidRDefault="00751B98" w:rsidP="00751B98">
      <w:pPr>
        <w:keepNext/>
        <w:spacing w:before="240" w:after="240" w:line="240" w:lineRule="auto"/>
        <w:rPr>
          <w:rFonts w:ascii="Calibri" w:eastAsia="Times New Roman" w:hAnsi="Calibri" w:cs="Calibri"/>
          <w:b/>
          <w:bCs/>
          <w:color w:val="000000"/>
          <w:szCs w:val="18"/>
          <w:lang w:val="en-GB"/>
        </w:rPr>
        <w:sectPr w:rsidR="00751B98" w:rsidRPr="00D739A7" w:rsidSect="000864C6">
          <w:type w:val="continuous"/>
          <w:pgSz w:w="11899" w:h="16838"/>
          <w:pgMar w:top="1134" w:right="1551" w:bottom="1276" w:left="1418" w:header="709" w:footer="709" w:gutter="0"/>
          <w:cols w:num="2" w:space="710" w:equalWidth="0">
            <w:col w:w="3333" w:space="710"/>
            <w:col w:w="4887"/>
          </w:cols>
          <w:docGrid w:linePitch="360"/>
        </w:sectPr>
      </w:pPr>
    </w:p>
    <w:p w14:paraId="25471E6E" w14:textId="77777777" w:rsidR="00751B98" w:rsidRPr="00D739A7" w:rsidRDefault="00751B98" w:rsidP="004A29D9">
      <w:pPr>
        <w:pStyle w:val="Agency-heading-4-report"/>
      </w:pPr>
      <w:r w:rsidRPr="00D739A7">
        <w:lastRenderedPageBreak/>
        <w:t>Gender distribution of learners with an official decision of SEN in fully separate educational settings, based on the population of learners with an official decision of SEN (%)</w:t>
      </w:r>
    </w:p>
    <w:p w14:paraId="34672818" w14:textId="77777777" w:rsidR="00751B98" w:rsidRPr="00D739A7" w:rsidRDefault="00751B98" w:rsidP="00751B98">
      <w:pPr>
        <w:keepNext/>
        <w:spacing w:before="240" w:after="240" w:line="240" w:lineRule="auto"/>
        <w:outlineLvl w:val="3"/>
        <w:rPr>
          <w:rFonts w:ascii="Calibri" w:eastAsia="Times New Roman" w:hAnsi="Calibri" w:cs="Calibri"/>
          <w:bCs/>
          <w:i/>
          <w:color w:val="000000"/>
          <w:szCs w:val="28"/>
          <w:lang w:val="en-GB"/>
        </w:rPr>
        <w:sectPr w:rsidR="00751B98" w:rsidRPr="00D739A7" w:rsidSect="00751B98">
          <w:pgSz w:w="11899" w:h="16838"/>
          <w:pgMar w:top="1134" w:right="1551" w:bottom="1276" w:left="1418" w:header="709" w:footer="709" w:gutter="0"/>
          <w:cols w:space="710"/>
          <w:docGrid w:linePitch="360"/>
        </w:sectPr>
      </w:pPr>
    </w:p>
    <w:p w14:paraId="7479FB28" w14:textId="77777777" w:rsidR="00751B98" w:rsidRPr="00D739A7" w:rsidRDefault="00751B98" w:rsidP="004F30E8">
      <w:pPr>
        <w:pStyle w:val="Agency-body-text-report"/>
      </w:pPr>
      <w:r w:rsidRPr="00D739A7">
        <w:t>The gender distributions have been calculated as follows:</w:t>
      </w:r>
    </w:p>
    <w:p w14:paraId="06A51097" w14:textId="2B465D5F" w:rsidR="00751B98" w:rsidRPr="00D739A7" w:rsidRDefault="00EF3C3C" w:rsidP="004F30E8">
      <w:pPr>
        <w:pStyle w:val="Agency-body-text-report"/>
      </w:pPr>
      <w:r w:rsidRPr="00D739A7">
        <w:t>Boys</w:t>
      </w:r>
      <w:r w:rsidR="00751B98" w:rsidRPr="00D739A7">
        <w:t>:</w:t>
      </w:r>
      <w:r w:rsidR="00751B98" w:rsidRPr="00D739A7">
        <w:rPr>
          <w:szCs w:val="20"/>
        </w:rPr>
        <w:t xml:space="preserve"> </w:t>
      </w:r>
      <w:r w:rsidR="00751B98" w:rsidRPr="00D739A7">
        <w:t>The number of boys with an official decision of SEN who are educated in separate special classes in mainstream schools (</w:t>
      </w:r>
      <w:r w:rsidR="007237E0" w:rsidRPr="00D739A7">
        <w:t>Q3</w:t>
      </w:r>
      <w:r w:rsidR="00751B98" w:rsidRPr="00D739A7">
        <w:t>.3) + The number of boys with an official decision of SEN who are educated in separate special schools (</w:t>
      </w:r>
      <w:r w:rsidR="007237E0" w:rsidRPr="00D739A7">
        <w:t>Q3</w:t>
      </w:r>
      <w:r w:rsidR="00751B98" w:rsidRPr="00D739A7">
        <w:t>.4) / The number of learners with an official decision of SEN who are educated in separate special classes in mainstream schools (Q3.3) + The number of learners with an official decision of SEN who are educated in separate special schools (Q3.4) x 100.</w:t>
      </w:r>
    </w:p>
    <w:p w14:paraId="057A296E" w14:textId="4499C55B" w:rsidR="00751B98" w:rsidRPr="00D739A7" w:rsidRDefault="00EF3C3C" w:rsidP="004F30E8">
      <w:pPr>
        <w:pStyle w:val="Agency-body-text-report"/>
      </w:pPr>
      <w:r w:rsidRPr="00D739A7">
        <w:t>Girls</w:t>
      </w:r>
      <w:r w:rsidR="00751B98" w:rsidRPr="00D739A7">
        <w:t>:</w:t>
      </w:r>
      <w:r w:rsidR="00751B98" w:rsidRPr="00D739A7">
        <w:rPr>
          <w:szCs w:val="20"/>
        </w:rPr>
        <w:t xml:space="preserve"> </w:t>
      </w:r>
      <w:r w:rsidR="00751B98" w:rsidRPr="00D739A7">
        <w:t>The number of girls with an official decision of SEN who are educated in separate special classes in mainstream schools (</w:t>
      </w:r>
      <w:r w:rsidR="007237E0" w:rsidRPr="00D739A7">
        <w:t>Q3</w:t>
      </w:r>
      <w:r w:rsidR="00751B98" w:rsidRPr="00D739A7">
        <w:t>.3) + The number of girls with an official decision of SEN who are educated in separate special schools (</w:t>
      </w:r>
      <w:r w:rsidR="007237E0" w:rsidRPr="00D739A7">
        <w:t>Q3</w:t>
      </w:r>
      <w:r w:rsidR="00751B98" w:rsidRPr="00D739A7">
        <w:t>.4) / The number of learners with an official decision of SEN who are educated in separate special classes in mainstream schools (Q3.3) + The number of learners with an official decision of SEN who are educated in separate special schools (Q3.4) x 100.</w:t>
      </w:r>
    </w:p>
    <w:p w14:paraId="3A9419C2" w14:textId="5FE945D4" w:rsidR="00751B98" w:rsidRPr="00D739A7" w:rsidRDefault="00751B98" w:rsidP="004F30E8">
      <w:pPr>
        <w:pStyle w:val="Agency-body-text-report"/>
        <w:rPr>
          <w:bCs/>
        </w:rPr>
      </w:pPr>
      <w:r w:rsidRPr="00D739A7">
        <w:rPr>
          <w:bCs/>
        </w:rPr>
        <w:t>Data is available from 1</w:t>
      </w:r>
      <w:r w:rsidR="00FD5965" w:rsidRPr="00D739A7">
        <w:rPr>
          <w:bCs/>
        </w:rPr>
        <w:t>3</w:t>
      </w:r>
      <w:r w:rsidRPr="00D739A7">
        <w:rPr>
          <w:bCs/>
        </w:rPr>
        <w:t xml:space="preserve"> countries.</w:t>
      </w:r>
    </w:p>
    <w:p w14:paraId="5EACF52D" w14:textId="1AF76CC3" w:rsidR="00751B98" w:rsidRPr="00D739A7" w:rsidRDefault="00751B98" w:rsidP="004F30E8">
      <w:pPr>
        <w:pStyle w:val="Agency-body-text-report"/>
        <w:rPr>
          <w:bCs/>
        </w:rPr>
      </w:pPr>
      <w:r w:rsidRPr="00D739A7">
        <w:rPr>
          <w:bCs/>
        </w:rPr>
        <w:t>The proportion of boys with an official decision of SEN in fully separate educational settings, based on the population of learners with an official decision of SEN, ranges from 5</w:t>
      </w:r>
      <w:r w:rsidR="00B97153" w:rsidRPr="00D739A7">
        <w:rPr>
          <w:bCs/>
        </w:rPr>
        <w:t>1.82</w:t>
      </w:r>
      <w:r w:rsidRPr="00D739A7">
        <w:rPr>
          <w:bCs/>
        </w:rPr>
        <w:t>% to 7</w:t>
      </w:r>
      <w:r w:rsidR="00B97153" w:rsidRPr="00D739A7">
        <w:rPr>
          <w:bCs/>
        </w:rPr>
        <w:t>3.02</w:t>
      </w:r>
      <w:r w:rsidRPr="00D739A7">
        <w:rPr>
          <w:bCs/>
        </w:rPr>
        <w:t>%; the total average for the 1</w:t>
      </w:r>
      <w:r w:rsidR="00FD5965" w:rsidRPr="00D739A7">
        <w:rPr>
          <w:bCs/>
        </w:rPr>
        <w:t>3</w:t>
      </w:r>
      <w:r w:rsidRPr="00D739A7">
        <w:rPr>
          <w:bCs/>
        </w:rPr>
        <w:t xml:space="preserve"> countries is 6</w:t>
      </w:r>
      <w:r w:rsidR="00B97153" w:rsidRPr="00D739A7">
        <w:rPr>
          <w:bCs/>
        </w:rPr>
        <w:t>3.0</w:t>
      </w:r>
      <w:r w:rsidRPr="00D739A7">
        <w:rPr>
          <w:bCs/>
        </w:rPr>
        <w:t>3%.</w:t>
      </w:r>
    </w:p>
    <w:p w14:paraId="23008538" w14:textId="79926D7A" w:rsidR="000864C6" w:rsidRPr="00D739A7" w:rsidRDefault="00751B98" w:rsidP="004F30E8">
      <w:pPr>
        <w:pStyle w:val="Agency-body-text-report"/>
        <w:rPr>
          <w:bCs/>
        </w:rPr>
      </w:pPr>
      <w:r w:rsidRPr="00D739A7">
        <w:rPr>
          <w:bCs/>
        </w:rPr>
        <w:t xml:space="preserve">The proportion of girls with an official decision of SEN in fully separate educational settings, based on the population of learners with an official </w:t>
      </w:r>
      <w:r w:rsidRPr="00D739A7">
        <w:rPr>
          <w:bCs/>
        </w:rPr>
        <w:t>decision of SEN, ranges from 2</w:t>
      </w:r>
      <w:r w:rsidR="00B97153" w:rsidRPr="00D739A7">
        <w:rPr>
          <w:bCs/>
        </w:rPr>
        <w:t>6.98</w:t>
      </w:r>
      <w:r w:rsidRPr="00D739A7">
        <w:rPr>
          <w:bCs/>
        </w:rPr>
        <w:t>% to 4</w:t>
      </w:r>
      <w:r w:rsidR="00B97153" w:rsidRPr="00D739A7">
        <w:rPr>
          <w:bCs/>
        </w:rPr>
        <w:t>8.18</w:t>
      </w:r>
      <w:r w:rsidRPr="00D739A7">
        <w:rPr>
          <w:bCs/>
        </w:rPr>
        <w:t>%; the total average for the 1</w:t>
      </w:r>
      <w:r w:rsidR="00FD5965" w:rsidRPr="00D739A7">
        <w:rPr>
          <w:bCs/>
        </w:rPr>
        <w:t>3</w:t>
      </w:r>
      <w:r w:rsidRPr="00D739A7">
        <w:rPr>
          <w:bCs/>
        </w:rPr>
        <w:t xml:space="preserve"> countries is 3</w:t>
      </w:r>
      <w:r w:rsidR="00B97153" w:rsidRPr="00D739A7">
        <w:rPr>
          <w:bCs/>
        </w:rPr>
        <w:t>6.97</w:t>
      </w:r>
      <w:r w:rsidRPr="00D739A7">
        <w:rPr>
          <w:bCs/>
        </w:rPr>
        <w:t>%.</w:t>
      </w:r>
    </w:p>
    <w:p w14:paraId="2B90D896" w14:textId="5F628957" w:rsidR="00751B98" w:rsidRPr="00D739A7" w:rsidRDefault="00FD5965" w:rsidP="00FD5965">
      <w:pPr>
        <w:spacing w:before="120" w:after="120" w:line="240" w:lineRule="auto"/>
        <w:rPr>
          <w:rFonts w:ascii="Calibri" w:eastAsia="Times New Roman" w:hAnsi="Calibri" w:cs="Calibri"/>
          <w:b/>
          <w:bCs/>
          <w:color w:val="000000"/>
          <w:szCs w:val="18"/>
          <w:lang w:val="en-GB"/>
        </w:rPr>
      </w:pPr>
      <w:r w:rsidRPr="00D739A7">
        <w:rPr>
          <w:rFonts w:ascii="Calibri" w:hAnsi="Calibri" w:cs="Calibri"/>
          <w:noProof/>
          <w:lang w:val="en-GB"/>
        </w:rPr>
        <w:drawing>
          <wp:inline distT="0" distB="0" distL="0" distR="0" wp14:anchorId="11AB809F" wp14:editId="0C5FB5FF">
            <wp:extent cx="3018155" cy="6943725"/>
            <wp:effectExtent l="0" t="0" r="17145" b="15875"/>
            <wp:docPr id="132" name="Diagram 132" descr="Bulgaria Boys 63.08 Girls 36.92&#10;Cyprus Boys 59.11 Girls 40.89&#10;Czech Republic Boys 58.34 Girls 41.66&#10;Estonia Boys 68.89 Girls 31.11&#10;France Boys 59.88 Girls 40.12&#10;Greece Boys 60.39 Girls 39.61&#10;Ireland Boys 67.57 Girls 32.43&#10;Latvia Boys 51.82 Girls 48.18&#10;Lithuania Boys 59.20 Girls 40.80&#10;Poland Boys 57.18 Girls 42.82&#10;Slovakia Boys 55.20 Girls 44.80&#10;UK (England) Boys 73.02 Girls 26.98&#10;UK (N. Ireland) Boys 62.80 Girls 37.20&#10;Total average (13 countries) Boys 63.03 Girls 36.97">
              <a:extLst xmlns:a="http://schemas.openxmlformats.org/drawingml/2006/main">
                <a:ext uri="{FF2B5EF4-FFF2-40B4-BE49-F238E27FC236}">
                  <a16:creationId xmlns:a16="http://schemas.microsoft.com/office/drawing/2014/main" id="{9AB293E5-0C3C-4A88-B244-14265AD7E9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66DEA7B3" w14:textId="651CD711" w:rsidR="00751B98" w:rsidRPr="00D739A7" w:rsidRDefault="00B54F4E" w:rsidP="004A29D9">
      <w:pPr>
        <w:pStyle w:val="Agency-caption-report"/>
        <w:rPr>
          <w:b w:val="0"/>
          <w:bCs w:val="0"/>
        </w:rPr>
        <w:sectPr w:rsidR="00751B98" w:rsidRPr="00D739A7" w:rsidSect="00A75B71">
          <w:type w:val="continuous"/>
          <w:pgSz w:w="11899" w:h="16838"/>
          <w:pgMar w:top="1134" w:right="1551" w:bottom="1276" w:left="1418" w:header="709" w:footer="709" w:gutter="0"/>
          <w:cols w:num="2" w:space="710" w:equalWidth="0">
            <w:col w:w="3680" w:space="363"/>
            <w:col w:w="4887"/>
          </w:cols>
          <w:docGrid w:linePitch="360"/>
        </w:sectPr>
      </w:pPr>
      <w:r w:rsidRPr="00D739A7">
        <w:t xml:space="preserve">Figure </w:t>
      </w:r>
      <w:r w:rsidRPr="00D739A7">
        <w:rPr>
          <w:b w:val="0"/>
          <w:bCs w:val="0"/>
        </w:rPr>
        <w:fldChar w:fldCharType="begin"/>
      </w:r>
      <w:r w:rsidRPr="00D739A7">
        <w:instrText xml:space="preserve"> SEQ Figure \* ARABIC </w:instrText>
      </w:r>
      <w:r w:rsidRPr="00D739A7">
        <w:rPr>
          <w:b w:val="0"/>
          <w:bCs w:val="0"/>
        </w:rPr>
        <w:fldChar w:fldCharType="separate"/>
      </w:r>
      <w:r w:rsidRPr="00D739A7">
        <w:t>113</w:t>
      </w:r>
      <w:r w:rsidRPr="00D739A7">
        <w:rPr>
          <w:b w:val="0"/>
          <w:bCs w:val="0"/>
        </w:rPr>
        <w:fldChar w:fldCharType="end"/>
      </w:r>
      <w:r w:rsidR="00751B98" w:rsidRPr="00D739A7">
        <w:t>. Gender distribution of learners with an official decision of SEN in fully separate educational settings, based on the population of learners with an official decision of SEN (%)</w:t>
      </w:r>
    </w:p>
    <w:p w14:paraId="0F107FE6" w14:textId="5D7D1B89" w:rsidR="004A6794" w:rsidRPr="00D739A7" w:rsidRDefault="00EC533D" w:rsidP="004A29D9">
      <w:pPr>
        <w:pStyle w:val="Agency-heading-1-report"/>
      </w:pPr>
      <w:bookmarkStart w:id="92" w:name="appendix1"/>
      <w:bookmarkStart w:id="93" w:name="_Toc35943079"/>
      <w:bookmarkEnd w:id="71"/>
      <w:bookmarkEnd w:id="92"/>
      <w:r w:rsidRPr="00D739A7">
        <w:lastRenderedPageBreak/>
        <w:t>A</w:t>
      </w:r>
      <w:r w:rsidR="004A6794" w:rsidRPr="00D739A7">
        <w:t>ppendix</w:t>
      </w:r>
      <w:r w:rsidR="004C0003" w:rsidRPr="00D739A7">
        <w:t> </w:t>
      </w:r>
      <w:r w:rsidR="004A6794" w:rsidRPr="00D739A7">
        <w:t>1 –</w:t>
      </w:r>
      <w:r w:rsidR="00096D0E" w:rsidRPr="00D739A7">
        <w:t xml:space="preserve"> C</w:t>
      </w:r>
      <w:r w:rsidR="00096D0E" w:rsidRPr="00D739A7">
        <w:rPr>
          <w:lang w:eastAsia="en-GB"/>
        </w:rPr>
        <w:t>hildren/learners with an official decision of SEN in non-formal educational settings</w:t>
      </w:r>
      <w:bookmarkEnd w:id="93"/>
    </w:p>
    <w:p w14:paraId="0BF60AE1" w14:textId="77777777" w:rsidR="00550DA8" w:rsidRPr="00D739A7" w:rsidRDefault="004A6794" w:rsidP="00DF3DBA">
      <w:pPr>
        <w:pStyle w:val="Agency-body-text"/>
      </w:pPr>
      <w:r w:rsidRPr="00D739A7">
        <w:t>Only one country (</w:t>
      </w:r>
      <w:r w:rsidR="0090417E" w:rsidRPr="00D739A7">
        <w:t>UK </w:t>
      </w:r>
      <w:r w:rsidRPr="00D739A7">
        <w:t xml:space="preserve">Wales) could present </w:t>
      </w:r>
      <w:r w:rsidR="008009E3" w:rsidRPr="00D739A7">
        <w:t xml:space="preserve">reliable </w:t>
      </w:r>
      <w:r w:rsidRPr="00D739A7">
        <w:t xml:space="preserve">data </w:t>
      </w:r>
      <w:r w:rsidR="00096D0E" w:rsidRPr="00D739A7">
        <w:rPr>
          <w:lang w:eastAsia="en-GB"/>
        </w:rPr>
        <w:t>on children/learners with an official decision of SEN in non-formal educational settings</w:t>
      </w:r>
      <w:r w:rsidRPr="00D739A7">
        <w:t xml:space="preserve">, </w:t>
      </w:r>
      <w:r w:rsidR="0051428E" w:rsidRPr="00D739A7">
        <w:t xml:space="preserve">which is </w:t>
      </w:r>
      <w:r w:rsidRPr="00D739A7">
        <w:t>why it is presented in this appendix instead of the report.</w:t>
      </w:r>
    </w:p>
    <w:p w14:paraId="66A284A5" w14:textId="4350C082" w:rsidR="004A6794" w:rsidRPr="00D739A7" w:rsidRDefault="00903978" w:rsidP="004A29D9">
      <w:pPr>
        <w:pStyle w:val="Agency-heading-2-report"/>
      </w:pPr>
      <w:bookmarkStart w:id="94" w:name="_Toc35943080"/>
      <w:bookmarkStart w:id="95" w:name="_Hlk30078708"/>
      <w:r w:rsidRPr="00D739A7">
        <w:t xml:space="preserve">1. </w:t>
      </w:r>
      <w:r w:rsidR="004A6794" w:rsidRPr="00D739A7">
        <w:t>P</w:t>
      </w:r>
      <w:r w:rsidR="00CF5B26" w:rsidRPr="00D739A7">
        <w:t xml:space="preserve">re-primary education </w:t>
      </w:r>
      <w:r w:rsidR="004A6794" w:rsidRPr="00D739A7">
        <w:t>(</w:t>
      </w:r>
      <w:r w:rsidR="00436B97" w:rsidRPr="00D739A7">
        <w:t>ISCED level 0</w:t>
      </w:r>
      <w:r w:rsidR="004A6794" w:rsidRPr="00D739A7">
        <w:t>2)</w:t>
      </w:r>
      <w:bookmarkEnd w:id="94"/>
    </w:p>
    <w:p w14:paraId="397DB507" w14:textId="5A91F2E3" w:rsidR="004A6794" w:rsidRPr="00D739A7" w:rsidRDefault="00436B97" w:rsidP="004A29D9">
      <w:pPr>
        <w:pStyle w:val="Agency-heading-3-report"/>
      </w:pPr>
      <w:bookmarkStart w:id="96" w:name="_Toc35943081"/>
      <w:bookmarkEnd w:id="95"/>
      <w:r w:rsidRPr="00D739A7">
        <w:t>Indicator </w:t>
      </w:r>
      <w:r w:rsidR="00903978" w:rsidRPr="00D739A7">
        <w:t>1.</w:t>
      </w:r>
      <w:r w:rsidRPr="00D739A7">
        <w:t>3</w:t>
      </w:r>
      <w:r w:rsidR="004A6794" w:rsidRPr="00D739A7">
        <w:t>b.4: the percentage of children with an official decision of SEN in non-formal educational settings, based on the enrolled pre-primary population (%)</w:t>
      </w:r>
      <w:bookmarkEnd w:id="96"/>
    </w:p>
    <w:p w14:paraId="26968DD5" w14:textId="77777777" w:rsidR="004A6794" w:rsidRPr="00D739A7" w:rsidRDefault="004A6794" w:rsidP="004A29D9">
      <w:pPr>
        <w:pStyle w:val="Agency-body-text-report"/>
      </w:pPr>
      <w:r w:rsidRPr="00D739A7">
        <w:t>This indicator has been calculated as follows: The number of children with an official decision of SEN who are educated in non-formal educational settings (Q3.5) / The number of children who are enrolled in all formal educational settings (Q1.2) x 100.</w:t>
      </w:r>
    </w:p>
    <w:p w14:paraId="78CBF85F" w14:textId="77777777" w:rsidR="004A6794" w:rsidRPr="00D739A7" w:rsidRDefault="004A6794" w:rsidP="004A29D9">
      <w:pPr>
        <w:pStyle w:val="Agency-body-text-report"/>
      </w:pPr>
      <w:r w:rsidRPr="00D739A7">
        <w:t>Data on non-formal education is only available for one country, so data for this indicator is presented in tables rather than figures.</w:t>
      </w:r>
    </w:p>
    <w:p w14:paraId="4404461A" w14:textId="3503E01B" w:rsidR="004A6794" w:rsidRPr="00D739A7" w:rsidRDefault="004A6794" w:rsidP="0090417E">
      <w:pPr>
        <w:pStyle w:val="Agency-caption-report"/>
      </w:pPr>
      <w:r w:rsidRPr="00D739A7">
        <w:t>Table </w:t>
      </w:r>
      <w:r w:rsidRPr="00D739A7">
        <w:fldChar w:fldCharType="begin"/>
      </w:r>
      <w:r w:rsidRPr="00D739A7">
        <w:instrText xml:space="preserve"> SEQ Table \* ARABIC </w:instrText>
      </w:r>
      <w:r w:rsidRPr="00D739A7">
        <w:fldChar w:fldCharType="separate"/>
      </w:r>
      <w:r w:rsidR="00F74F9D" w:rsidRPr="00D739A7">
        <w:t>1</w:t>
      </w:r>
      <w:r w:rsidRPr="00D739A7">
        <w:fldChar w:fldCharType="end"/>
      </w:r>
      <w:r w:rsidRPr="00D739A7">
        <w:t>. Percentage of children with an official decision of SEN in non-formal educational settings, based on the enrolled pre-primary population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7.06&#10;Belgium (French speaking community)&#10;6.44&#10;Croatia&#10;0.25&#10;Cyprus&#10;0.31&#10;Czech Republic&#10;3.20&#10;Denmark&#10;2.03&#10;Estonia&#10;3.07&#10;Finland&#10;0.91&#10;France&#10;0.61&#10;Germany&#10;3.72&#10;Hungary&#10;2.31&#10;Iceland&#10;0.34&#10;Ireland&#10;0.99&#10;Latvia&#10;3.51&#10;Lithuania&#10;1."/>
      </w:tblPr>
      <w:tblGrid>
        <w:gridCol w:w="4460"/>
        <w:gridCol w:w="4460"/>
      </w:tblGrid>
      <w:tr w:rsidR="004A6794" w:rsidRPr="00D739A7" w14:paraId="7025C3C8" w14:textId="77777777" w:rsidTr="008009E3">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73023B5E" w14:textId="77777777" w:rsidR="004A6794" w:rsidRPr="00D739A7" w:rsidRDefault="004A6794" w:rsidP="004A29D9">
            <w:pPr>
              <w:pStyle w:val="Agency-body-text-report"/>
              <w:jc w:val="center"/>
              <w:rPr>
                <w:b/>
                <w:bCs/>
              </w:rPr>
            </w:pPr>
            <w:r w:rsidRPr="00D739A7">
              <w:rPr>
                <w:b/>
                <w:bCs/>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37AC82E1" w14:textId="77777777" w:rsidR="004A6794" w:rsidRPr="00D739A7" w:rsidRDefault="004A6794" w:rsidP="004A29D9">
            <w:pPr>
              <w:pStyle w:val="Agency-body-text-report"/>
              <w:jc w:val="center"/>
              <w:rPr>
                <w:b/>
                <w:bCs/>
              </w:rPr>
            </w:pPr>
            <w:r w:rsidRPr="00D739A7">
              <w:rPr>
                <w:b/>
                <w:bCs/>
              </w:rPr>
              <w:t>Percentage (%)</w:t>
            </w:r>
          </w:p>
        </w:tc>
      </w:tr>
      <w:tr w:rsidR="004A6794" w:rsidRPr="00D739A7" w14:paraId="71F70037" w14:textId="77777777" w:rsidTr="008009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3D4CBE2" w14:textId="1B2BF122" w:rsidR="004A6794" w:rsidRPr="00D739A7" w:rsidRDefault="00E61A02" w:rsidP="004A29D9">
            <w:pPr>
              <w:pStyle w:val="Agency-body-text-report"/>
            </w:pPr>
            <w:r w:rsidRPr="00D739A7">
              <w:t>UK (</w:t>
            </w:r>
            <w:r w:rsidR="004A6794" w:rsidRPr="00D739A7">
              <w:t>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59EA399" w14:textId="77777777" w:rsidR="004A6794" w:rsidRPr="00D739A7" w:rsidRDefault="004A6794" w:rsidP="004A29D9">
            <w:pPr>
              <w:pStyle w:val="Agency-body-text-report"/>
            </w:pPr>
            <w:r w:rsidRPr="00D739A7">
              <w:t>0.02</w:t>
            </w:r>
          </w:p>
        </w:tc>
      </w:tr>
    </w:tbl>
    <w:p w14:paraId="2BD043CE" w14:textId="77777777" w:rsidR="004A6794" w:rsidRPr="00D739A7" w:rsidRDefault="004A6794" w:rsidP="004A29D9">
      <w:pPr>
        <w:pStyle w:val="Agency-heading-4-report"/>
      </w:pPr>
      <w:r w:rsidRPr="00D739A7">
        <w:lastRenderedPageBreak/>
        <w:t>Gender breakdown of children with an official decision of SEN in non-formal educational settings, based on the enrolled school population (%)</w:t>
      </w:r>
    </w:p>
    <w:p w14:paraId="6FC5F932" w14:textId="77777777" w:rsidR="004A6794" w:rsidRPr="00D739A7" w:rsidRDefault="004A6794" w:rsidP="004A29D9">
      <w:pPr>
        <w:pStyle w:val="Agency-body-text-report"/>
        <w:keepNext/>
      </w:pPr>
      <w:r w:rsidRPr="00D739A7">
        <w:t>The gender breakdowns have been calculated as follows:</w:t>
      </w:r>
    </w:p>
    <w:p w14:paraId="18F5D852" w14:textId="77777777" w:rsidR="004A6794" w:rsidRPr="00D739A7" w:rsidRDefault="004A6794" w:rsidP="004A29D9">
      <w:pPr>
        <w:pStyle w:val="Agency-body-text-report"/>
      </w:pPr>
      <w:r w:rsidRPr="00D739A7">
        <w:t>Boys: The number of boys with an official decision of SEN who are educated in non-formal educational settings (Q3.5) / The number of children who are enrolled in all formal educational settings (Q1.2) x 100.</w:t>
      </w:r>
    </w:p>
    <w:p w14:paraId="2A787DA9" w14:textId="165E8F82" w:rsidR="004A6794" w:rsidRPr="00D739A7" w:rsidRDefault="004A6794" w:rsidP="004A29D9">
      <w:pPr>
        <w:pStyle w:val="Agency-body-text-report"/>
      </w:pPr>
      <w:r w:rsidRPr="00D739A7">
        <w:t>Girls: The number of girls with an official decision of SEN who are educated in non-formal educational settings (Q3.5) / The number of children who are enrolled in all formal educational settings (Q1.2) x 100.</w:t>
      </w:r>
    </w:p>
    <w:p w14:paraId="6B7974E3" w14:textId="3DA32D4C" w:rsidR="004A6794" w:rsidRPr="00D739A7" w:rsidRDefault="004A6794" w:rsidP="0090417E">
      <w:pPr>
        <w:pStyle w:val="Agency-caption-report"/>
      </w:pPr>
      <w:r w:rsidRPr="00D739A7">
        <w:t>Table </w:t>
      </w:r>
      <w:r w:rsidRPr="00D739A7">
        <w:fldChar w:fldCharType="begin"/>
      </w:r>
      <w:r w:rsidRPr="00D739A7">
        <w:instrText xml:space="preserve"> SEQ Table \* ARABIC </w:instrText>
      </w:r>
      <w:r w:rsidRPr="00D739A7">
        <w:fldChar w:fldCharType="separate"/>
      </w:r>
      <w:r w:rsidR="00F74F9D" w:rsidRPr="00D739A7">
        <w:t>2</w:t>
      </w:r>
      <w:r w:rsidRPr="00D739A7">
        <w:fldChar w:fldCharType="end"/>
      </w:r>
      <w:r w:rsidRPr="00D739A7">
        <w:t>. Gender breakdown of children with an official decision of SEN in non-formal educational settings, based on the enrolled pre-primary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4A6794" w:rsidRPr="00D739A7" w14:paraId="383A245F" w14:textId="77777777" w:rsidTr="008009E3">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2D862705" w14:textId="77777777" w:rsidR="004A6794" w:rsidRPr="00D739A7" w:rsidRDefault="004A6794"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0E93BCB7" w14:textId="37041DCD" w:rsidR="004A6794" w:rsidRPr="00D739A7" w:rsidRDefault="004A6794" w:rsidP="004A29D9">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54BB8069" w14:textId="33F818B1" w:rsidR="004A6794" w:rsidRPr="00D739A7" w:rsidRDefault="004A6794" w:rsidP="004A29D9">
            <w:pPr>
              <w:pStyle w:val="Agency-body-text-report"/>
              <w:jc w:val="center"/>
              <w:rPr>
                <w:b/>
                <w:bCs/>
              </w:rPr>
            </w:pPr>
            <w:r w:rsidRPr="00D739A7">
              <w:rPr>
                <w:b/>
                <w:bCs/>
              </w:rPr>
              <w:t xml:space="preserve">Percentage (%), </w:t>
            </w:r>
            <w:r w:rsidR="00EF3C3C" w:rsidRPr="00D739A7">
              <w:rPr>
                <w:b/>
                <w:bCs/>
              </w:rPr>
              <w:t>girls</w:t>
            </w:r>
          </w:p>
        </w:tc>
      </w:tr>
      <w:tr w:rsidR="004A6794" w:rsidRPr="00D739A7" w14:paraId="3CBA2C48" w14:textId="77777777" w:rsidTr="008009E3">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29921D64" w14:textId="4F8180C1" w:rsidR="004A6794" w:rsidRPr="00D739A7" w:rsidRDefault="00E61A02" w:rsidP="004A29D9">
            <w:pPr>
              <w:pStyle w:val="Agency-body-text-report"/>
            </w:pPr>
            <w:r w:rsidRPr="00D739A7">
              <w:t>UK (</w:t>
            </w:r>
            <w:r w:rsidR="004A6794"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657E46BD" w14:textId="77777777" w:rsidR="004A6794" w:rsidRPr="00D739A7" w:rsidRDefault="004A6794" w:rsidP="004A29D9">
            <w:pPr>
              <w:pStyle w:val="Agency-body-text-report"/>
            </w:pPr>
            <w:r w:rsidRPr="00D739A7">
              <w:t>0.01</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386CB074" w14:textId="77777777" w:rsidR="004A6794" w:rsidRPr="00D739A7" w:rsidRDefault="004A6794" w:rsidP="004A29D9">
            <w:pPr>
              <w:pStyle w:val="Agency-body-text-report"/>
            </w:pPr>
            <w:r w:rsidRPr="00D739A7">
              <w:t>0.01</w:t>
            </w:r>
          </w:p>
        </w:tc>
      </w:tr>
    </w:tbl>
    <w:p w14:paraId="4D418D56" w14:textId="77777777" w:rsidR="004A6794" w:rsidRPr="00D739A7" w:rsidRDefault="004A6794" w:rsidP="004A29D9">
      <w:pPr>
        <w:pStyle w:val="Agency-heading-4-report"/>
      </w:pPr>
      <w:r w:rsidRPr="00D739A7">
        <w:t>Gender distribution of children with an official decision of SEN in non-formal educational settings, based on the enrolled pre-primary population (%)</w:t>
      </w:r>
    </w:p>
    <w:p w14:paraId="66D80B82" w14:textId="77777777" w:rsidR="004A6794" w:rsidRPr="00D739A7" w:rsidRDefault="004A6794" w:rsidP="004A29D9">
      <w:pPr>
        <w:pStyle w:val="Agency-body-text-report"/>
        <w:keepNext/>
      </w:pPr>
      <w:r w:rsidRPr="00D739A7">
        <w:t>The gender distributions have been calculated as follows:</w:t>
      </w:r>
    </w:p>
    <w:p w14:paraId="093E7051" w14:textId="4FD80243" w:rsidR="004A6794" w:rsidRPr="00D739A7" w:rsidRDefault="00EF3C3C" w:rsidP="004A29D9">
      <w:pPr>
        <w:pStyle w:val="Agency-body-text-report"/>
      </w:pPr>
      <w:r w:rsidRPr="00D739A7">
        <w:t>Boys</w:t>
      </w:r>
      <w:r w:rsidR="004A6794" w:rsidRPr="00D739A7">
        <w:t>: The number of boys with an official decision of SEN who are educated in non-formal educational settings (Q3.5) / The number of children with an official decision of SEN who are educated in non-formal educational settings (Q3.5) x 100.</w:t>
      </w:r>
    </w:p>
    <w:p w14:paraId="3B679118" w14:textId="2CDB9484" w:rsidR="004A6794" w:rsidRPr="00D739A7" w:rsidRDefault="00EF3C3C" w:rsidP="004A29D9">
      <w:pPr>
        <w:pStyle w:val="Agency-body-text-report"/>
      </w:pPr>
      <w:r w:rsidRPr="00D739A7">
        <w:t>Girls</w:t>
      </w:r>
      <w:r w:rsidR="004A6794" w:rsidRPr="00D739A7">
        <w:t>: The number of girls with an official decision of SEN who are educated in non</w:t>
      </w:r>
      <w:r w:rsidR="0090417E" w:rsidRPr="00D739A7">
        <w:noBreakHyphen/>
      </w:r>
      <w:r w:rsidR="004A6794" w:rsidRPr="00D739A7">
        <w:t>formal educational settings (Q3.5) / The number of children with an official decision of SEN who are educated in non-formal educational settings (Q3.5) x 100.</w:t>
      </w:r>
    </w:p>
    <w:p w14:paraId="0F360C01" w14:textId="5B8E7A39" w:rsidR="004A6794" w:rsidRPr="00D739A7" w:rsidRDefault="004A6794" w:rsidP="0090417E">
      <w:pPr>
        <w:pStyle w:val="Agency-caption-report"/>
      </w:pPr>
      <w:r w:rsidRPr="00D739A7">
        <w:t>Table </w:t>
      </w:r>
      <w:r w:rsidRPr="00D739A7">
        <w:fldChar w:fldCharType="begin"/>
      </w:r>
      <w:r w:rsidRPr="00D739A7">
        <w:instrText xml:space="preserve"> SEQ Table \* ARABIC </w:instrText>
      </w:r>
      <w:r w:rsidRPr="00D739A7">
        <w:fldChar w:fldCharType="separate"/>
      </w:r>
      <w:r w:rsidR="00F74F9D" w:rsidRPr="00D739A7">
        <w:t>3</w:t>
      </w:r>
      <w:r w:rsidRPr="00D739A7">
        <w:fldChar w:fldCharType="end"/>
      </w:r>
      <w:r w:rsidRPr="00D739A7">
        <w:t>. Gender distribution of children with an official decision of SEN in non-formal educational settings, based on the enrolled pre-primary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4A6794" w:rsidRPr="00D739A7" w14:paraId="319B0823" w14:textId="77777777" w:rsidTr="008009E3">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27774460" w14:textId="77777777" w:rsidR="004A6794" w:rsidRPr="00D739A7" w:rsidRDefault="004A6794"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2586F1B1" w14:textId="7EDD4D10" w:rsidR="004A6794" w:rsidRPr="00D739A7" w:rsidRDefault="004A6794" w:rsidP="004A29D9">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44F2CC79" w14:textId="0AE25919" w:rsidR="004A6794" w:rsidRPr="00D739A7" w:rsidRDefault="004A6794" w:rsidP="004A29D9">
            <w:pPr>
              <w:pStyle w:val="Agency-body-text-report"/>
              <w:jc w:val="center"/>
              <w:rPr>
                <w:b/>
                <w:bCs/>
              </w:rPr>
            </w:pPr>
            <w:r w:rsidRPr="00D739A7">
              <w:rPr>
                <w:b/>
                <w:bCs/>
              </w:rPr>
              <w:t xml:space="preserve">Percentage (%), </w:t>
            </w:r>
            <w:r w:rsidR="00EF3C3C" w:rsidRPr="00D739A7">
              <w:rPr>
                <w:b/>
                <w:bCs/>
              </w:rPr>
              <w:t>girls</w:t>
            </w:r>
          </w:p>
        </w:tc>
      </w:tr>
      <w:tr w:rsidR="004A6794" w:rsidRPr="00D739A7" w14:paraId="1CB5FC34" w14:textId="77777777" w:rsidTr="008009E3">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2393F9D0" w14:textId="0A5E71AC" w:rsidR="004A6794" w:rsidRPr="00D739A7" w:rsidRDefault="00E61A02" w:rsidP="004A29D9">
            <w:pPr>
              <w:pStyle w:val="Agency-body-text-report"/>
            </w:pPr>
            <w:r w:rsidRPr="00D739A7">
              <w:t>UK (</w:t>
            </w:r>
            <w:r w:rsidR="004A6794"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7EE364E5" w14:textId="7506EAD6" w:rsidR="004A6794" w:rsidRPr="00D739A7" w:rsidRDefault="004A6794" w:rsidP="004A29D9">
            <w:pPr>
              <w:pStyle w:val="Agency-body-text-report"/>
            </w:pPr>
            <w:r w:rsidRPr="00D739A7">
              <w:t>60</w:t>
            </w:r>
            <w:r w:rsidR="0090417E" w:rsidRPr="00D739A7">
              <w:t>.00</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74A29834" w14:textId="0E472AD1" w:rsidR="004A6794" w:rsidRPr="00D739A7" w:rsidRDefault="004A6794" w:rsidP="004A29D9">
            <w:pPr>
              <w:pStyle w:val="Agency-body-text-report"/>
            </w:pPr>
            <w:r w:rsidRPr="00D739A7">
              <w:t>40</w:t>
            </w:r>
            <w:r w:rsidR="0090417E" w:rsidRPr="00D739A7">
              <w:t>.00</w:t>
            </w:r>
          </w:p>
        </w:tc>
      </w:tr>
    </w:tbl>
    <w:p w14:paraId="657FC230" w14:textId="392118A4" w:rsidR="004A6794" w:rsidRPr="00D739A7" w:rsidRDefault="00436B97" w:rsidP="004A29D9">
      <w:pPr>
        <w:pStyle w:val="Agency-heading-3-report"/>
      </w:pPr>
      <w:bookmarkStart w:id="97" w:name="_Toc35943082"/>
      <w:r w:rsidRPr="00D739A7">
        <w:t>Indicator </w:t>
      </w:r>
      <w:r w:rsidR="00CB5E30" w:rsidRPr="00D739A7">
        <w:t>1.</w:t>
      </w:r>
      <w:r w:rsidRPr="00D739A7">
        <w:t>3</w:t>
      </w:r>
      <w:r w:rsidR="004A6794" w:rsidRPr="00D739A7">
        <w:t xml:space="preserve">c.4: the percentage of children with an official decision of SEN in non-formal educational settings, based on the population of children with an official decision of </w:t>
      </w:r>
      <w:r w:rsidR="0090417E" w:rsidRPr="00D739A7">
        <w:t>SEN </w:t>
      </w:r>
      <w:r w:rsidR="004A6794" w:rsidRPr="00D739A7">
        <w:t>(%)</w:t>
      </w:r>
      <w:bookmarkEnd w:id="97"/>
    </w:p>
    <w:p w14:paraId="71499A7B" w14:textId="77777777" w:rsidR="004A6794" w:rsidRPr="00D739A7" w:rsidRDefault="004A6794" w:rsidP="004A29D9">
      <w:pPr>
        <w:pStyle w:val="Agency-body-text-report"/>
      </w:pPr>
      <w:r w:rsidRPr="00D739A7">
        <w:t>This indicator has been calculated as follows: The number of children with an official decision of SEN who are educated in non-formal educational settings (Q3.5) / The number of children with an official decision of SEN (Q3.1) x 100.</w:t>
      </w:r>
    </w:p>
    <w:p w14:paraId="2FB841DE" w14:textId="77777777" w:rsidR="004A6794" w:rsidRPr="00D739A7" w:rsidRDefault="004A6794" w:rsidP="004A29D9">
      <w:pPr>
        <w:pStyle w:val="Agency-body-text-report"/>
      </w:pPr>
      <w:r w:rsidRPr="00D739A7">
        <w:t>Data on non-formal education is only available for one country, so data for this indicator is presented in tables rather than figures.</w:t>
      </w:r>
    </w:p>
    <w:p w14:paraId="00D8C07D" w14:textId="105826C1" w:rsidR="0090417E" w:rsidRPr="00D739A7" w:rsidRDefault="0090417E" w:rsidP="004A29D9">
      <w:pPr>
        <w:pStyle w:val="Agency-caption-report"/>
      </w:pPr>
      <w:r w:rsidRPr="00D739A7">
        <w:lastRenderedPageBreak/>
        <w:t>Table </w:t>
      </w:r>
      <w:r w:rsidRPr="00D739A7">
        <w:fldChar w:fldCharType="begin"/>
      </w:r>
      <w:r w:rsidRPr="00D739A7">
        <w:instrText xml:space="preserve"> SEQ Table \* ARABIC </w:instrText>
      </w:r>
      <w:r w:rsidRPr="00D739A7">
        <w:fldChar w:fldCharType="separate"/>
      </w:r>
      <w:r w:rsidR="00F74F9D" w:rsidRPr="00D739A7">
        <w:t>4</w:t>
      </w:r>
      <w:r w:rsidRPr="00D739A7">
        <w:fldChar w:fldCharType="end"/>
      </w:r>
      <w:r w:rsidR="00D17061" w:rsidRPr="00D739A7">
        <w:t>.</w:t>
      </w:r>
      <w:r w:rsidRPr="00D739A7">
        <w:t xml:space="preserve"> Percentage of children with an official decision of SEN in non-formal educational settings, based on the population of children with an official decision of SEN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82.54&#10;Belgium (French speaking community)&#10;95.73&#10;Croatia&#10;4.99&#10;Cyprus&#10;5.53&#10;Czech Republic&#10;34.66&#10;Denmark&#10;36.85&#10;Estonia&#10;36.41&#10;Finland&#10;12.41&#10;France&#10;20.83&#10;Germany&#10;68.47&#10;Hungary&#10;32.71&#10;Iceland&#10;2.06&#10;Ireland&#10;18.75&#10;Latvia&#10;59.15&#10;L"/>
      </w:tblPr>
      <w:tblGrid>
        <w:gridCol w:w="4460"/>
        <w:gridCol w:w="4460"/>
      </w:tblGrid>
      <w:tr w:rsidR="004A6794" w:rsidRPr="00D739A7" w14:paraId="65E6C275" w14:textId="77777777" w:rsidTr="008009E3">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4FA0D73D" w14:textId="77777777" w:rsidR="004A6794" w:rsidRPr="00D739A7" w:rsidRDefault="004A6794" w:rsidP="004A29D9">
            <w:pPr>
              <w:pStyle w:val="Agency-body-text-report"/>
              <w:jc w:val="center"/>
              <w:rPr>
                <w:b/>
                <w:bCs/>
              </w:rPr>
            </w:pPr>
            <w:r w:rsidRPr="00D739A7">
              <w:rPr>
                <w:b/>
                <w:bCs/>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686E2DFA" w14:textId="77777777" w:rsidR="004A6794" w:rsidRPr="00D739A7" w:rsidRDefault="004A6794" w:rsidP="004A29D9">
            <w:pPr>
              <w:pStyle w:val="Agency-body-text-report"/>
              <w:jc w:val="center"/>
              <w:rPr>
                <w:b/>
                <w:bCs/>
              </w:rPr>
            </w:pPr>
            <w:r w:rsidRPr="00D739A7">
              <w:rPr>
                <w:b/>
                <w:bCs/>
              </w:rPr>
              <w:t>Percentage (%)</w:t>
            </w:r>
          </w:p>
        </w:tc>
      </w:tr>
      <w:tr w:rsidR="004A6794" w:rsidRPr="00D739A7" w14:paraId="0E314705" w14:textId="77777777" w:rsidTr="008009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0BEFF42" w14:textId="534124F8" w:rsidR="004A6794" w:rsidRPr="00D739A7" w:rsidRDefault="00E61A02" w:rsidP="004A29D9">
            <w:pPr>
              <w:pStyle w:val="Agency-body-text-report"/>
            </w:pPr>
            <w:r w:rsidRPr="00D739A7">
              <w:t>UK (</w:t>
            </w:r>
            <w:r w:rsidR="004A6794" w:rsidRPr="00D739A7">
              <w:t>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A537161" w14:textId="77777777" w:rsidR="004A6794" w:rsidRPr="00D739A7" w:rsidRDefault="004A6794" w:rsidP="004A29D9">
            <w:pPr>
              <w:pStyle w:val="Agency-body-text-report"/>
            </w:pPr>
            <w:r w:rsidRPr="00D739A7">
              <w:t>1.31</w:t>
            </w:r>
          </w:p>
        </w:tc>
      </w:tr>
    </w:tbl>
    <w:p w14:paraId="137E47D0" w14:textId="77777777" w:rsidR="004A6794" w:rsidRPr="00D739A7" w:rsidRDefault="004A6794" w:rsidP="004A29D9">
      <w:pPr>
        <w:pStyle w:val="Agency-heading-4-report"/>
      </w:pPr>
      <w:r w:rsidRPr="00D739A7">
        <w:t>Gender breakdown of children with an official decision of SEN in non-formal educational settings, based on the population of children with an official decision of SEN (%)</w:t>
      </w:r>
    </w:p>
    <w:p w14:paraId="6E95A47E" w14:textId="77777777" w:rsidR="004A6794" w:rsidRPr="00D739A7" w:rsidRDefault="004A6794" w:rsidP="004A29D9">
      <w:pPr>
        <w:pStyle w:val="Agency-body-text-report"/>
        <w:keepNext/>
      </w:pPr>
      <w:r w:rsidRPr="00D739A7">
        <w:t>The gender breakdowns have been calculated as follows:</w:t>
      </w:r>
    </w:p>
    <w:p w14:paraId="7DD45CDF" w14:textId="77777777" w:rsidR="004A6794" w:rsidRPr="00D739A7" w:rsidRDefault="004A6794" w:rsidP="004A29D9">
      <w:pPr>
        <w:pStyle w:val="Agency-body-text-report"/>
      </w:pPr>
      <w:r w:rsidRPr="00D739A7">
        <w:t>Boys: The number of boys with an official decision of SEN who are educated in non-formal educational settings (Q3.5) / The number of children with an official decision of SEN (Q3.1) x 100.</w:t>
      </w:r>
    </w:p>
    <w:p w14:paraId="56FBD4D1" w14:textId="77777777" w:rsidR="004A6794" w:rsidRPr="00D739A7" w:rsidRDefault="004A6794" w:rsidP="004A29D9">
      <w:pPr>
        <w:pStyle w:val="Agency-body-text-report"/>
      </w:pPr>
      <w:r w:rsidRPr="00D739A7">
        <w:t>Girls: The number of girls with an official decision of SEN who are educated in non-formal educational settings (Q3.5) / The number of children with an official decision of SEN (Q3.1) x 100.</w:t>
      </w:r>
    </w:p>
    <w:p w14:paraId="073BD7EB" w14:textId="2FBC41AC" w:rsidR="00D17061" w:rsidRPr="00D739A7" w:rsidRDefault="00D17061" w:rsidP="004A29D9">
      <w:pPr>
        <w:pStyle w:val="Agency-caption-report"/>
      </w:pPr>
      <w:r w:rsidRPr="00D739A7">
        <w:t>Table </w:t>
      </w:r>
      <w:r w:rsidRPr="00D739A7">
        <w:fldChar w:fldCharType="begin"/>
      </w:r>
      <w:r w:rsidRPr="00D739A7">
        <w:instrText xml:space="preserve"> SEQ Table \* ARABIC </w:instrText>
      </w:r>
      <w:r w:rsidRPr="00D739A7">
        <w:fldChar w:fldCharType="separate"/>
      </w:r>
      <w:r w:rsidR="00F74F9D" w:rsidRPr="00D739A7">
        <w:t>5</w:t>
      </w:r>
      <w:r w:rsidRPr="00D739A7">
        <w:fldChar w:fldCharType="end"/>
      </w:r>
      <w:r w:rsidRPr="00D739A7">
        <w:t>. Gender breakdown of children with an official decision of SEN in non-formal educational settings, based on the population of children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male percentage, female percentage, Belgium (Flemish speaking community)&#10;59.15&#10;32.41&#10;Belgium (French speaking community)&#10;61.46&#10;34.27&#10;Croatia&#10;3.03&#10;1.96&#10;Cyprus&#10;3.50&#10;2.03&#10;Czech Republic&#10;21.53&#10;13.13&#10;Denmark&#10;26.63&#10;10.22&#10;Estonia&#10;24.80&#10;11.60&#10;Finland&#10;8.6"/>
      </w:tblPr>
      <w:tblGrid>
        <w:gridCol w:w="2964"/>
        <w:gridCol w:w="2978"/>
        <w:gridCol w:w="2978"/>
      </w:tblGrid>
      <w:tr w:rsidR="004A6794" w:rsidRPr="00D739A7" w14:paraId="0ECBF129" w14:textId="77777777" w:rsidTr="008009E3">
        <w:trPr>
          <w:cantSplit/>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6BB2C56D" w14:textId="77777777" w:rsidR="004A6794" w:rsidRPr="00D739A7" w:rsidRDefault="004A6794"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444CCB14" w14:textId="2880D858" w:rsidR="004A6794" w:rsidRPr="00D739A7" w:rsidRDefault="004A6794" w:rsidP="004A29D9">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51178812" w14:textId="71F86DA6" w:rsidR="004A6794" w:rsidRPr="00D739A7" w:rsidRDefault="004A6794" w:rsidP="004A29D9">
            <w:pPr>
              <w:pStyle w:val="Agency-body-text-report"/>
              <w:jc w:val="center"/>
              <w:rPr>
                <w:b/>
                <w:bCs/>
              </w:rPr>
            </w:pPr>
            <w:r w:rsidRPr="00D739A7">
              <w:rPr>
                <w:b/>
                <w:bCs/>
              </w:rPr>
              <w:t xml:space="preserve">Percentage (%), </w:t>
            </w:r>
            <w:r w:rsidR="00EF3C3C" w:rsidRPr="00D739A7">
              <w:rPr>
                <w:b/>
                <w:bCs/>
              </w:rPr>
              <w:t>girls</w:t>
            </w:r>
          </w:p>
        </w:tc>
      </w:tr>
      <w:tr w:rsidR="004A6794" w:rsidRPr="00D739A7" w14:paraId="7BC5AC05" w14:textId="77777777" w:rsidTr="008009E3">
        <w:trPr>
          <w:cantSplit/>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40EF6479" w14:textId="4BEC3689" w:rsidR="004A6794" w:rsidRPr="00D739A7" w:rsidRDefault="00E61A02" w:rsidP="004A29D9">
            <w:pPr>
              <w:pStyle w:val="Agency-body-text-report"/>
            </w:pPr>
            <w:r w:rsidRPr="00D739A7">
              <w:t>UK (</w:t>
            </w:r>
            <w:r w:rsidR="004A6794"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3AEE40BC" w14:textId="77777777" w:rsidR="004A6794" w:rsidRPr="00D739A7" w:rsidRDefault="004A6794" w:rsidP="004A29D9">
            <w:pPr>
              <w:pStyle w:val="Agency-body-text-report"/>
            </w:pPr>
            <w:r w:rsidRPr="00D739A7">
              <w:t>0.79</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613650C6" w14:textId="77777777" w:rsidR="004A6794" w:rsidRPr="00D739A7" w:rsidRDefault="004A6794" w:rsidP="004A29D9">
            <w:pPr>
              <w:pStyle w:val="Agency-body-text-report"/>
            </w:pPr>
            <w:r w:rsidRPr="00D739A7">
              <w:t>0.52</w:t>
            </w:r>
          </w:p>
        </w:tc>
      </w:tr>
    </w:tbl>
    <w:p w14:paraId="696531D4" w14:textId="77777777" w:rsidR="004A6794" w:rsidRPr="00D739A7" w:rsidRDefault="004A6794" w:rsidP="004A29D9">
      <w:pPr>
        <w:pStyle w:val="Agency-heading-4-report"/>
      </w:pPr>
      <w:r w:rsidRPr="00D739A7">
        <w:t>Gender distribution of children with an official decision of SEN in non-formal educational settings, based on the population of children with an official decision of SEN (%)</w:t>
      </w:r>
    </w:p>
    <w:p w14:paraId="6A356F26" w14:textId="77777777" w:rsidR="004A6794" w:rsidRPr="00D739A7" w:rsidRDefault="004A6794" w:rsidP="004A29D9">
      <w:pPr>
        <w:pStyle w:val="Agency-body-text-report"/>
        <w:keepNext/>
      </w:pPr>
      <w:r w:rsidRPr="00D739A7">
        <w:t>The gender distributions have been calculated as follows:</w:t>
      </w:r>
    </w:p>
    <w:p w14:paraId="1EF5FC8B" w14:textId="629376A8" w:rsidR="004A6794" w:rsidRPr="00D739A7" w:rsidRDefault="00EF3C3C" w:rsidP="004A29D9">
      <w:pPr>
        <w:pStyle w:val="Agency-body-text-report"/>
      </w:pPr>
      <w:r w:rsidRPr="00D739A7">
        <w:t>Boys</w:t>
      </w:r>
      <w:r w:rsidR="004A6794" w:rsidRPr="00D739A7">
        <w:t>: The number of boys with an official decision of SEN who are educated in non-formal educational settings (Q3.5) / The number of children with an official decision of SEN who are educated in non-formal educational settings (Q3.5) x 100.</w:t>
      </w:r>
    </w:p>
    <w:p w14:paraId="5DE61E03" w14:textId="4E3C06E3" w:rsidR="004A6794" w:rsidRPr="00D739A7" w:rsidRDefault="00EF3C3C" w:rsidP="004A29D9">
      <w:pPr>
        <w:pStyle w:val="Agency-body-text-report"/>
      </w:pPr>
      <w:r w:rsidRPr="00D739A7">
        <w:t>Girls</w:t>
      </w:r>
      <w:r w:rsidR="004A6794" w:rsidRPr="00D739A7">
        <w:t>: The number of girls with an official decision of SEN who are educated in non</w:t>
      </w:r>
      <w:r w:rsidR="00D17061" w:rsidRPr="00D739A7">
        <w:noBreakHyphen/>
      </w:r>
      <w:r w:rsidR="004A6794" w:rsidRPr="00D739A7">
        <w:t>formal educational settings (Q3.5) / The number of children with an official decision of SEN who are educated in non-formal educational settings (Q3.5) x 100.</w:t>
      </w:r>
    </w:p>
    <w:p w14:paraId="2ACB7C5D" w14:textId="471F7D3A" w:rsidR="00D17061" w:rsidRPr="00D739A7" w:rsidRDefault="00D17061" w:rsidP="004A29D9">
      <w:pPr>
        <w:pStyle w:val="Agency-caption-report"/>
      </w:pPr>
      <w:r w:rsidRPr="00D739A7">
        <w:t>Table </w:t>
      </w:r>
      <w:r w:rsidRPr="00D739A7">
        <w:fldChar w:fldCharType="begin"/>
      </w:r>
      <w:r w:rsidRPr="00D739A7">
        <w:instrText xml:space="preserve"> SEQ Table \* ARABIC </w:instrText>
      </w:r>
      <w:r w:rsidRPr="00D739A7">
        <w:fldChar w:fldCharType="separate"/>
      </w:r>
      <w:r w:rsidR="00F74F9D" w:rsidRPr="00D739A7">
        <w:t>6</w:t>
      </w:r>
      <w:r w:rsidRPr="00D739A7">
        <w:fldChar w:fldCharType="end"/>
      </w:r>
      <w:r w:rsidRPr="00D739A7">
        <w:t>. Gender distribution of children with an official decision of SEN in non-formal educational settings, based on the population of children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male percentage, female percentage, Belgium (Flemish speaking community)&#10;59.15&#10;32.41&#10;Belgium (French speaking community)&#10;61.46&#10;34.27&#10;Croatia&#10;3.03&#10;1.96&#10;Cyprus&#10;3.50&#10;2.03&#10;Czech Republic&#10;21.53&#10;13.13&#10;Denmark&#10;26.63&#10;10.22&#10;Estonia&#10;24.80&#10;11.60&#10;Finland&#10;8.6"/>
      </w:tblPr>
      <w:tblGrid>
        <w:gridCol w:w="2964"/>
        <w:gridCol w:w="2978"/>
        <w:gridCol w:w="2978"/>
      </w:tblGrid>
      <w:tr w:rsidR="004A6794" w:rsidRPr="00D739A7" w14:paraId="73CC53FC" w14:textId="77777777" w:rsidTr="004A29D9">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68DB7DB9" w14:textId="77777777" w:rsidR="004A6794" w:rsidRPr="00D739A7" w:rsidRDefault="004A6794"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477322A2" w14:textId="6FE115F8" w:rsidR="004A6794" w:rsidRPr="00D739A7" w:rsidRDefault="004A6794" w:rsidP="004A29D9">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2704876E" w14:textId="2914AD54" w:rsidR="004A6794" w:rsidRPr="00D739A7" w:rsidRDefault="004A6794" w:rsidP="004A29D9">
            <w:pPr>
              <w:pStyle w:val="Agency-body-text-report"/>
              <w:jc w:val="center"/>
              <w:rPr>
                <w:b/>
                <w:bCs/>
              </w:rPr>
            </w:pPr>
            <w:r w:rsidRPr="00D739A7">
              <w:rPr>
                <w:b/>
                <w:bCs/>
              </w:rPr>
              <w:t xml:space="preserve">Percentage (%), </w:t>
            </w:r>
            <w:r w:rsidR="00EF3C3C" w:rsidRPr="00D739A7">
              <w:rPr>
                <w:b/>
                <w:bCs/>
              </w:rPr>
              <w:t>girls</w:t>
            </w:r>
          </w:p>
        </w:tc>
      </w:tr>
      <w:tr w:rsidR="004A6794" w:rsidRPr="00D739A7" w14:paraId="1E186A52" w14:textId="77777777" w:rsidTr="004A29D9">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00BEE043" w14:textId="293C5F42" w:rsidR="004A6794" w:rsidRPr="00D739A7" w:rsidRDefault="00E61A02" w:rsidP="004A29D9">
            <w:pPr>
              <w:pStyle w:val="Agency-body-text-report"/>
            </w:pPr>
            <w:r w:rsidRPr="00D739A7">
              <w:t>UK (</w:t>
            </w:r>
            <w:r w:rsidR="004A6794"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35AE2B9A" w14:textId="77777777" w:rsidR="004A6794" w:rsidRPr="00D739A7" w:rsidRDefault="004A6794" w:rsidP="004A29D9">
            <w:pPr>
              <w:pStyle w:val="Agency-body-text-report"/>
            </w:pPr>
            <w:r w:rsidRPr="00D739A7">
              <w:t>60.00</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75CB94CD" w14:textId="77777777" w:rsidR="004A6794" w:rsidRPr="00D739A7" w:rsidRDefault="004A6794" w:rsidP="004A29D9">
            <w:pPr>
              <w:pStyle w:val="Agency-body-text-report"/>
            </w:pPr>
            <w:r w:rsidRPr="00D739A7">
              <w:t>40.00</w:t>
            </w:r>
          </w:p>
        </w:tc>
      </w:tr>
    </w:tbl>
    <w:p w14:paraId="364ABF8D" w14:textId="720F5A57" w:rsidR="00CF5B26" w:rsidRPr="00D739A7" w:rsidRDefault="00CB5E30" w:rsidP="004A29D9">
      <w:pPr>
        <w:pStyle w:val="Agency-heading-2-report"/>
      </w:pPr>
      <w:bookmarkStart w:id="98" w:name="_Toc35943083"/>
      <w:r w:rsidRPr="00D739A7">
        <w:lastRenderedPageBreak/>
        <w:t xml:space="preserve">2. </w:t>
      </w:r>
      <w:r w:rsidR="00CF5B26" w:rsidRPr="00D739A7">
        <w:t xml:space="preserve">Primary and </w:t>
      </w:r>
      <w:r w:rsidR="00B6483A" w:rsidRPr="00D739A7">
        <w:t>lower</w:t>
      </w:r>
      <w:r w:rsidR="00CF5B26" w:rsidRPr="00D739A7">
        <w:t>-</w:t>
      </w:r>
      <w:r w:rsidR="00B6483A" w:rsidRPr="00D739A7">
        <w:t xml:space="preserve">secondary education </w:t>
      </w:r>
      <w:r w:rsidR="00CF5B26" w:rsidRPr="00D739A7">
        <w:t xml:space="preserve">(ISCED </w:t>
      </w:r>
      <w:r w:rsidR="009B3CF9" w:rsidRPr="00D739A7">
        <w:t>l</w:t>
      </w:r>
      <w:r w:rsidR="00CF5B26" w:rsidRPr="00D739A7">
        <w:t>evels 1 and 2)</w:t>
      </w:r>
      <w:bookmarkEnd w:id="98"/>
    </w:p>
    <w:p w14:paraId="1E21AD01" w14:textId="58CA794A" w:rsidR="00CF5B26" w:rsidRPr="00D739A7" w:rsidRDefault="00436B97" w:rsidP="004A29D9">
      <w:pPr>
        <w:pStyle w:val="Agency-heading-3-report"/>
      </w:pPr>
      <w:bookmarkStart w:id="99" w:name="_Toc35943084"/>
      <w:r w:rsidRPr="00D739A7">
        <w:t>Indicator </w:t>
      </w:r>
      <w:r w:rsidR="00CB5E30" w:rsidRPr="00D739A7">
        <w:t>2.</w:t>
      </w:r>
      <w:r w:rsidRPr="00D739A7">
        <w:t>3</w:t>
      </w:r>
      <w:r w:rsidR="00CF5B26" w:rsidRPr="00D739A7">
        <w:t>b.4: the percentage of learners with an official decision of SEN in non-formal educational settings, based on the enrolled school population (%)</w:t>
      </w:r>
      <w:bookmarkEnd w:id="99"/>
    </w:p>
    <w:p w14:paraId="0CF6AF8C" w14:textId="3EE44970" w:rsidR="00CF5B26" w:rsidRPr="00D739A7" w:rsidRDefault="00CF5B26" w:rsidP="004A29D9">
      <w:pPr>
        <w:pStyle w:val="Agency-body-text-report"/>
      </w:pPr>
      <w:r w:rsidRPr="00D739A7">
        <w:t xml:space="preserve">This indicator has been calculated as follows: The number of learners with an official decision of SEN who are educated in non-formal educational </w:t>
      </w:r>
      <w:r w:rsidR="005A6BB6" w:rsidRPr="00D739A7">
        <w:t>settings</w:t>
      </w:r>
      <w:r w:rsidRPr="00D739A7">
        <w:t xml:space="preserve"> (Q3.5) / The number of learners who are enrolled in all formal educational settings (Q1.2) x 100.</w:t>
      </w:r>
    </w:p>
    <w:p w14:paraId="6EB93977" w14:textId="77777777" w:rsidR="00CF5B26" w:rsidRPr="00D739A7" w:rsidRDefault="00CF5B26" w:rsidP="004A29D9">
      <w:pPr>
        <w:pStyle w:val="Agency-body-text-report"/>
      </w:pPr>
      <w:r w:rsidRPr="00D739A7">
        <w:t>Data on non-formal education is only available for one country, so data for this indicator is presented in tables rather than figures.</w:t>
      </w:r>
    </w:p>
    <w:p w14:paraId="0C73CE1B" w14:textId="5B46A5F9" w:rsidR="00A21B7A" w:rsidRPr="00D739A7" w:rsidRDefault="00A21B7A" w:rsidP="004A29D9">
      <w:pPr>
        <w:pStyle w:val="Agency-caption-report"/>
      </w:pPr>
      <w:r w:rsidRPr="00D739A7">
        <w:t>Table </w:t>
      </w:r>
      <w:r w:rsidRPr="00D739A7">
        <w:fldChar w:fldCharType="begin"/>
      </w:r>
      <w:r w:rsidRPr="00D739A7">
        <w:instrText xml:space="preserve"> SEQ Table \* ARABIC </w:instrText>
      </w:r>
      <w:r w:rsidRPr="00D739A7">
        <w:fldChar w:fldCharType="separate"/>
      </w:r>
      <w:r w:rsidR="00F74F9D" w:rsidRPr="00D739A7">
        <w:t>7</w:t>
      </w:r>
      <w:r w:rsidRPr="00D739A7">
        <w:fldChar w:fldCharType="end"/>
      </w:r>
      <w:r w:rsidRPr="00D739A7">
        <w:t>. Percentage of learners with an official decision of SEN in non-formal educational settings, based on the enrolled school population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7.06&#10;Belgium (French speaking community)&#10;6.44&#10;Croatia&#10;0.25&#10;Cyprus&#10;0.31&#10;Czech Republic&#10;3.20&#10;Denmark&#10;2.03&#10;Estonia&#10;3.07&#10;Finland&#10;0.91&#10;France&#10;0.61&#10;Germany&#10;3.72&#10;Hungary&#10;2.31&#10;Iceland&#10;0.34&#10;Ireland&#10;0.99&#10;Latvia&#10;3.51&#10;Lithuania&#10;1."/>
      </w:tblPr>
      <w:tblGrid>
        <w:gridCol w:w="4460"/>
        <w:gridCol w:w="4460"/>
      </w:tblGrid>
      <w:tr w:rsidR="00CF5B26" w:rsidRPr="00D739A7" w14:paraId="2AEA540E" w14:textId="77777777" w:rsidTr="008009E3">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3CCDE8F4" w14:textId="77777777" w:rsidR="00CF5B26" w:rsidRPr="00D739A7" w:rsidRDefault="00CF5B26" w:rsidP="004A29D9">
            <w:pPr>
              <w:pStyle w:val="Agency-body-text-report"/>
              <w:jc w:val="center"/>
              <w:rPr>
                <w:b/>
                <w:bCs/>
              </w:rPr>
            </w:pPr>
            <w:r w:rsidRPr="00D739A7">
              <w:rPr>
                <w:b/>
                <w:bCs/>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426EACDC" w14:textId="77777777" w:rsidR="00CF5B26" w:rsidRPr="00D739A7" w:rsidRDefault="00CF5B26" w:rsidP="004A29D9">
            <w:pPr>
              <w:pStyle w:val="Agency-body-text-report"/>
              <w:jc w:val="center"/>
              <w:rPr>
                <w:b/>
                <w:bCs/>
              </w:rPr>
            </w:pPr>
            <w:r w:rsidRPr="00D739A7">
              <w:rPr>
                <w:b/>
                <w:bCs/>
              </w:rPr>
              <w:t>Percentage (%)</w:t>
            </w:r>
          </w:p>
        </w:tc>
      </w:tr>
      <w:tr w:rsidR="00CF5B26" w:rsidRPr="00D739A7" w14:paraId="0A446985" w14:textId="77777777" w:rsidTr="008009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AA778A5" w14:textId="4B3EA2F2" w:rsidR="00CF5B26" w:rsidRPr="00D739A7" w:rsidRDefault="00E61A02" w:rsidP="004A29D9">
            <w:pPr>
              <w:pStyle w:val="Agency-body-text-report"/>
            </w:pPr>
            <w:r w:rsidRPr="00D739A7">
              <w:t>UK (</w:t>
            </w:r>
            <w:r w:rsidR="00CF5B26" w:rsidRPr="00D739A7">
              <w:t>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5CC50CD" w14:textId="77777777" w:rsidR="00CF5B26" w:rsidRPr="00D739A7" w:rsidRDefault="00CF5B26" w:rsidP="004A29D9">
            <w:pPr>
              <w:pStyle w:val="Agency-body-text-report"/>
            </w:pPr>
            <w:r w:rsidRPr="00D739A7">
              <w:t>0.10</w:t>
            </w:r>
          </w:p>
        </w:tc>
      </w:tr>
    </w:tbl>
    <w:p w14:paraId="7D90CAC3" w14:textId="77777777" w:rsidR="00CF5B26" w:rsidRPr="00D739A7" w:rsidRDefault="00CF5B26" w:rsidP="004A29D9">
      <w:pPr>
        <w:pStyle w:val="Agency-heading-4-report"/>
      </w:pPr>
      <w:r w:rsidRPr="00D739A7">
        <w:t>Gender breakdown of learners with an official decision of SEN in non-formal educational settings, based on the enrolled school population (%)</w:t>
      </w:r>
    </w:p>
    <w:p w14:paraId="36BF8491" w14:textId="77777777" w:rsidR="00CF5B26" w:rsidRPr="00D739A7" w:rsidRDefault="00CF5B26" w:rsidP="004A29D9">
      <w:pPr>
        <w:pStyle w:val="Agency-body-text-report"/>
        <w:keepNext/>
      </w:pPr>
      <w:r w:rsidRPr="00D739A7">
        <w:t>The gender breakdowns have been calculated as follows:</w:t>
      </w:r>
    </w:p>
    <w:p w14:paraId="6C4D6D8A" w14:textId="39B7BE62" w:rsidR="00CF5B26" w:rsidRPr="00D739A7" w:rsidRDefault="00EF3C3C" w:rsidP="004A29D9">
      <w:pPr>
        <w:pStyle w:val="Agency-body-text-report"/>
      </w:pPr>
      <w:r w:rsidRPr="00D739A7">
        <w:t>Boys</w:t>
      </w:r>
      <w:r w:rsidR="00CF5B26" w:rsidRPr="00D739A7">
        <w:t xml:space="preserve">: The number of boys with an official decision of SEN who are educated in non-formal educational </w:t>
      </w:r>
      <w:r w:rsidR="005A6BB6" w:rsidRPr="00D739A7">
        <w:t>settings</w:t>
      </w:r>
      <w:r w:rsidR="00CF5B26" w:rsidRPr="00D739A7">
        <w:t xml:space="preserve"> (</w:t>
      </w:r>
      <w:r w:rsidR="007237E0" w:rsidRPr="00D739A7">
        <w:t>Q3</w:t>
      </w:r>
      <w:r w:rsidR="00CF5B26" w:rsidRPr="00D739A7">
        <w:t>.5) / The number of learners who are enrolled in all formal educational settings (Q1.2) x 100.</w:t>
      </w:r>
    </w:p>
    <w:p w14:paraId="7170302E" w14:textId="459CCC9C" w:rsidR="00CF5B26" w:rsidRPr="00D739A7" w:rsidRDefault="00EF3C3C" w:rsidP="004A29D9">
      <w:pPr>
        <w:pStyle w:val="Agency-body-text-report"/>
      </w:pPr>
      <w:r w:rsidRPr="00D739A7">
        <w:t>Girls</w:t>
      </w:r>
      <w:r w:rsidR="00CF5B26" w:rsidRPr="00D739A7">
        <w:t>: The number of girls with an official decision of SEN who are educated in non</w:t>
      </w:r>
      <w:r w:rsidR="00C84D2F" w:rsidRPr="00D739A7">
        <w:noBreakHyphen/>
      </w:r>
      <w:r w:rsidR="00CF5B26" w:rsidRPr="00D739A7">
        <w:t xml:space="preserve">formal educational </w:t>
      </w:r>
      <w:r w:rsidR="005A6BB6" w:rsidRPr="00D739A7">
        <w:t>settings</w:t>
      </w:r>
      <w:r w:rsidR="00CF5B26" w:rsidRPr="00D739A7">
        <w:t xml:space="preserve"> (</w:t>
      </w:r>
      <w:r w:rsidR="007237E0" w:rsidRPr="00D739A7">
        <w:t>Q3</w:t>
      </w:r>
      <w:r w:rsidR="00CF5B26" w:rsidRPr="00D739A7">
        <w:t>.5) / The number of learners who are enrolled in all formal educational settings (Q1.2) x 100.</w:t>
      </w:r>
    </w:p>
    <w:p w14:paraId="17156892" w14:textId="2FEE2680" w:rsidR="00C84D2F" w:rsidRPr="00D739A7" w:rsidRDefault="00C84D2F" w:rsidP="004A29D9">
      <w:pPr>
        <w:pStyle w:val="Agency-caption-report"/>
      </w:pPr>
      <w:r w:rsidRPr="00D739A7">
        <w:t>Table </w:t>
      </w:r>
      <w:r w:rsidRPr="00D739A7">
        <w:fldChar w:fldCharType="begin"/>
      </w:r>
      <w:r w:rsidRPr="00D739A7">
        <w:instrText xml:space="preserve"> SEQ Table \* ARABIC </w:instrText>
      </w:r>
      <w:r w:rsidRPr="00D739A7">
        <w:fldChar w:fldCharType="separate"/>
      </w:r>
      <w:r w:rsidR="00F74F9D" w:rsidRPr="00D739A7">
        <w:t>8</w:t>
      </w:r>
      <w:r w:rsidRPr="00D739A7">
        <w:fldChar w:fldCharType="end"/>
      </w:r>
      <w:r w:rsidRPr="00D739A7">
        <w:t>. Gender breakdown of learners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CF5B26" w:rsidRPr="00D739A7" w14:paraId="448ACE83" w14:textId="77777777" w:rsidTr="008009E3">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17D8FD00" w14:textId="77777777" w:rsidR="00CF5B26" w:rsidRPr="00D739A7" w:rsidRDefault="00CF5B26"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7A6EB559" w14:textId="5FE48B1A" w:rsidR="00CF5B26" w:rsidRPr="00D739A7" w:rsidRDefault="00CF5B26" w:rsidP="004A29D9">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04301B0F" w14:textId="5DB9434E" w:rsidR="00CF5B26" w:rsidRPr="00D739A7" w:rsidRDefault="00CF5B26" w:rsidP="004A29D9">
            <w:pPr>
              <w:pStyle w:val="Agency-body-text-report"/>
              <w:jc w:val="center"/>
              <w:rPr>
                <w:b/>
                <w:bCs/>
              </w:rPr>
            </w:pPr>
            <w:r w:rsidRPr="00D739A7">
              <w:rPr>
                <w:b/>
                <w:bCs/>
              </w:rPr>
              <w:t xml:space="preserve">Percentage (%), </w:t>
            </w:r>
            <w:r w:rsidR="00EF3C3C" w:rsidRPr="00D739A7">
              <w:rPr>
                <w:b/>
                <w:bCs/>
              </w:rPr>
              <w:t>girls</w:t>
            </w:r>
          </w:p>
        </w:tc>
      </w:tr>
      <w:tr w:rsidR="00CF5B26" w:rsidRPr="00D739A7" w14:paraId="2F50522E" w14:textId="77777777" w:rsidTr="008009E3">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1C215D0C" w14:textId="73FF2A64"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46FB4696" w14:textId="77777777" w:rsidR="00CF5B26" w:rsidRPr="00D739A7" w:rsidRDefault="00CF5B26" w:rsidP="004A29D9">
            <w:pPr>
              <w:pStyle w:val="Agency-body-text-report"/>
            </w:pPr>
            <w:r w:rsidRPr="00D739A7">
              <w:t>0.08</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30CFCF4C" w14:textId="77777777" w:rsidR="00CF5B26" w:rsidRPr="00D739A7" w:rsidRDefault="00CF5B26" w:rsidP="004A29D9">
            <w:pPr>
              <w:pStyle w:val="Agency-body-text-report"/>
            </w:pPr>
            <w:r w:rsidRPr="00D739A7">
              <w:t>0.02</w:t>
            </w:r>
          </w:p>
        </w:tc>
      </w:tr>
    </w:tbl>
    <w:p w14:paraId="376D71B3" w14:textId="77777777" w:rsidR="00CF5B26" w:rsidRPr="00D739A7" w:rsidRDefault="00CF5B26" w:rsidP="004A29D9">
      <w:pPr>
        <w:pStyle w:val="Agency-heading-4-report"/>
      </w:pPr>
      <w:r w:rsidRPr="00D739A7">
        <w:t>Gender distribution of learners with an official decision of SEN in non-formal educational settings, based on the enrolled school population (%)</w:t>
      </w:r>
    </w:p>
    <w:p w14:paraId="7CAFA256" w14:textId="77777777" w:rsidR="00CF5B26" w:rsidRPr="00D739A7" w:rsidRDefault="00CF5B26" w:rsidP="004A29D9">
      <w:pPr>
        <w:pStyle w:val="Agency-body-text-report"/>
        <w:keepNext/>
      </w:pPr>
      <w:r w:rsidRPr="00D739A7">
        <w:t>The gender distributions have been calculated as follows:</w:t>
      </w:r>
    </w:p>
    <w:p w14:paraId="78F3B3ED" w14:textId="43ED263F" w:rsidR="00CF5B26" w:rsidRPr="00D739A7" w:rsidRDefault="00EF3C3C" w:rsidP="004A29D9">
      <w:pPr>
        <w:pStyle w:val="Agency-body-text-report"/>
      </w:pPr>
      <w:r w:rsidRPr="00D739A7">
        <w:t>Boys</w:t>
      </w:r>
      <w:r w:rsidR="00CF5B26" w:rsidRPr="00D739A7">
        <w:t xml:space="preserve">: The number of boys with an official decision of SEN who are educated in non-formal educational </w:t>
      </w:r>
      <w:r w:rsidR="005A6BB6" w:rsidRPr="00D739A7">
        <w:t>settings</w:t>
      </w:r>
      <w:r w:rsidR="00CF5B26" w:rsidRPr="00D739A7">
        <w:t xml:space="preserve"> (</w:t>
      </w:r>
      <w:r w:rsidR="007237E0" w:rsidRPr="00D739A7">
        <w:t>Q3</w:t>
      </w:r>
      <w:r w:rsidR="00CF5B26" w:rsidRPr="00D739A7">
        <w:t xml:space="preserve">.5) / The number of learners with an official decision of SEN who are educated in non-formal educational </w:t>
      </w:r>
      <w:r w:rsidR="005A6BB6" w:rsidRPr="00D739A7">
        <w:t>settings</w:t>
      </w:r>
      <w:r w:rsidR="00CF5B26" w:rsidRPr="00D739A7">
        <w:t xml:space="preserve"> (Q3.5) x 100.</w:t>
      </w:r>
    </w:p>
    <w:p w14:paraId="384A8083" w14:textId="6D84E784" w:rsidR="00CF5B26" w:rsidRPr="00D739A7" w:rsidRDefault="00EF3C3C" w:rsidP="004A29D9">
      <w:pPr>
        <w:pStyle w:val="Agency-body-text-report"/>
      </w:pPr>
      <w:r w:rsidRPr="00D739A7">
        <w:lastRenderedPageBreak/>
        <w:t>Girls</w:t>
      </w:r>
      <w:r w:rsidR="00CF5B26" w:rsidRPr="00D739A7">
        <w:t xml:space="preserve">: The number of girls with an official decision of SEN who are educated in non-formal educational </w:t>
      </w:r>
      <w:r w:rsidR="005A6BB6" w:rsidRPr="00D739A7">
        <w:t>settings</w:t>
      </w:r>
      <w:r w:rsidR="00CF5B26" w:rsidRPr="00D739A7">
        <w:t xml:space="preserve"> (</w:t>
      </w:r>
      <w:r w:rsidR="007237E0" w:rsidRPr="00D739A7">
        <w:t>Q3</w:t>
      </w:r>
      <w:r w:rsidR="00CF5B26" w:rsidRPr="00D739A7">
        <w:t xml:space="preserve">.5) / The number of learners with an official decision of SEN who are educated in non-formal educational </w:t>
      </w:r>
      <w:r w:rsidR="005A6BB6" w:rsidRPr="00D739A7">
        <w:t>settings</w:t>
      </w:r>
      <w:r w:rsidR="00CF5B26" w:rsidRPr="00D739A7">
        <w:t xml:space="preserve"> (Q3.5) x 100.</w:t>
      </w:r>
    </w:p>
    <w:p w14:paraId="68372BF2" w14:textId="1CA69CCB" w:rsidR="00B65775" w:rsidRPr="00D739A7" w:rsidRDefault="00B65775" w:rsidP="004A29D9">
      <w:pPr>
        <w:pStyle w:val="Agency-caption-report"/>
      </w:pPr>
      <w:r w:rsidRPr="00D739A7">
        <w:t>Table </w:t>
      </w:r>
      <w:r w:rsidRPr="00D739A7">
        <w:fldChar w:fldCharType="begin"/>
      </w:r>
      <w:r w:rsidRPr="00D739A7">
        <w:instrText xml:space="preserve"> SEQ Table \* ARABIC </w:instrText>
      </w:r>
      <w:r w:rsidRPr="00D739A7">
        <w:fldChar w:fldCharType="separate"/>
      </w:r>
      <w:r w:rsidR="00F74F9D" w:rsidRPr="00D739A7">
        <w:t>9</w:t>
      </w:r>
      <w:r w:rsidRPr="00D739A7">
        <w:fldChar w:fldCharType="end"/>
      </w:r>
      <w:r w:rsidRPr="00D739A7">
        <w:t>. Gender distribution of learners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CF5B26" w:rsidRPr="00D739A7" w14:paraId="411F8C01" w14:textId="77777777" w:rsidTr="008009E3">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790E14F1" w14:textId="77777777" w:rsidR="00CF5B26" w:rsidRPr="00D739A7" w:rsidRDefault="00CF5B26"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2C4668CC" w14:textId="0298789E" w:rsidR="00CF5B26" w:rsidRPr="00D739A7" w:rsidRDefault="00CF5B26" w:rsidP="004A29D9">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242F2EB5" w14:textId="2E57E518" w:rsidR="00CF5B26" w:rsidRPr="00D739A7" w:rsidRDefault="00CF5B26" w:rsidP="004A29D9">
            <w:pPr>
              <w:pStyle w:val="Agency-body-text-report"/>
              <w:jc w:val="center"/>
              <w:rPr>
                <w:b/>
                <w:bCs/>
              </w:rPr>
            </w:pPr>
            <w:r w:rsidRPr="00D739A7">
              <w:rPr>
                <w:b/>
                <w:bCs/>
              </w:rPr>
              <w:t xml:space="preserve">Percentage (%), </w:t>
            </w:r>
            <w:r w:rsidR="00EF3C3C" w:rsidRPr="00D739A7">
              <w:rPr>
                <w:b/>
                <w:bCs/>
              </w:rPr>
              <w:t>girls</w:t>
            </w:r>
          </w:p>
        </w:tc>
      </w:tr>
      <w:tr w:rsidR="00CF5B26" w:rsidRPr="00D739A7" w14:paraId="3D6EF543" w14:textId="77777777" w:rsidTr="008009E3">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24AC951" w14:textId="2E59D2C3"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3A1A2927" w14:textId="77777777" w:rsidR="00CF5B26" w:rsidRPr="00D739A7" w:rsidRDefault="00CF5B26" w:rsidP="004A29D9">
            <w:pPr>
              <w:pStyle w:val="Agency-body-text-report"/>
            </w:pPr>
            <w:r w:rsidRPr="00D739A7">
              <w:t>79.46</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18A99968" w14:textId="77777777" w:rsidR="00CF5B26" w:rsidRPr="00D739A7" w:rsidRDefault="00CF5B26" w:rsidP="004A29D9">
            <w:pPr>
              <w:pStyle w:val="Agency-body-text-report"/>
            </w:pPr>
            <w:r w:rsidRPr="00D739A7">
              <w:t>20.54</w:t>
            </w:r>
          </w:p>
        </w:tc>
      </w:tr>
    </w:tbl>
    <w:p w14:paraId="64C3D3F2" w14:textId="77777777" w:rsidR="00CF5B26" w:rsidRPr="00D739A7" w:rsidRDefault="00CF5B26" w:rsidP="004A29D9">
      <w:pPr>
        <w:pStyle w:val="Agency-heading-4-report"/>
      </w:pPr>
      <w:r w:rsidRPr="00D739A7">
        <w:t>ISCED breakdown of learners with an official decision of SEN in non-formal educational settings, based on the enrolled school population (%)</w:t>
      </w:r>
    </w:p>
    <w:p w14:paraId="47A6C521" w14:textId="77777777" w:rsidR="00CF5B26" w:rsidRPr="00D739A7" w:rsidRDefault="00CF5B26" w:rsidP="004A29D9">
      <w:pPr>
        <w:pStyle w:val="Agency-body-text-report"/>
        <w:keepNext/>
      </w:pPr>
      <w:r w:rsidRPr="00D739A7">
        <w:t>The ISCED breakdowns have been calculated as follows:</w:t>
      </w:r>
    </w:p>
    <w:p w14:paraId="63E55123" w14:textId="1EB2A8BE" w:rsidR="00CF5B26" w:rsidRPr="00D739A7" w:rsidRDefault="00CF5B26" w:rsidP="004A29D9">
      <w:pPr>
        <w:pStyle w:val="Agency-body-text-report"/>
        <w:rPr>
          <w:rFonts w:cs="Calibri"/>
        </w:rPr>
      </w:pPr>
      <w:r w:rsidRPr="00D739A7">
        <w:rPr>
          <w:rFonts w:cs="Calibri"/>
        </w:rPr>
        <w:t xml:space="preserve">ISCED 1: The number of learners in ISCED 1 with an official decision of SEN who are educated in non-formal educational </w:t>
      </w:r>
      <w:r w:rsidR="005A6BB6" w:rsidRPr="00D739A7">
        <w:rPr>
          <w:rFonts w:cs="Calibri"/>
        </w:rPr>
        <w:t>settings</w:t>
      </w:r>
      <w:r w:rsidRPr="00D739A7">
        <w:rPr>
          <w:rFonts w:cs="Calibri"/>
        </w:rPr>
        <w:t xml:space="preserve"> (Q3.5) / The number of learners who are enrolled in all formal educational settings (Q1.2) x 100.</w:t>
      </w:r>
    </w:p>
    <w:p w14:paraId="6F6696DC" w14:textId="7104407A" w:rsidR="00CF5B26" w:rsidRPr="00D739A7" w:rsidRDefault="00CF5B26" w:rsidP="004A29D9">
      <w:pPr>
        <w:pStyle w:val="Agency-body-text-report"/>
        <w:rPr>
          <w:rFonts w:cs="Calibri"/>
        </w:rPr>
      </w:pPr>
      <w:r w:rsidRPr="00D739A7">
        <w:rPr>
          <w:rFonts w:cs="Calibri"/>
        </w:rPr>
        <w:t xml:space="preserve">ISCED 2: The number of learners in ISCED 2 with an official decision of SEN who are educated in non-formal educational </w:t>
      </w:r>
      <w:r w:rsidR="005A6BB6" w:rsidRPr="00D739A7">
        <w:rPr>
          <w:rFonts w:cs="Calibri"/>
        </w:rPr>
        <w:t>settings</w:t>
      </w:r>
      <w:r w:rsidRPr="00D739A7">
        <w:rPr>
          <w:rFonts w:cs="Calibri"/>
        </w:rPr>
        <w:t xml:space="preserve"> (Q3.5) / The number of learners who are enrolled in all formal educational settings (Q1.2) x 100.</w:t>
      </w:r>
    </w:p>
    <w:p w14:paraId="7C09D999" w14:textId="4FADA114" w:rsidR="00E61A02" w:rsidRPr="00D739A7" w:rsidRDefault="00E61A02" w:rsidP="004A29D9">
      <w:pPr>
        <w:pStyle w:val="Agency-caption-report"/>
      </w:pPr>
      <w:r w:rsidRPr="00D739A7">
        <w:t>Table</w:t>
      </w:r>
      <w:r w:rsidR="006874C1" w:rsidRPr="00D739A7">
        <w:t> </w:t>
      </w:r>
      <w:r w:rsidRPr="00D739A7">
        <w:fldChar w:fldCharType="begin"/>
      </w:r>
      <w:r w:rsidRPr="00D739A7">
        <w:instrText xml:space="preserve"> SEQ Table \* ARABIC </w:instrText>
      </w:r>
      <w:r w:rsidRPr="00D739A7">
        <w:fldChar w:fldCharType="separate"/>
      </w:r>
      <w:r w:rsidR="00F74F9D" w:rsidRPr="00D739A7">
        <w:t>10</w:t>
      </w:r>
      <w:r w:rsidRPr="00D739A7">
        <w:fldChar w:fldCharType="end"/>
      </w:r>
      <w:r w:rsidRPr="00D739A7">
        <w:t>. ISCED breakdown of learners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ISCED 1 percentage and ISCED 2 percentage, Belgium (Flemish speaking community)&#10;4.19&#10;2.87&#10;Belgium (French speaking community)&#10;3.58&#10;2.86&#10;Croatia&#10;0.11&#10;0.14&#10;Cyprus&#10;0.18&#10;0.13&#10;Czech Republic&#10;1.40&#10;1.80&#10;Denmark&#10;1.05&#10;0.98&#10;Estonia&#10;1.59&#10;1."/>
      </w:tblPr>
      <w:tblGrid>
        <w:gridCol w:w="2964"/>
        <w:gridCol w:w="2978"/>
        <w:gridCol w:w="2978"/>
      </w:tblGrid>
      <w:tr w:rsidR="00CF5B26" w:rsidRPr="00D739A7" w14:paraId="7570910E" w14:textId="77777777" w:rsidTr="008009E3">
        <w:trPr>
          <w:cantSplit/>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6A68CC2F" w14:textId="77777777" w:rsidR="00CF5B26" w:rsidRPr="00D739A7" w:rsidRDefault="00CF5B26"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516E0615" w14:textId="77777777" w:rsidR="00CF5B26" w:rsidRPr="00D739A7" w:rsidRDefault="00CF5B26" w:rsidP="004A29D9">
            <w:pPr>
              <w:pStyle w:val="Agency-body-text-report"/>
              <w:jc w:val="center"/>
              <w:rPr>
                <w:b/>
                <w:bCs/>
              </w:rPr>
            </w:pPr>
            <w:r w:rsidRPr="00D739A7">
              <w:rPr>
                <w:b/>
                <w:bCs/>
              </w:rPr>
              <w:t>Percentage (%), ISCED 1</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04EC39C3" w14:textId="77777777" w:rsidR="00CF5B26" w:rsidRPr="00D739A7" w:rsidRDefault="00CF5B26" w:rsidP="004A29D9">
            <w:pPr>
              <w:pStyle w:val="Agency-body-text-report"/>
              <w:jc w:val="center"/>
              <w:rPr>
                <w:b/>
                <w:bCs/>
              </w:rPr>
            </w:pPr>
            <w:r w:rsidRPr="00D739A7">
              <w:rPr>
                <w:b/>
                <w:bCs/>
              </w:rPr>
              <w:t>Percentage (%), ISCED 2</w:t>
            </w:r>
          </w:p>
        </w:tc>
      </w:tr>
      <w:tr w:rsidR="00CF5B26" w:rsidRPr="00D739A7" w14:paraId="0CC25385" w14:textId="77777777" w:rsidTr="008009E3">
        <w:trPr>
          <w:cantSplit/>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A79AE28" w14:textId="04639ACD"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291B4046" w14:textId="77777777" w:rsidR="00CF5B26" w:rsidRPr="00D739A7" w:rsidRDefault="00CF5B26" w:rsidP="004A29D9">
            <w:pPr>
              <w:pStyle w:val="Agency-body-text-report"/>
            </w:pPr>
            <w:r w:rsidRPr="00D739A7">
              <w:t>0.02</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157D8E21" w14:textId="77777777" w:rsidR="00CF5B26" w:rsidRPr="00D739A7" w:rsidRDefault="00CF5B26" w:rsidP="004A29D9">
            <w:pPr>
              <w:pStyle w:val="Agency-body-text-report"/>
            </w:pPr>
            <w:r w:rsidRPr="00D739A7">
              <w:t>0.08</w:t>
            </w:r>
          </w:p>
        </w:tc>
      </w:tr>
    </w:tbl>
    <w:p w14:paraId="160ACC64" w14:textId="77777777" w:rsidR="00CF5B26" w:rsidRPr="00D739A7" w:rsidRDefault="00CF5B26" w:rsidP="004A29D9">
      <w:pPr>
        <w:pStyle w:val="Agency-heading-4-report"/>
      </w:pPr>
      <w:r w:rsidRPr="00D739A7">
        <w:t>ISCED distribution of learners with an official decision of SEN in non-formal educational settings, based on the enrolled school population within ISCED 1 and ISCED 2 (%)</w:t>
      </w:r>
    </w:p>
    <w:p w14:paraId="374FDF36" w14:textId="77777777" w:rsidR="00CF5B26" w:rsidRPr="00D739A7" w:rsidRDefault="00CF5B26" w:rsidP="004A29D9">
      <w:pPr>
        <w:pStyle w:val="Agency-body-text-report"/>
        <w:keepNext/>
      </w:pPr>
      <w:r w:rsidRPr="00D739A7">
        <w:t>The ISCED distributions have been calculated as follows:</w:t>
      </w:r>
    </w:p>
    <w:p w14:paraId="0E32EE04" w14:textId="35F8BA24" w:rsidR="00CF5B26" w:rsidRPr="00D739A7" w:rsidRDefault="00CF5B26" w:rsidP="004A29D9">
      <w:pPr>
        <w:pStyle w:val="Agency-body-text-report"/>
      </w:pPr>
      <w:r w:rsidRPr="00D739A7">
        <w:t xml:space="preserve">ISCED 1: The number of learners in ISCED 1 with an official decision of SEN who are educated in non-formal educational </w:t>
      </w:r>
      <w:r w:rsidR="005A6BB6" w:rsidRPr="00D739A7">
        <w:t>settings</w:t>
      </w:r>
      <w:r w:rsidRPr="00D739A7">
        <w:t xml:space="preserve"> (Q3.5) / The number of learners in ISCED 1 who are enrolled in all formal educational settings (Q1.2) x 100.</w:t>
      </w:r>
    </w:p>
    <w:p w14:paraId="52E1C94C" w14:textId="2209BCEA" w:rsidR="00CF5B26" w:rsidRPr="00D739A7" w:rsidRDefault="00CF5B26" w:rsidP="004A29D9">
      <w:pPr>
        <w:pStyle w:val="Agency-body-text-report"/>
      </w:pPr>
      <w:r w:rsidRPr="00D739A7">
        <w:t xml:space="preserve">ISCED 2: The number of learners in ISCED 2 with an official decision of SEN who are educated in non-formal educational </w:t>
      </w:r>
      <w:r w:rsidR="005A6BB6" w:rsidRPr="00D739A7">
        <w:t>settings</w:t>
      </w:r>
      <w:r w:rsidRPr="00D739A7">
        <w:t xml:space="preserve"> (Q3.5) / The number of learners in ISCED 2 who are enrolled in all formal educational settings (Q1.2) x 100.</w:t>
      </w:r>
    </w:p>
    <w:p w14:paraId="7A9B931C" w14:textId="65CBD0B5" w:rsidR="00CC492F" w:rsidRPr="00D739A7" w:rsidRDefault="00CC492F" w:rsidP="00F74F9D">
      <w:pPr>
        <w:pStyle w:val="Agency-caption-report"/>
        <w:keepNext/>
      </w:pPr>
      <w:r w:rsidRPr="00D739A7">
        <w:lastRenderedPageBreak/>
        <w:t>Table</w:t>
      </w:r>
      <w:r w:rsidR="006874C1" w:rsidRPr="00D739A7">
        <w:t> </w:t>
      </w:r>
      <w:r w:rsidRPr="00D739A7">
        <w:fldChar w:fldCharType="begin"/>
      </w:r>
      <w:r w:rsidRPr="00D739A7">
        <w:instrText xml:space="preserve"> SEQ Table \* ARABIC </w:instrText>
      </w:r>
      <w:r w:rsidRPr="00D739A7">
        <w:fldChar w:fldCharType="separate"/>
      </w:r>
      <w:r w:rsidR="00F74F9D" w:rsidRPr="00D739A7">
        <w:t>11</w:t>
      </w:r>
      <w:r w:rsidRPr="00D739A7">
        <w:fldChar w:fldCharType="end"/>
      </w:r>
      <w:r w:rsidRPr="00D739A7">
        <w:t>. ISCED distribution of learners with an official decision of SEN in non-formal educational settings, based on the enrolled school population within ISCED 1 and ISCED 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ISCED 1 percentage and ISCED 2 percentage, Belgium (Flemish speaking community)&#10;4.19&#10;2.87&#10;Belgium (French speaking community)&#10;3.58&#10;2.86&#10;Croatia&#10;0.11&#10;0.14&#10;Cyprus&#10;0.18&#10;0.13&#10;Czech Republic&#10;1.40&#10;1.80&#10;Denmark&#10;1.05&#10;0.98&#10;Estonia&#10;1.59&#10;1."/>
      </w:tblPr>
      <w:tblGrid>
        <w:gridCol w:w="2964"/>
        <w:gridCol w:w="2978"/>
        <w:gridCol w:w="2978"/>
      </w:tblGrid>
      <w:tr w:rsidR="00CF5B26" w:rsidRPr="00D739A7" w14:paraId="593C6A63" w14:textId="77777777" w:rsidTr="008009E3">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48F37872" w14:textId="77777777" w:rsidR="00CF5B26" w:rsidRPr="00D739A7" w:rsidRDefault="00CF5B26"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3F609B7C" w14:textId="77777777" w:rsidR="00CF5B26" w:rsidRPr="00D739A7" w:rsidRDefault="00CF5B26" w:rsidP="004A29D9">
            <w:pPr>
              <w:pStyle w:val="Agency-body-text-report"/>
              <w:jc w:val="center"/>
              <w:rPr>
                <w:b/>
                <w:bCs/>
              </w:rPr>
            </w:pPr>
            <w:r w:rsidRPr="00D739A7">
              <w:rPr>
                <w:b/>
                <w:bCs/>
              </w:rPr>
              <w:t>Percentage (%), ISCED 1</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7839B75D" w14:textId="77777777" w:rsidR="00CF5B26" w:rsidRPr="00D739A7" w:rsidRDefault="00CF5B26" w:rsidP="004A29D9">
            <w:pPr>
              <w:pStyle w:val="Agency-body-text-report"/>
              <w:jc w:val="center"/>
              <w:rPr>
                <w:b/>
                <w:bCs/>
              </w:rPr>
            </w:pPr>
            <w:r w:rsidRPr="00D739A7">
              <w:rPr>
                <w:b/>
                <w:bCs/>
              </w:rPr>
              <w:t>Percentage (%), ISCED 2</w:t>
            </w:r>
          </w:p>
        </w:tc>
      </w:tr>
      <w:tr w:rsidR="00CF5B26" w:rsidRPr="00D739A7" w14:paraId="2E1EC73E" w14:textId="77777777" w:rsidTr="008009E3">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DCA3EB0" w14:textId="25B8BB6C"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52D3E743" w14:textId="77777777" w:rsidR="00CF5B26" w:rsidRPr="00D739A7" w:rsidRDefault="00CF5B26" w:rsidP="004A29D9">
            <w:pPr>
              <w:pStyle w:val="Agency-body-text-report"/>
            </w:pPr>
            <w:r w:rsidRPr="00D739A7">
              <w:t>0.04</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265BE2F6" w14:textId="77777777" w:rsidR="00CF5B26" w:rsidRPr="00D739A7" w:rsidRDefault="00CF5B26" w:rsidP="004A29D9">
            <w:pPr>
              <w:pStyle w:val="Agency-body-text-report"/>
            </w:pPr>
            <w:r w:rsidRPr="00D739A7">
              <w:t>0.18</w:t>
            </w:r>
          </w:p>
        </w:tc>
      </w:tr>
    </w:tbl>
    <w:p w14:paraId="1B8D60AD" w14:textId="7BD6C435" w:rsidR="00CF5B26" w:rsidRPr="00D739A7" w:rsidRDefault="00436B97" w:rsidP="004A29D9">
      <w:pPr>
        <w:pStyle w:val="Agency-heading-3-report"/>
      </w:pPr>
      <w:bookmarkStart w:id="100" w:name="_Toc35943085"/>
      <w:r w:rsidRPr="00D739A7">
        <w:t>Indicator </w:t>
      </w:r>
      <w:r w:rsidR="00CB5E30" w:rsidRPr="00D739A7">
        <w:t>2.</w:t>
      </w:r>
      <w:r w:rsidRPr="00D739A7">
        <w:t>3</w:t>
      </w:r>
      <w:r w:rsidR="00CF5B26" w:rsidRPr="00D739A7">
        <w:t xml:space="preserve">c.4: the percentage of learners with an official decision of SEN in non-formal educational settings, based on the population of learners with an official decision of </w:t>
      </w:r>
      <w:r w:rsidR="00CC492F" w:rsidRPr="00D739A7">
        <w:t>SEN </w:t>
      </w:r>
      <w:r w:rsidR="00CF5B26" w:rsidRPr="00D739A7">
        <w:t>(%)</w:t>
      </w:r>
      <w:bookmarkEnd w:id="100"/>
    </w:p>
    <w:p w14:paraId="19C29515" w14:textId="77777777" w:rsidR="00CF5B26" w:rsidRPr="00D739A7" w:rsidRDefault="00CF5B26" w:rsidP="004A29D9">
      <w:pPr>
        <w:pStyle w:val="Agency-body-text-report"/>
      </w:pPr>
      <w:r w:rsidRPr="00D739A7">
        <w:t>This indicator has been calculated as follows: The number of learners with an official decision of SEN who are educated in non-formal educational settings (Q3.5) / The number of learners with an official decision of SEN (Q3.1) x 100.</w:t>
      </w:r>
    </w:p>
    <w:p w14:paraId="58DDFE00" w14:textId="77777777" w:rsidR="00CF5B26" w:rsidRPr="00D739A7" w:rsidRDefault="00CF5B26" w:rsidP="004A29D9">
      <w:pPr>
        <w:pStyle w:val="Agency-body-text-report"/>
      </w:pPr>
      <w:r w:rsidRPr="00D739A7">
        <w:t>Data on non-formal education is only available for one country, so data for this indicator is presented in tables rather than figures.</w:t>
      </w:r>
    </w:p>
    <w:p w14:paraId="5E8DABDE" w14:textId="5E58D84F" w:rsidR="00CC492F" w:rsidRPr="00D739A7" w:rsidRDefault="00CC492F" w:rsidP="004A29D9">
      <w:pPr>
        <w:pStyle w:val="Agency-caption-report"/>
      </w:pPr>
      <w:r w:rsidRPr="00D739A7">
        <w:t>Table</w:t>
      </w:r>
      <w:r w:rsidR="006874C1" w:rsidRPr="00D739A7">
        <w:t> </w:t>
      </w:r>
      <w:r w:rsidRPr="00D739A7">
        <w:fldChar w:fldCharType="begin"/>
      </w:r>
      <w:r w:rsidRPr="00D739A7">
        <w:instrText xml:space="preserve"> SEQ Table \* ARABIC </w:instrText>
      </w:r>
      <w:r w:rsidRPr="00D739A7">
        <w:fldChar w:fldCharType="separate"/>
      </w:r>
      <w:r w:rsidR="00F74F9D" w:rsidRPr="00D739A7">
        <w:t>12</w:t>
      </w:r>
      <w:r w:rsidRPr="00D739A7">
        <w:fldChar w:fldCharType="end"/>
      </w:r>
      <w:r w:rsidRPr="00D739A7">
        <w:t>. Percentage of learners with an official decision of SEN in non-formal educational settings, based on the population of learners with an official decision of SEN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82.54&#10;Belgium (French speaking community)&#10;95.73&#10;Croatia&#10;4.99&#10;Cyprus&#10;5.53&#10;Czech Republic&#10;34.66&#10;Denmark&#10;36.85&#10;Estonia&#10;36.41&#10;Finland&#10;12.41&#10;France&#10;20.83&#10;Germany&#10;68.47&#10;Hungary&#10;32.71&#10;Iceland&#10;2.06&#10;Ireland&#10;18.75&#10;Latvia&#10;59.15&#10;L"/>
      </w:tblPr>
      <w:tblGrid>
        <w:gridCol w:w="4460"/>
        <w:gridCol w:w="4460"/>
      </w:tblGrid>
      <w:tr w:rsidR="00CF5B26" w:rsidRPr="00D739A7" w14:paraId="2EBA1AEE" w14:textId="77777777" w:rsidTr="008009E3">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05365D64" w14:textId="77777777" w:rsidR="00CF5B26" w:rsidRPr="00D739A7" w:rsidRDefault="00CF5B26" w:rsidP="004A29D9">
            <w:pPr>
              <w:pStyle w:val="Agency-body-text-report"/>
              <w:jc w:val="center"/>
              <w:rPr>
                <w:b/>
                <w:bCs/>
              </w:rPr>
            </w:pPr>
            <w:r w:rsidRPr="00D739A7">
              <w:rPr>
                <w:b/>
                <w:bCs/>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11A980AD" w14:textId="77777777" w:rsidR="00CF5B26" w:rsidRPr="00D739A7" w:rsidRDefault="00CF5B26" w:rsidP="004A29D9">
            <w:pPr>
              <w:pStyle w:val="Agency-body-text-report"/>
              <w:jc w:val="center"/>
              <w:rPr>
                <w:b/>
                <w:bCs/>
              </w:rPr>
            </w:pPr>
            <w:r w:rsidRPr="00D739A7">
              <w:rPr>
                <w:b/>
                <w:bCs/>
              </w:rPr>
              <w:t>Percentage (%)</w:t>
            </w:r>
          </w:p>
        </w:tc>
      </w:tr>
      <w:tr w:rsidR="00CF5B26" w:rsidRPr="00D739A7" w14:paraId="4403269F" w14:textId="77777777" w:rsidTr="008009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4A7EB23" w14:textId="461204D8" w:rsidR="00CF5B26" w:rsidRPr="00D739A7" w:rsidRDefault="00E61A02" w:rsidP="004A29D9">
            <w:pPr>
              <w:pStyle w:val="Agency-body-text-report"/>
            </w:pPr>
            <w:r w:rsidRPr="00D739A7">
              <w:t>UK (</w:t>
            </w:r>
            <w:r w:rsidR="00CF5B26" w:rsidRPr="00D739A7">
              <w:t>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28F46CEA" w14:textId="77777777" w:rsidR="00CF5B26" w:rsidRPr="00D739A7" w:rsidRDefault="00CF5B26" w:rsidP="004A29D9">
            <w:pPr>
              <w:pStyle w:val="Agency-body-text-report"/>
            </w:pPr>
            <w:r w:rsidRPr="00D739A7">
              <w:t>3.39</w:t>
            </w:r>
          </w:p>
        </w:tc>
      </w:tr>
    </w:tbl>
    <w:p w14:paraId="47ED84E4" w14:textId="77777777" w:rsidR="00CF5B26" w:rsidRPr="00D739A7" w:rsidRDefault="00CF5B26" w:rsidP="004A29D9">
      <w:pPr>
        <w:pStyle w:val="Agency-heading-4-report"/>
      </w:pPr>
      <w:r w:rsidRPr="00D739A7">
        <w:t>Gender breakdown of learners with an official decision of SEN in non-formal educational settings, based on the population of learners with an official decision of SEN (%)</w:t>
      </w:r>
    </w:p>
    <w:p w14:paraId="7E100494" w14:textId="77777777" w:rsidR="00CF5B26" w:rsidRPr="00D739A7" w:rsidRDefault="00CF5B26" w:rsidP="004A29D9">
      <w:pPr>
        <w:pStyle w:val="Agency-body-text-report"/>
        <w:keepNext/>
      </w:pPr>
      <w:r w:rsidRPr="00D739A7">
        <w:t>The gender breakdowns have been calculated as follows:</w:t>
      </w:r>
    </w:p>
    <w:p w14:paraId="478C953B" w14:textId="7CFC9D30" w:rsidR="00CF5B26" w:rsidRPr="00D739A7" w:rsidRDefault="00EF3C3C" w:rsidP="004A29D9">
      <w:pPr>
        <w:pStyle w:val="Agency-body-text-report"/>
      </w:pPr>
      <w:r w:rsidRPr="00D739A7">
        <w:t>Boys</w:t>
      </w:r>
      <w:r w:rsidR="00CF5B26" w:rsidRPr="00D739A7">
        <w:t>: The number of boys with an official decision of SEN who are educated in non-formal educational settings (Q3.5) / The number of learners with an official decision of SEN (Q3.1) x 100.</w:t>
      </w:r>
    </w:p>
    <w:p w14:paraId="7745CED3" w14:textId="0227389F" w:rsidR="00CF5B26" w:rsidRPr="00D739A7" w:rsidRDefault="00EF3C3C" w:rsidP="004A29D9">
      <w:pPr>
        <w:pStyle w:val="Agency-body-text-report"/>
      </w:pPr>
      <w:r w:rsidRPr="00D739A7">
        <w:t>Girls</w:t>
      </w:r>
      <w:r w:rsidR="00CF5B26" w:rsidRPr="00D739A7">
        <w:t>: The number of girls with an official decision of SEN who are educated in non</w:t>
      </w:r>
      <w:r w:rsidR="00CC492F" w:rsidRPr="00D739A7">
        <w:noBreakHyphen/>
      </w:r>
      <w:r w:rsidR="00CF5B26" w:rsidRPr="00D739A7">
        <w:t>formal educational settings (Q3.5) / The number of learners with an official decision of SEN (Q3.1) x 100.</w:t>
      </w:r>
    </w:p>
    <w:p w14:paraId="2A2E403F" w14:textId="3FCF4BC5" w:rsidR="00CC492F" w:rsidRPr="00D739A7" w:rsidRDefault="00CC492F" w:rsidP="004A29D9">
      <w:pPr>
        <w:pStyle w:val="Agency-caption-report"/>
      </w:pPr>
      <w:r w:rsidRPr="00D739A7">
        <w:t>Table</w:t>
      </w:r>
      <w:r w:rsidR="006874C1" w:rsidRPr="00D739A7">
        <w:t> </w:t>
      </w:r>
      <w:r w:rsidRPr="00D739A7">
        <w:fldChar w:fldCharType="begin"/>
      </w:r>
      <w:r w:rsidRPr="00D739A7">
        <w:instrText xml:space="preserve"> SEQ Table \* ARABIC </w:instrText>
      </w:r>
      <w:r w:rsidRPr="00D739A7">
        <w:fldChar w:fldCharType="separate"/>
      </w:r>
      <w:r w:rsidR="00F74F9D" w:rsidRPr="00D739A7">
        <w:t>13</w:t>
      </w:r>
      <w:r w:rsidRPr="00D739A7">
        <w:fldChar w:fldCharType="end"/>
      </w:r>
      <w:r w:rsidRPr="00D739A7">
        <w:t>. Gender breakdown of learners with an official decision of SEN in non-formal educational settings, based on the population of learners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male percentage, female percentage, Belgium (Flemish speaking community)&#10;59.15&#10;32.41&#10;Belgium (French speaking community)&#10;61.46&#10;34.27&#10;Croatia&#10;3.03&#10;1.96&#10;Cyprus&#10;3.50&#10;2.03&#10;Czech Republic&#10;21.53&#10;13.13&#10;Denmark&#10;26.63&#10;10.22&#10;Estonia&#10;24.80&#10;11.60&#10;Finland&#10;8.6"/>
      </w:tblPr>
      <w:tblGrid>
        <w:gridCol w:w="2964"/>
        <w:gridCol w:w="2978"/>
        <w:gridCol w:w="2978"/>
      </w:tblGrid>
      <w:tr w:rsidR="00CF5B26" w:rsidRPr="00D739A7" w14:paraId="3EA4C1DB" w14:textId="77777777" w:rsidTr="008009E3">
        <w:trPr>
          <w:cantSplit/>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77774CDC" w14:textId="77777777" w:rsidR="00CF5B26" w:rsidRPr="00D739A7" w:rsidRDefault="00CF5B26"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36CC9DA4" w14:textId="35B3DABE" w:rsidR="00CF5B26" w:rsidRPr="00D739A7" w:rsidRDefault="00CF5B26" w:rsidP="004A29D9">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62C87105" w14:textId="4FDB8098" w:rsidR="00CF5B26" w:rsidRPr="00D739A7" w:rsidRDefault="00CF5B26" w:rsidP="004A29D9">
            <w:pPr>
              <w:pStyle w:val="Agency-body-text-report"/>
              <w:jc w:val="center"/>
              <w:rPr>
                <w:b/>
                <w:bCs/>
              </w:rPr>
            </w:pPr>
            <w:r w:rsidRPr="00D739A7">
              <w:rPr>
                <w:b/>
                <w:bCs/>
              </w:rPr>
              <w:t xml:space="preserve">Percentage (%), </w:t>
            </w:r>
            <w:r w:rsidR="00EF3C3C" w:rsidRPr="00D739A7">
              <w:rPr>
                <w:b/>
                <w:bCs/>
              </w:rPr>
              <w:t>girls</w:t>
            </w:r>
          </w:p>
        </w:tc>
      </w:tr>
      <w:tr w:rsidR="00CF5B26" w:rsidRPr="00D739A7" w14:paraId="52DF58CC" w14:textId="77777777" w:rsidTr="008009E3">
        <w:trPr>
          <w:cantSplit/>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51ADBDC2" w14:textId="008CE63E"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11559518" w14:textId="77777777" w:rsidR="00CF5B26" w:rsidRPr="00D739A7" w:rsidRDefault="00CF5B26" w:rsidP="004A29D9">
            <w:pPr>
              <w:pStyle w:val="Agency-body-text-report"/>
            </w:pPr>
            <w:r w:rsidRPr="00D739A7">
              <w:t>2.69</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1B45767D" w14:textId="77777777" w:rsidR="00CF5B26" w:rsidRPr="00D739A7" w:rsidRDefault="00CF5B26" w:rsidP="004A29D9">
            <w:pPr>
              <w:pStyle w:val="Agency-body-text-report"/>
            </w:pPr>
            <w:r w:rsidRPr="00D739A7">
              <w:t>0.70</w:t>
            </w:r>
          </w:p>
        </w:tc>
      </w:tr>
    </w:tbl>
    <w:p w14:paraId="5D5E7D93" w14:textId="77777777" w:rsidR="00CF5B26" w:rsidRPr="00D739A7" w:rsidRDefault="00CF5B26" w:rsidP="004A29D9">
      <w:pPr>
        <w:pStyle w:val="Agency-heading-4-report"/>
      </w:pPr>
      <w:r w:rsidRPr="00D739A7">
        <w:lastRenderedPageBreak/>
        <w:t>Gender distribution of learners with an official decision of SEN in non-formal educational settings, based on the population of learners with an official decision of SEN (%)</w:t>
      </w:r>
    </w:p>
    <w:p w14:paraId="0D0446B9" w14:textId="77777777" w:rsidR="00CF5B26" w:rsidRPr="00D739A7" w:rsidRDefault="00CF5B26" w:rsidP="004A29D9">
      <w:pPr>
        <w:pStyle w:val="Agency-body-text-report"/>
        <w:keepNext/>
      </w:pPr>
      <w:r w:rsidRPr="00D739A7">
        <w:t>The gender distributions have been calculated as follows:</w:t>
      </w:r>
    </w:p>
    <w:p w14:paraId="7819E445" w14:textId="32E12255" w:rsidR="00CF5B26" w:rsidRPr="00D739A7" w:rsidRDefault="00EF3C3C" w:rsidP="004A29D9">
      <w:pPr>
        <w:pStyle w:val="Agency-body-text-report"/>
        <w:rPr>
          <w:szCs w:val="20"/>
        </w:rPr>
      </w:pPr>
      <w:r w:rsidRPr="00D739A7">
        <w:t>Boys</w:t>
      </w:r>
      <w:r w:rsidR="00CF5B26" w:rsidRPr="00D739A7">
        <w:t>:</w:t>
      </w:r>
      <w:r w:rsidR="00CF5B26" w:rsidRPr="00D739A7">
        <w:rPr>
          <w:szCs w:val="20"/>
        </w:rPr>
        <w:t xml:space="preserve"> The number of boys with an official decision of SEN who are educated in non-formal educational settings (Q3.5) / The number of learners with an official decision of SEN who are educated in non-formal educational settings (Q3.5) x 100.</w:t>
      </w:r>
    </w:p>
    <w:p w14:paraId="14572CB2" w14:textId="01EEEBED" w:rsidR="00CF5B26" w:rsidRPr="00D739A7" w:rsidRDefault="00EF3C3C" w:rsidP="004A29D9">
      <w:pPr>
        <w:pStyle w:val="Agency-body-text-report"/>
        <w:rPr>
          <w:szCs w:val="20"/>
        </w:rPr>
      </w:pPr>
      <w:r w:rsidRPr="00D739A7">
        <w:t>Girls</w:t>
      </w:r>
      <w:r w:rsidR="00CF5B26" w:rsidRPr="00D739A7">
        <w:t>:</w:t>
      </w:r>
      <w:r w:rsidR="00CF5B26" w:rsidRPr="00D739A7">
        <w:rPr>
          <w:szCs w:val="20"/>
        </w:rPr>
        <w:t xml:space="preserve"> The number of girls with an official decision of SEN who are educated in non</w:t>
      </w:r>
      <w:r w:rsidR="002A7091" w:rsidRPr="00D739A7">
        <w:rPr>
          <w:szCs w:val="20"/>
        </w:rPr>
        <w:noBreakHyphen/>
      </w:r>
      <w:r w:rsidR="00CF5B26" w:rsidRPr="00D739A7">
        <w:rPr>
          <w:szCs w:val="20"/>
        </w:rPr>
        <w:t>formal educational settings (Q3.5) / The number of learners with an official decision of SEN who are educated in non-formal educational settings (Q3.5) x 100.</w:t>
      </w:r>
    </w:p>
    <w:p w14:paraId="33477B35" w14:textId="5F3853A6" w:rsidR="002A7091" w:rsidRPr="00D739A7" w:rsidRDefault="002A7091" w:rsidP="004A29D9">
      <w:pPr>
        <w:pStyle w:val="Agency-caption-report"/>
      </w:pPr>
      <w:r w:rsidRPr="00D739A7">
        <w:t>Table</w:t>
      </w:r>
      <w:r w:rsidR="006874C1" w:rsidRPr="00D739A7">
        <w:t> </w:t>
      </w:r>
      <w:r w:rsidRPr="00D739A7">
        <w:fldChar w:fldCharType="begin"/>
      </w:r>
      <w:r w:rsidRPr="00D739A7">
        <w:instrText xml:space="preserve"> SEQ Table \* ARABIC </w:instrText>
      </w:r>
      <w:r w:rsidRPr="00D739A7">
        <w:fldChar w:fldCharType="separate"/>
      </w:r>
      <w:r w:rsidR="00F74F9D" w:rsidRPr="00D739A7">
        <w:t>14</w:t>
      </w:r>
      <w:r w:rsidRPr="00D739A7">
        <w:fldChar w:fldCharType="end"/>
      </w:r>
      <w:r w:rsidRPr="00D739A7">
        <w:t>. Gender distribution of learners with an official decision of SEN in non-formal educational settings, based on the population of learners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male percentage, female percentage, Belgium (Flemish speaking community)&#10;59.15&#10;32.41&#10;Belgium (French speaking community)&#10;61.46&#10;34.27&#10;Croatia&#10;3.03&#10;1.96&#10;Cyprus&#10;3.50&#10;2.03&#10;Czech Republic&#10;21.53&#10;13.13&#10;Denmark&#10;26.63&#10;10.22&#10;Estonia&#10;24.80&#10;11.60&#10;Finland&#10;8.6"/>
      </w:tblPr>
      <w:tblGrid>
        <w:gridCol w:w="2964"/>
        <w:gridCol w:w="2978"/>
        <w:gridCol w:w="2978"/>
      </w:tblGrid>
      <w:tr w:rsidR="00CF5B26" w:rsidRPr="00D739A7" w14:paraId="6D24097E" w14:textId="77777777" w:rsidTr="004A29D9">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79F212B6" w14:textId="77777777" w:rsidR="00CF5B26" w:rsidRPr="00D739A7" w:rsidRDefault="00CF5B26"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56C4C3BB" w14:textId="45DD9CCB" w:rsidR="00CF5B26" w:rsidRPr="00D739A7" w:rsidRDefault="00CF5B26" w:rsidP="004A29D9">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5595C143" w14:textId="61D4EC57" w:rsidR="00CF5B26" w:rsidRPr="00D739A7" w:rsidRDefault="00CF5B26" w:rsidP="004A29D9">
            <w:pPr>
              <w:pStyle w:val="Agency-body-text-report"/>
              <w:jc w:val="center"/>
              <w:rPr>
                <w:b/>
                <w:bCs/>
              </w:rPr>
            </w:pPr>
            <w:r w:rsidRPr="00D739A7">
              <w:rPr>
                <w:b/>
                <w:bCs/>
              </w:rPr>
              <w:t xml:space="preserve">Percentage (%), </w:t>
            </w:r>
            <w:r w:rsidR="00EF3C3C" w:rsidRPr="00D739A7">
              <w:rPr>
                <w:b/>
                <w:bCs/>
              </w:rPr>
              <w:t>girls</w:t>
            </w:r>
          </w:p>
        </w:tc>
      </w:tr>
      <w:tr w:rsidR="00CF5B26" w:rsidRPr="00D739A7" w14:paraId="11F6931B" w14:textId="77777777" w:rsidTr="004A29D9">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1A8D2508" w14:textId="43F05064"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33D259EE" w14:textId="77777777" w:rsidR="00CF5B26" w:rsidRPr="00D739A7" w:rsidRDefault="00CF5B26" w:rsidP="004A29D9">
            <w:pPr>
              <w:pStyle w:val="Agency-body-text-report"/>
            </w:pPr>
            <w:r w:rsidRPr="00D739A7">
              <w:t>79.46</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27D0D7E1" w14:textId="77777777" w:rsidR="00CF5B26" w:rsidRPr="00D739A7" w:rsidRDefault="00CF5B26" w:rsidP="004A29D9">
            <w:pPr>
              <w:pStyle w:val="Agency-body-text-report"/>
            </w:pPr>
            <w:r w:rsidRPr="00D739A7">
              <w:t>20.54</w:t>
            </w:r>
          </w:p>
        </w:tc>
      </w:tr>
    </w:tbl>
    <w:p w14:paraId="3B762769" w14:textId="77777777" w:rsidR="00CF5B26" w:rsidRPr="00D739A7" w:rsidRDefault="00CF5B26" w:rsidP="004A29D9">
      <w:pPr>
        <w:pStyle w:val="Agency-heading-4-report"/>
      </w:pPr>
      <w:r w:rsidRPr="00D739A7">
        <w:t>ISCED breakdown of learners with an official decision of SEN in non-formal educational settings, based on the population of learners with an official decision of SEN (%)</w:t>
      </w:r>
    </w:p>
    <w:p w14:paraId="3ED2AE40" w14:textId="77777777" w:rsidR="00CF5B26" w:rsidRPr="00D739A7" w:rsidRDefault="00CF5B26" w:rsidP="004A29D9">
      <w:pPr>
        <w:pStyle w:val="Agency-body-text-report"/>
        <w:keepNext/>
      </w:pPr>
      <w:r w:rsidRPr="00D739A7">
        <w:t>The ISCED breakdowns have been calculated as follows:</w:t>
      </w:r>
    </w:p>
    <w:p w14:paraId="3373B58D" w14:textId="354680D2" w:rsidR="00CF5B26" w:rsidRPr="00D739A7" w:rsidRDefault="00CF5B26" w:rsidP="004A29D9">
      <w:pPr>
        <w:pStyle w:val="Agency-body-text-report"/>
      </w:pPr>
      <w:r w:rsidRPr="00D739A7">
        <w:t xml:space="preserve">ISCED 1: The number of learners in </w:t>
      </w:r>
      <w:r w:rsidR="00436B97" w:rsidRPr="00D739A7">
        <w:t>ISCED 1</w:t>
      </w:r>
      <w:r w:rsidRPr="00D739A7">
        <w:t xml:space="preserve"> with an official decision of SEN who are educated in non-formal educational settings (Q3.5) / The number of learners with an official decision of SEN (Q3.1) x 100.</w:t>
      </w:r>
    </w:p>
    <w:p w14:paraId="7908B610" w14:textId="0FC40AEE" w:rsidR="00CF5B26" w:rsidRPr="00D739A7" w:rsidRDefault="00CF5B26" w:rsidP="004A29D9">
      <w:pPr>
        <w:pStyle w:val="Agency-body-text-report"/>
      </w:pPr>
      <w:r w:rsidRPr="00D739A7">
        <w:t xml:space="preserve">ISCED 2: The number of learners in </w:t>
      </w:r>
      <w:r w:rsidR="00436B97" w:rsidRPr="00D739A7">
        <w:t>ISCED 2</w:t>
      </w:r>
      <w:r w:rsidRPr="00D739A7">
        <w:t xml:space="preserve"> with an official decision of SEN who are educated in non-formal educational settings (Q3.5) / The number of learners with an official decision of SEN (Q3.1) x 100.</w:t>
      </w:r>
    </w:p>
    <w:p w14:paraId="77DAB80A" w14:textId="4957A0DD" w:rsidR="002A7091" w:rsidRPr="00D739A7" w:rsidRDefault="002A7091" w:rsidP="004A29D9">
      <w:pPr>
        <w:pStyle w:val="Agency-caption-report"/>
      </w:pPr>
      <w:r w:rsidRPr="00D739A7">
        <w:t>Table</w:t>
      </w:r>
      <w:r w:rsidR="006874C1" w:rsidRPr="00D739A7">
        <w:t> </w:t>
      </w:r>
      <w:r w:rsidRPr="00D739A7">
        <w:fldChar w:fldCharType="begin"/>
      </w:r>
      <w:r w:rsidRPr="00D739A7">
        <w:instrText xml:space="preserve"> SEQ Table \* ARABIC </w:instrText>
      </w:r>
      <w:r w:rsidRPr="00D739A7">
        <w:fldChar w:fldCharType="separate"/>
      </w:r>
      <w:r w:rsidR="00F74F9D" w:rsidRPr="00D739A7">
        <w:t>15</w:t>
      </w:r>
      <w:r w:rsidRPr="00D739A7">
        <w:fldChar w:fldCharType="end"/>
      </w:r>
      <w:r w:rsidRPr="00D739A7">
        <w:t>. ISCED breakdown of learners with an official decision of SEN in non-formal educational settings, based on the population of learners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ISCED 1 Percentage, ISCED 2 Percentage,&#10;Belgium (Flemish speaking community)&#10;49.03&#10;33.51&#10;Belgium (French speaking community)&#10;53.26&#10;42.47&#10;Croatia&#10;2.29&#10;2.70&#10;Cyprus&#10;3.23&#10;2.29&#10;Czech Republic&#10;15.14&#10;19.52&#10;Denmark&#10;19.14&#10;17.71&#10;Estonia&#10;18.85&#10;17.56&#10;Finland"/>
      </w:tblPr>
      <w:tblGrid>
        <w:gridCol w:w="2964"/>
        <w:gridCol w:w="2978"/>
        <w:gridCol w:w="2978"/>
      </w:tblGrid>
      <w:tr w:rsidR="00CF5B26" w:rsidRPr="00D739A7" w14:paraId="1E174773" w14:textId="77777777" w:rsidTr="004A29D9">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7A76EE54" w14:textId="77777777" w:rsidR="00CF5B26" w:rsidRPr="00D739A7" w:rsidRDefault="00CF5B26"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3FA2176F" w14:textId="77777777" w:rsidR="00CF5B26" w:rsidRPr="00D739A7" w:rsidRDefault="00CF5B26" w:rsidP="004A29D9">
            <w:pPr>
              <w:pStyle w:val="Agency-body-text-report"/>
              <w:jc w:val="center"/>
              <w:rPr>
                <w:b/>
                <w:bCs/>
              </w:rPr>
            </w:pPr>
            <w:r w:rsidRPr="00D739A7">
              <w:rPr>
                <w:b/>
                <w:bCs/>
              </w:rPr>
              <w:t>Percentage (%), ISCED 1</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4869CE2C" w14:textId="77777777" w:rsidR="00CF5B26" w:rsidRPr="00D739A7" w:rsidRDefault="00CF5B26" w:rsidP="004A29D9">
            <w:pPr>
              <w:pStyle w:val="Agency-body-text-report"/>
              <w:jc w:val="center"/>
              <w:rPr>
                <w:b/>
                <w:bCs/>
              </w:rPr>
            </w:pPr>
            <w:r w:rsidRPr="00D739A7">
              <w:rPr>
                <w:b/>
                <w:bCs/>
              </w:rPr>
              <w:t>Percentage (%), ISCED 2</w:t>
            </w:r>
          </w:p>
        </w:tc>
      </w:tr>
      <w:tr w:rsidR="00CF5B26" w:rsidRPr="00D739A7" w14:paraId="19F7A21E" w14:textId="77777777" w:rsidTr="004A29D9">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E1CDBF8" w14:textId="06122F8F"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342FA717" w14:textId="77777777" w:rsidR="00CF5B26" w:rsidRPr="00D739A7" w:rsidRDefault="00CF5B26" w:rsidP="004A29D9">
            <w:pPr>
              <w:pStyle w:val="Agency-body-text-report"/>
            </w:pPr>
            <w:r w:rsidRPr="00D739A7">
              <w:t>0.72</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2329E9B6" w14:textId="77777777" w:rsidR="00CF5B26" w:rsidRPr="00D739A7" w:rsidRDefault="00CF5B26" w:rsidP="004A29D9">
            <w:pPr>
              <w:pStyle w:val="Agency-body-text-report"/>
            </w:pPr>
            <w:r w:rsidRPr="00D739A7">
              <w:t>2.67</w:t>
            </w:r>
          </w:p>
        </w:tc>
      </w:tr>
    </w:tbl>
    <w:p w14:paraId="4C1318D0" w14:textId="07661CD5" w:rsidR="00CF5B26" w:rsidRPr="00D739A7" w:rsidRDefault="00CF5B26" w:rsidP="004A29D9">
      <w:pPr>
        <w:pStyle w:val="Agency-heading-4-report"/>
      </w:pPr>
      <w:r w:rsidRPr="00D739A7">
        <w:t xml:space="preserve">ISCED distribution of learners with an official decision of SEN in non-formal educational settings, based on the population of learners with an official decision of SEN </w:t>
      </w:r>
      <w:r w:rsidR="00B6483A" w:rsidRPr="00D739A7">
        <w:t xml:space="preserve">within ISCED 1 and ISCED 2 </w:t>
      </w:r>
      <w:r w:rsidRPr="00D739A7">
        <w:t>(%)</w:t>
      </w:r>
    </w:p>
    <w:p w14:paraId="13ABBB15" w14:textId="77777777" w:rsidR="00CF5B26" w:rsidRPr="00D739A7" w:rsidRDefault="00CF5B26" w:rsidP="004A29D9">
      <w:pPr>
        <w:pStyle w:val="Agency-body-text-report"/>
        <w:keepNext/>
      </w:pPr>
      <w:r w:rsidRPr="00D739A7">
        <w:t>The ISCED distributions have been calculated as follows:</w:t>
      </w:r>
    </w:p>
    <w:p w14:paraId="3E34CE19" w14:textId="116B228B" w:rsidR="00CF5B26" w:rsidRPr="00D739A7" w:rsidRDefault="00CF5B26" w:rsidP="004A29D9">
      <w:pPr>
        <w:pStyle w:val="Agency-body-text-report"/>
        <w:rPr>
          <w:szCs w:val="20"/>
        </w:rPr>
      </w:pPr>
      <w:r w:rsidRPr="00D739A7">
        <w:t>ISCED 1:</w:t>
      </w:r>
      <w:r w:rsidRPr="00D739A7">
        <w:rPr>
          <w:szCs w:val="20"/>
        </w:rPr>
        <w:t xml:space="preserve"> The number of learners in </w:t>
      </w:r>
      <w:r w:rsidR="00436B97" w:rsidRPr="00D739A7">
        <w:rPr>
          <w:szCs w:val="20"/>
        </w:rPr>
        <w:t>ISCED 1</w:t>
      </w:r>
      <w:r w:rsidRPr="00D739A7">
        <w:rPr>
          <w:szCs w:val="20"/>
        </w:rPr>
        <w:t xml:space="preserve"> with an official decision of SEN who are educated in non-formal educational settings (Q3.5) / The number of learners in </w:t>
      </w:r>
      <w:r w:rsidR="00436B97" w:rsidRPr="00D739A7">
        <w:rPr>
          <w:szCs w:val="20"/>
        </w:rPr>
        <w:t>ISCED 1</w:t>
      </w:r>
      <w:r w:rsidRPr="00D739A7">
        <w:rPr>
          <w:szCs w:val="20"/>
        </w:rPr>
        <w:t xml:space="preserve"> with an official decision of SEN (Q3.1) x 100.</w:t>
      </w:r>
    </w:p>
    <w:p w14:paraId="0AD37B23" w14:textId="4417DF34" w:rsidR="00CF5B26" w:rsidRPr="00D739A7" w:rsidRDefault="00CF5B26" w:rsidP="004A29D9">
      <w:pPr>
        <w:pStyle w:val="Agency-body-text-report"/>
        <w:rPr>
          <w:szCs w:val="20"/>
        </w:rPr>
      </w:pPr>
      <w:r w:rsidRPr="00D739A7">
        <w:lastRenderedPageBreak/>
        <w:t>ISCED 2:</w:t>
      </w:r>
      <w:r w:rsidRPr="00D739A7">
        <w:rPr>
          <w:szCs w:val="20"/>
        </w:rPr>
        <w:t xml:space="preserve"> The number of learners in </w:t>
      </w:r>
      <w:r w:rsidR="00436B97" w:rsidRPr="00D739A7">
        <w:rPr>
          <w:szCs w:val="20"/>
        </w:rPr>
        <w:t>ISCED 2</w:t>
      </w:r>
      <w:r w:rsidRPr="00D739A7">
        <w:rPr>
          <w:szCs w:val="20"/>
        </w:rPr>
        <w:t xml:space="preserve"> with an official decision of SEN who are educated in non-formal educational settings (Q3.5) / The number of learners in </w:t>
      </w:r>
      <w:r w:rsidR="00436B97" w:rsidRPr="00D739A7">
        <w:rPr>
          <w:szCs w:val="20"/>
        </w:rPr>
        <w:t>ISCED 2</w:t>
      </w:r>
      <w:r w:rsidRPr="00D739A7">
        <w:rPr>
          <w:szCs w:val="20"/>
        </w:rPr>
        <w:t xml:space="preserve"> with an official decision of SEN (Q3.1) x 100.</w:t>
      </w:r>
    </w:p>
    <w:p w14:paraId="213AE0B4" w14:textId="285EC873" w:rsidR="00B6483A" w:rsidRPr="00D739A7" w:rsidRDefault="00B6483A" w:rsidP="004A29D9">
      <w:pPr>
        <w:pStyle w:val="Agency-caption-report"/>
        <w:keepNext/>
      </w:pPr>
      <w:r w:rsidRPr="00D739A7">
        <w:t>Table </w:t>
      </w:r>
      <w:r w:rsidRPr="00D739A7">
        <w:fldChar w:fldCharType="begin"/>
      </w:r>
      <w:r w:rsidRPr="00D739A7">
        <w:instrText xml:space="preserve"> SEQ Table \* ARABIC </w:instrText>
      </w:r>
      <w:r w:rsidRPr="00D739A7">
        <w:fldChar w:fldCharType="separate"/>
      </w:r>
      <w:r w:rsidR="00F74F9D" w:rsidRPr="00D739A7">
        <w:t>16</w:t>
      </w:r>
      <w:r w:rsidRPr="00D739A7">
        <w:fldChar w:fldCharType="end"/>
      </w:r>
      <w:r w:rsidRPr="00D739A7">
        <w:t>. ISCED distribution of learners with an official decision of SEN in non-formal educational settings, based on the population of learners with an official decision of SEN within ISCED 1 and ISCED 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ISCED 1 Percentage, ISCED 2 Percentage,&#10;Belgium (Flemish speaking community)&#10;49.03&#10;33.51&#10;Belgium (French speaking community)&#10;53.26&#10;42.47&#10;Croatia&#10;2.29&#10;2.70&#10;Cyprus&#10;3.23&#10;2.29&#10;Czech Republic&#10;15.14&#10;19.52&#10;Denmark&#10;19.14&#10;17.71&#10;Estonia&#10;18.85&#10;17.56&#10;Finland"/>
      </w:tblPr>
      <w:tblGrid>
        <w:gridCol w:w="2964"/>
        <w:gridCol w:w="2978"/>
        <w:gridCol w:w="2978"/>
      </w:tblGrid>
      <w:tr w:rsidR="00CF5B26" w:rsidRPr="00D739A7" w14:paraId="12138F3E" w14:textId="77777777" w:rsidTr="004A29D9">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03A44C5A" w14:textId="77777777" w:rsidR="00CF5B26" w:rsidRPr="00D739A7" w:rsidRDefault="00CF5B26"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5111D742" w14:textId="77777777" w:rsidR="00CF5B26" w:rsidRPr="00D739A7" w:rsidRDefault="00CF5B26" w:rsidP="004A29D9">
            <w:pPr>
              <w:pStyle w:val="Agency-body-text-report"/>
              <w:jc w:val="center"/>
              <w:rPr>
                <w:b/>
                <w:bCs/>
              </w:rPr>
            </w:pPr>
            <w:r w:rsidRPr="00D739A7">
              <w:rPr>
                <w:b/>
                <w:bCs/>
              </w:rPr>
              <w:t>Percentage (%), ISCED 1</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347BF284" w14:textId="77777777" w:rsidR="00CF5B26" w:rsidRPr="00D739A7" w:rsidRDefault="00CF5B26" w:rsidP="004A29D9">
            <w:pPr>
              <w:pStyle w:val="Agency-body-text-report"/>
              <w:jc w:val="center"/>
              <w:rPr>
                <w:b/>
                <w:bCs/>
              </w:rPr>
            </w:pPr>
            <w:r w:rsidRPr="00D739A7">
              <w:rPr>
                <w:b/>
                <w:bCs/>
              </w:rPr>
              <w:t>Percentage (%), ISCED 2</w:t>
            </w:r>
          </w:p>
        </w:tc>
      </w:tr>
      <w:tr w:rsidR="00CF5B26" w:rsidRPr="00D739A7" w14:paraId="574ECF67" w14:textId="77777777" w:rsidTr="004A29D9">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136AF679" w14:textId="4A1B02FE"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097E353C" w14:textId="77777777" w:rsidR="00CF5B26" w:rsidRPr="00D739A7" w:rsidRDefault="00CF5B26" w:rsidP="004A29D9">
            <w:pPr>
              <w:pStyle w:val="Agency-body-text-report"/>
            </w:pPr>
            <w:r w:rsidRPr="00D739A7">
              <w:t>1.61</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49CCF7E4" w14:textId="77777777" w:rsidR="00CF5B26" w:rsidRPr="00D739A7" w:rsidRDefault="00CF5B26" w:rsidP="004A29D9">
            <w:pPr>
              <w:pStyle w:val="Agency-body-text-report"/>
            </w:pPr>
            <w:r w:rsidRPr="00D739A7">
              <w:t>4.85</w:t>
            </w:r>
          </w:p>
        </w:tc>
      </w:tr>
    </w:tbl>
    <w:p w14:paraId="7BFCA3D9" w14:textId="0BA23E56" w:rsidR="00CF5B26" w:rsidRPr="00D739A7" w:rsidRDefault="00CB5E30" w:rsidP="004A29D9">
      <w:pPr>
        <w:pStyle w:val="Agency-heading-2-report"/>
        <w:rPr>
          <w:rFonts w:cs="Calibri"/>
          <w:bCs/>
          <w:sz w:val="36"/>
          <w:szCs w:val="36"/>
        </w:rPr>
      </w:pPr>
      <w:bookmarkStart w:id="101" w:name="_Toc35943086"/>
      <w:r w:rsidRPr="00D739A7">
        <w:rPr>
          <w:rFonts w:cs="Calibri"/>
          <w:bCs/>
          <w:sz w:val="36"/>
          <w:szCs w:val="36"/>
        </w:rPr>
        <w:t xml:space="preserve">3. </w:t>
      </w:r>
      <w:r w:rsidR="00CF5B26" w:rsidRPr="00D739A7">
        <w:rPr>
          <w:rFonts w:cs="Calibri"/>
          <w:bCs/>
          <w:sz w:val="36"/>
          <w:szCs w:val="36"/>
        </w:rPr>
        <w:t>Upper-secondary education (</w:t>
      </w:r>
      <w:r w:rsidR="00436B97" w:rsidRPr="00D739A7">
        <w:rPr>
          <w:rFonts w:cs="Calibri"/>
          <w:bCs/>
          <w:sz w:val="36"/>
          <w:szCs w:val="36"/>
        </w:rPr>
        <w:t>ISCED level 3</w:t>
      </w:r>
      <w:r w:rsidR="00CF5B26" w:rsidRPr="00D739A7">
        <w:rPr>
          <w:rFonts w:cs="Calibri"/>
          <w:bCs/>
          <w:sz w:val="36"/>
          <w:szCs w:val="36"/>
        </w:rPr>
        <w:t>)</w:t>
      </w:r>
      <w:bookmarkEnd w:id="101"/>
    </w:p>
    <w:p w14:paraId="3F504B52" w14:textId="6EEB8D77" w:rsidR="00CF5B26" w:rsidRPr="00D739A7" w:rsidRDefault="00436B97" w:rsidP="004A29D9">
      <w:pPr>
        <w:pStyle w:val="Agency-heading-3-report"/>
      </w:pPr>
      <w:bookmarkStart w:id="102" w:name="_Toc35943087"/>
      <w:r w:rsidRPr="00D739A7">
        <w:t>Indicator </w:t>
      </w:r>
      <w:r w:rsidR="00CB5E30" w:rsidRPr="00D739A7">
        <w:t>3.</w:t>
      </w:r>
      <w:r w:rsidRPr="00D739A7">
        <w:t>3</w:t>
      </w:r>
      <w:r w:rsidR="00CF5B26" w:rsidRPr="00D739A7">
        <w:t>b.4: the percentage of learners with an official decision of SEN in non-formal educational settings, based on the enrolled school population (%)</w:t>
      </w:r>
      <w:bookmarkEnd w:id="102"/>
    </w:p>
    <w:p w14:paraId="0666628F" w14:textId="66457A1B" w:rsidR="00CF5B26" w:rsidRPr="00D739A7" w:rsidRDefault="00CF5B26" w:rsidP="004A29D9">
      <w:pPr>
        <w:pStyle w:val="Agency-body-text-report"/>
      </w:pPr>
      <w:r w:rsidRPr="00D739A7">
        <w:t xml:space="preserve">This indicator has been calculated as follows: The number of learners with an official decision of SEN who are educated in non-formal educational </w:t>
      </w:r>
      <w:r w:rsidR="007625F8" w:rsidRPr="00D739A7">
        <w:t>settings</w:t>
      </w:r>
      <w:r w:rsidRPr="00D739A7">
        <w:t xml:space="preserve"> (Q3.5) / The number of learners who are enrolled in all formal educational settings (Q1.2) x 100.</w:t>
      </w:r>
    </w:p>
    <w:p w14:paraId="20DFAC4B" w14:textId="77777777" w:rsidR="00CF5B26" w:rsidRPr="00D739A7" w:rsidRDefault="00CF5B26" w:rsidP="004A29D9">
      <w:pPr>
        <w:pStyle w:val="Agency-body-text-report"/>
      </w:pPr>
      <w:r w:rsidRPr="00D739A7">
        <w:t>Data on non-formal education is only available for one country, so data for this indicator is presented in tables rather than figures.</w:t>
      </w:r>
    </w:p>
    <w:p w14:paraId="34B906AC" w14:textId="77FF7D90" w:rsidR="0076411F" w:rsidRPr="00D739A7" w:rsidRDefault="0076411F" w:rsidP="004A29D9">
      <w:pPr>
        <w:pStyle w:val="Agency-caption-report"/>
      </w:pPr>
      <w:r w:rsidRPr="00D739A7">
        <w:t>Table</w:t>
      </w:r>
      <w:r w:rsidR="006874C1" w:rsidRPr="00D739A7">
        <w:t> </w:t>
      </w:r>
      <w:r w:rsidRPr="00D739A7">
        <w:fldChar w:fldCharType="begin"/>
      </w:r>
      <w:r w:rsidRPr="00D739A7">
        <w:instrText xml:space="preserve"> SEQ Table \* ARABIC </w:instrText>
      </w:r>
      <w:r w:rsidRPr="00D739A7">
        <w:fldChar w:fldCharType="separate"/>
      </w:r>
      <w:r w:rsidR="00F74F9D" w:rsidRPr="00D739A7">
        <w:t>17</w:t>
      </w:r>
      <w:r w:rsidRPr="00D739A7">
        <w:fldChar w:fldCharType="end"/>
      </w:r>
      <w:r w:rsidRPr="00D739A7">
        <w:t>. Percentage of learners with an official decision of SEN in non-formal educational settings, based on the enrolled school population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7.06&#10;Belgium (French speaking community)&#10;6.44&#10;Croatia&#10;0.25&#10;Cyprus&#10;0.31&#10;Czech Republic&#10;3.20&#10;Denmark&#10;2.03&#10;Estonia&#10;3.07&#10;Finland&#10;0.91&#10;France&#10;0.61&#10;Germany&#10;3.72&#10;Hungary&#10;2.31&#10;Iceland&#10;0.34&#10;Ireland&#10;0.99&#10;Latvia&#10;3.51&#10;Lithuania&#10;1."/>
      </w:tblPr>
      <w:tblGrid>
        <w:gridCol w:w="4460"/>
        <w:gridCol w:w="4460"/>
      </w:tblGrid>
      <w:tr w:rsidR="00CF5B26" w:rsidRPr="00D739A7" w14:paraId="1C9B3D27" w14:textId="77777777" w:rsidTr="008009E3">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46A1A08B" w14:textId="77777777" w:rsidR="00CF5B26" w:rsidRPr="00D739A7" w:rsidRDefault="00CF5B26" w:rsidP="004A29D9">
            <w:pPr>
              <w:pStyle w:val="Agency-body-text-report"/>
              <w:jc w:val="center"/>
              <w:rPr>
                <w:b/>
                <w:bCs/>
              </w:rPr>
            </w:pPr>
            <w:r w:rsidRPr="00D739A7">
              <w:rPr>
                <w:b/>
                <w:bCs/>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4198C3C5" w14:textId="77777777" w:rsidR="00CF5B26" w:rsidRPr="00D739A7" w:rsidRDefault="00CF5B26" w:rsidP="004A29D9">
            <w:pPr>
              <w:pStyle w:val="Agency-body-text-report"/>
              <w:jc w:val="center"/>
              <w:rPr>
                <w:b/>
                <w:bCs/>
              </w:rPr>
            </w:pPr>
            <w:r w:rsidRPr="00D739A7">
              <w:rPr>
                <w:b/>
                <w:bCs/>
              </w:rPr>
              <w:t>Percentage (%)</w:t>
            </w:r>
          </w:p>
        </w:tc>
      </w:tr>
      <w:tr w:rsidR="00CF5B26" w:rsidRPr="00D739A7" w14:paraId="0842BDE2" w14:textId="77777777" w:rsidTr="008009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A85B9D1" w14:textId="29A18DB6" w:rsidR="00CF5B26" w:rsidRPr="00D739A7" w:rsidRDefault="00E61A02" w:rsidP="004A29D9">
            <w:pPr>
              <w:pStyle w:val="Agency-body-text-report"/>
            </w:pPr>
            <w:r w:rsidRPr="00D739A7">
              <w:t>UK (</w:t>
            </w:r>
            <w:r w:rsidR="00CF5B26" w:rsidRPr="00D739A7">
              <w:t>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73646B1" w14:textId="77777777" w:rsidR="00CF5B26" w:rsidRPr="00D739A7" w:rsidRDefault="00CF5B26" w:rsidP="004A29D9">
            <w:pPr>
              <w:pStyle w:val="Agency-body-text-report"/>
            </w:pPr>
            <w:r w:rsidRPr="00D739A7">
              <w:t>0.30</w:t>
            </w:r>
          </w:p>
        </w:tc>
      </w:tr>
    </w:tbl>
    <w:p w14:paraId="037B48D1" w14:textId="77777777" w:rsidR="00CF5B26" w:rsidRPr="00D739A7" w:rsidRDefault="00CF5B26" w:rsidP="004A29D9">
      <w:pPr>
        <w:pStyle w:val="Agency-heading-4-report"/>
      </w:pPr>
      <w:r w:rsidRPr="00D739A7">
        <w:t>Gender breakdown of learners with an official decision of SEN in non-formal educational settings, based on the enrolled school population (%)</w:t>
      </w:r>
    </w:p>
    <w:p w14:paraId="2BA538DE" w14:textId="77777777" w:rsidR="00CF5B26" w:rsidRPr="00D739A7" w:rsidRDefault="00CF5B26" w:rsidP="004A29D9">
      <w:pPr>
        <w:pStyle w:val="Agency-body-text-report"/>
        <w:keepNext/>
      </w:pPr>
      <w:r w:rsidRPr="00D739A7">
        <w:t>The gender breakdowns have been calculated as follows:</w:t>
      </w:r>
    </w:p>
    <w:p w14:paraId="7C83664D" w14:textId="611FF85F" w:rsidR="00CF5B26" w:rsidRPr="00D739A7" w:rsidRDefault="00EF3C3C" w:rsidP="004A29D9">
      <w:pPr>
        <w:pStyle w:val="Agency-body-text-report"/>
      </w:pPr>
      <w:r w:rsidRPr="00D739A7">
        <w:t>Boys</w:t>
      </w:r>
      <w:r w:rsidR="00CF5B26" w:rsidRPr="00D739A7">
        <w:t xml:space="preserve">: The number of boys with an official decision of SEN who are educated in non-formal educational </w:t>
      </w:r>
      <w:r w:rsidR="007625F8" w:rsidRPr="00D739A7">
        <w:t>settings</w:t>
      </w:r>
      <w:r w:rsidR="00CF5B26" w:rsidRPr="00D739A7">
        <w:t xml:space="preserve"> (</w:t>
      </w:r>
      <w:r w:rsidR="007237E0" w:rsidRPr="00D739A7">
        <w:t>Q3</w:t>
      </w:r>
      <w:r w:rsidR="00CF5B26" w:rsidRPr="00D739A7">
        <w:t>.5) / The number of learners who are enrolled in all formal educational settings (Q1.2) x 100.</w:t>
      </w:r>
    </w:p>
    <w:p w14:paraId="57F88704" w14:textId="6226EDA9" w:rsidR="00CF5B26" w:rsidRPr="00D739A7" w:rsidRDefault="00EF3C3C" w:rsidP="004A29D9">
      <w:pPr>
        <w:pStyle w:val="Agency-body-text-report"/>
      </w:pPr>
      <w:r w:rsidRPr="00D739A7">
        <w:t>Girls</w:t>
      </w:r>
      <w:r w:rsidR="00CF5B26" w:rsidRPr="00D739A7">
        <w:t>: The number of girls with an official decision of SEN who are educated in non</w:t>
      </w:r>
      <w:r w:rsidR="0076411F" w:rsidRPr="00D739A7">
        <w:noBreakHyphen/>
      </w:r>
      <w:r w:rsidR="00CF5B26" w:rsidRPr="00D739A7">
        <w:t xml:space="preserve">formal educational </w:t>
      </w:r>
      <w:r w:rsidR="007625F8" w:rsidRPr="00D739A7">
        <w:t>settings</w:t>
      </w:r>
      <w:r w:rsidR="00CF5B26" w:rsidRPr="00D739A7">
        <w:t xml:space="preserve"> (</w:t>
      </w:r>
      <w:r w:rsidR="007237E0" w:rsidRPr="00D739A7">
        <w:t>Q3</w:t>
      </w:r>
      <w:r w:rsidR="00CF5B26" w:rsidRPr="00D739A7">
        <w:t>.5) / The number of learners who are enrolled in all formal educational settings (Q1.2) x 100.</w:t>
      </w:r>
    </w:p>
    <w:p w14:paraId="3ABC9873" w14:textId="7A2FBF4A" w:rsidR="0076411F" w:rsidRPr="00D739A7" w:rsidRDefault="0076411F" w:rsidP="004A29D9">
      <w:pPr>
        <w:pStyle w:val="Agency-caption-report"/>
        <w:keepNext/>
      </w:pPr>
      <w:bookmarkStart w:id="103" w:name="_Hlk35345283"/>
      <w:r w:rsidRPr="00D739A7">
        <w:lastRenderedPageBreak/>
        <w:t>Table</w:t>
      </w:r>
      <w:r w:rsidR="006874C1" w:rsidRPr="00D739A7">
        <w:t> </w:t>
      </w:r>
      <w:r w:rsidRPr="00D739A7">
        <w:fldChar w:fldCharType="begin"/>
      </w:r>
      <w:r w:rsidRPr="00D739A7">
        <w:instrText xml:space="preserve"> SEQ Table \* ARABIC </w:instrText>
      </w:r>
      <w:r w:rsidRPr="00D739A7">
        <w:fldChar w:fldCharType="separate"/>
      </w:r>
      <w:r w:rsidR="00F74F9D" w:rsidRPr="00D739A7">
        <w:t>18</w:t>
      </w:r>
      <w:r w:rsidRPr="00D739A7">
        <w:fldChar w:fldCharType="end"/>
      </w:r>
      <w:r w:rsidRPr="00D739A7">
        <w:t xml:space="preserve">. </w:t>
      </w:r>
      <w:r w:rsidRPr="00D739A7">
        <w:rPr>
          <w:rFonts w:cs="Calibri"/>
        </w:rPr>
        <w:t>Gender breakdown of learners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CF5B26" w:rsidRPr="00D739A7" w14:paraId="602C8B9C" w14:textId="77777777" w:rsidTr="008009E3">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35F947FC" w14:textId="77777777" w:rsidR="00CF5B26" w:rsidRPr="00D739A7" w:rsidRDefault="00CF5B26" w:rsidP="00DF3DBA">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374B71FA" w14:textId="1A4831C6" w:rsidR="00CF5B26" w:rsidRPr="00D739A7" w:rsidRDefault="00CF5B26" w:rsidP="00DF3DBA">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64605F15" w14:textId="5EAA2E94" w:rsidR="00CF5B26" w:rsidRPr="00D739A7" w:rsidRDefault="00CF5B26" w:rsidP="00DF3DBA">
            <w:pPr>
              <w:pStyle w:val="Agency-body-text-report"/>
              <w:jc w:val="center"/>
              <w:rPr>
                <w:b/>
                <w:bCs/>
              </w:rPr>
            </w:pPr>
            <w:r w:rsidRPr="00D739A7">
              <w:rPr>
                <w:b/>
                <w:bCs/>
              </w:rPr>
              <w:t xml:space="preserve">Percentage (%), </w:t>
            </w:r>
            <w:r w:rsidR="00EF3C3C" w:rsidRPr="00D739A7">
              <w:rPr>
                <w:b/>
                <w:bCs/>
              </w:rPr>
              <w:t>girls</w:t>
            </w:r>
          </w:p>
        </w:tc>
      </w:tr>
      <w:tr w:rsidR="00CF5B26" w:rsidRPr="00D739A7" w14:paraId="00CFBDD7" w14:textId="77777777" w:rsidTr="008009E3">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27F4B77D" w14:textId="128F405D"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72300BC0" w14:textId="77777777" w:rsidR="00CF5B26" w:rsidRPr="00D739A7" w:rsidRDefault="00CF5B26" w:rsidP="004A29D9">
            <w:pPr>
              <w:pStyle w:val="Agency-body-text-report"/>
            </w:pPr>
            <w:r w:rsidRPr="00D739A7">
              <w:t>0.22</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383FC0AF" w14:textId="77777777" w:rsidR="00CF5B26" w:rsidRPr="00D739A7" w:rsidRDefault="00CF5B26" w:rsidP="004A29D9">
            <w:pPr>
              <w:pStyle w:val="Agency-body-text-report"/>
            </w:pPr>
            <w:r w:rsidRPr="00D739A7">
              <w:t>0.08</w:t>
            </w:r>
          </w:p>
        </w:tc>
      </w:tr>
    </w:tbl>
    <w:bookmarkEnd w:id="103"/>
    <w:p w14:paraId="3CB2806D" w14:textId="77777777" w:rsidR="00CF5B26" w:rsidRPr="00D739A7" w:rsidRDefault="00CF5B26" w:rsidP="004A29D9">
      <w:pPr>
        <w:pStyle w:val="Agency-heading-4-report"/>
      </w:pPr>
      <w:r w:rsidRPr="00D739A7">
        <w:t>Gender distribution of learners with an official decision of SEN in non-formal educational settings, based on the enrolled school population (%)</w:t>
      </w:r>
    </w:p>
    <w:p w14:paraId="26F5AC98" w14:textId="77777777" w:rsidR="00CF5B26" w:rsidRPr="00D739A7" w:rsidRDefault="00CF5B26" w:rsidP="004A29D9">
      <w:pPr>
        <w:pStyle w:val="Agency-body-text-report"/>
        <w:keepNext/>
      </w:pPr>
      <w:r w:rsidRPr="00D739A7">
        <w:t>The gender distributions have been calculated as follows:</w:t>
      </w:r>
    </w:p>
    <w:p w14:paraId="39EAFDBD" w14:textId="7266A4B7" w:rsidR="00CF5B26" w:rsidRPr="00D739A7" w:rsidRDefault="00EF3C3C" w:rsidP="004A29D9">
      <w:pPr>
        <w:pStyle w:val="Agency-body-text-report"/>
      </w:pPr>
      <w:r w:rsidRPr="00D739A7">
        <w:t>Boys</w:t>
      </w:r>
      <w:r w:rsidR="00CF5B26" w:rsidRPr="00D739A7">
        <w:t xml:space="preserve">: The number of boys with an official decision of SEN who are educated in non-formal educational </w:t>
      </w:r>
      <w:r w:rsidR="007625F8" w:rsidRPr="00D739A7">
        <w:t>settings</w:t>
      </w:r>
      <w:r w:rsidR="00CF5B26" w:rsidRPr="00D739A7">
        <w:t xml:space="preserve"> (</w:t>
      </w:r>
      <w:r w:rsidR="007237E0" w:rsidRPr="00D739A7">
        <w:t>Q3</w:t>
      </w:r>
      <w:r w:rsidR="00CF5B26" w:rsidRPr="00D739A7">
        <w:t xml:space="preserve">.5) / The number of learners with an official decision of SEN who are educated in non-formal educational </w:t>
      </w:r>
      <w:r w:rsidR="007625F8" w:rsidRPr="00D739A7">
        <w:t>settings</w:t>
      </w:r>
      <w:r w:rsidR="00CF5B26" w:rsidRPr="00D739A7">
        <w:t xml:space="preserve"> (Q3.5) x 100.</w:t>
      </w:r>
    </w:p>
    <w:p w14:paraId="0715102F" w14:textId="51F526DC" w:rsidR="00CF5B26" w:rsidRPr="00D739A7" w:rsidRDefault="00EF3C3C" w:rsidP="004A29D9">
      <w:pPr>
        <w:pStyle w:val="Agency-body-text-report"/>
      </w:pPr>
      <w:r w:rsidRPr="00D739A7">
        <w:t>Girls</w:t>
      </w:r>
      <w:r w:rsidR="00CF5B26" w:rsidRPr="00D739A7">
        <w:t>: The number of girls with an official decision of SEN who are educated in non</w:t>
      </w:r>
      <w:r w:rsidR="0076411F" w:rsidRPr="00D739A7">
        <w:noBreakHyphen/>
      </w:r>
      <w:r w:rsidR="00CF5B26" w:rsidRPr="00D739A7">
        <w:t xml:space="preserve">formal educational </w:t>
      </w:r>
      <w:r w:rsidR="007625F8" w:rsidRPr="00D739A7">
        <w:t>settings</w:t>
      </w:r>
      <w:r w:rsidR="00CF5B26" w:rsidRPr="00D739A7">
        <w:t xml:space="preserve"> (</w:t>
      </w:r>
      <w:r w:rsidR="007237E0" w:rsidRPr="00D739A7">
        <w:t>Q3</w:t>
      </w:r>
      <w:r w:rsidR="00CF5B26" w:rsidRPr="00D739A7">
        <w:t xml:space="preserve">.5) / The number of learners with an official decision of SEN who are educated in non-formal educational </w:t>
      </w:r>
      <w:r w:rsidR="007625F8" w:rsidRPr="00D739A7">
        <w:t>settings</w:t>
      </w:r>
      <w:r w:rsidR="00CF5B26" w:rsidRPr="00D739A7">
        <w:t xml:space="preserve"> (Q3.5) x 100.</w:t>
      </w:r>
    </w:p>
    <w:p w14:paraId="5CD22202" w14:textId="5076FA9F" w:rsidR="008E2DFE" w:rsidRPr="00D739A7" w:rsidRDefault="008E2DFE" w:rsidP="008E2DFE">
      <w:pPr>
        <w:pStyle w:val="Agency-caption-report"/>
        <w:keepNext/>
      </w:pPr>
      <w:r w:rsidRPr="00D739A7">
        <w:t>Table </w:t>
      </w:r>
      <w:r w:rsidRPr="00D739A7">
        <w:fldChar w:fldCharType="begin"/>
      </w:r>
      <w:r w:rsidRPr="00D739A7">
        <w:instrText xml:space="preserve"> SEQ Table \* ARABIC </w:instrText>
      </w:r>
      <w:r w:rsidRPr="00D739A7">
        <w:fldChar w:fldCharType="separate"/>
      </w:r>
      <w:r w:rsidR="00F74F9D" w:rsidRPr="00D739A7">
        <w:t>19</w:t>
      </w:r>
      <w:r w:rsidRPr="00D739A7">
        <w:fldChar w:fldCharType="end"/>
      </w:r>
      <w:r w:rsidRPr="00D739A7">
        <w:t xml:space="preserve">. </w:t>
      </w:r>
      <w:r w:rsidRPr="00D739A7">
        <w:rPr>
          <w:rFonts w:cs="Calibri"/>
        </w:rPr>
        <w:t>Gender distribution of learners with an official decision of SEN in non-formal educational settings, based on the enrolled school population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8E2DFE" w:rsidRPr="00D739A7" w14:paraId="3DB21D24" w14:textId="77777777" w:rsidTr="00D6724D">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046F88F6" w14:textId="77777777" w:rsidR="008E2DFE" w:rsidRPr="00D739A7" w:rsidRDefault="008E2DFE" w:rsidP="00DF3DBA">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45E5FDDD" w14:textId="77777777" w:rsidR="008E2DFE" w:rsidRPr="00D739A7" w:rsidRDefault="008E2DFE" w:rsidP="00DF3DBA">
            <w:pPr>
              <w:pStyle w:val="Agency-body-text-report"/>
              <w:jc w:val="center"/>
              <w:rPr>
                <w:b/>
                <w:bCs/>
              </w:rPr>
            </w:pPr>
            <w:r w:rsidRPr="00D739A7">
              <w:rPr>
                <w:b/>
                <w:bCs/>
              </w:rPr>
              <w:t>Percentage (%), 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2348DF7A" w14:textId="77777777" w:rsidR="008E2DFE" w:rsidRPr="00D739A7" w:rsidRDefault="008E2DFE" w:rsidP="00DF3DBA">
            <w:pPr>
              <w:pStyle w:val="Agency-body-text-report"/>
              <w:jc w:val="center"/>
              <w:rPr>
                <w:b/>
                <w:bCs/>
              </w:rPr>
            </w:pPr>
            <w:r w:rsidRPr="00D739A7">
              <w:rPr>
                <w:b/>
                <w:bCs/>
              </w:rPr>
              <w:t>Percentage (%), girls</w:t>
            </w:r>
          </w:p>
        </w:tc>
      </w:tr>
      <w:tr w:rsidR="008E2DFE" w:rsidRPr="00D739A7" w14:paraId="7823DF6D" w14:textId="77777777" w:rsidTr="00D6724D">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7514D567" w14:textId="77777777" w:rsidR="008E2DFE" w:rsidRPr="00D739A7" w:rsidRDefault="008E2DFE" w:rsidP="00D6724D">
            <w:pPr>
              <w:pStyle w:val="Agency-body-text-report"/>
            </w:pPr>
            <w:r w:rsidRPr="00D739A7">
              <w:t>UK (Wales)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3B4BBCC4" w14:textId="77777777" w:rsidR="008E2DFE" w:rsidRPr="00D739A7" w:rsidRDefault="008E2DFE" w:rsidP="00D6724D">
            <w:pPr>
              <w:pStyle w:val="Agency-body-text-report"/>
            </w:pPr>
            <w:r w:rsidRPr="00D739A7">
              <w:t>72.94</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639577DA" w14:textId="77777777" w:rsidR="008E2DFE" w:rsidRPr="00D739A7" w:rsidRDefault="008E2DFE" w:rsidP="00D6724D">
            <w:pPr>
              <w:pStyle w:val="Agency-body-text-report"/>
            </w:pPr>
            <w:r w:rsidRPr="00D739A7">
              <w:t>27.06</w:t>
            </w:r>
          </w:p>
        </w:tc>
      </w:tr>
    </w:tbl>
    <w:p w14:paraId="035999BC" w14:textId="39447225" w:rsidR="00CF5B26" w:rsidRPr="00D739A7" w:rsidRDefault="00436B97" w:rsidP="004A29D9">
      <w:pPr>
        <w:pStyle w:val="Agency-heading-3-report"/>
      </w:pPr>
      <w:bookmarkStart w:id="104" w:name="_Toc35943088"/>
      <w:r w:rsidRPr="00D739A7">
        <w:t>Indicator </w:t>
      </w:r>
      <w:r w:rsidR="00CB5E30" w:rsidRPr="00D739A7">
        <w:t>3.</w:t>
      </w:r>
      <w:r w:rsidRPr="00D739A7">
        <w:t>3</w:t>
      </w:r>
      <w:r w:rsidR="00CF5B26" w:rsidRPr="00D739A7">
        <w:t xml:space="preserve">c.4: the percentage of learners with an official decision of SEN in non-formal educational settings, based on the population of learners with an official decision of </w:t>
      </w:r>
      <w:r w:rsidR="0076411F" w:rsidRPr="00D739A7">
        <w:t>SEN </w:t>
      </w:r>
      <w:r w:rsidR="00CF5B26" w:rsidRPr="00D739A7">
        <w:t>(%)</w:t>
      </w:r>
      <w:bookmarkEnd w:id="104"/>
    </w:p>
    <w:p w14:paraId="1F6B6A49" w14:textId="77777777" w:rsidR="00CF5B26" w:rsidRPr="00D739A7" w:rsidRDefault="00CF5B26" w:rsidP="004A29D9">
      <w:pPr>
        <w:pStyle w:val="Agency-body-text-report"/>
      </w:pPr>
      <w:r w:rsidRPr="00D739A7">
        <w:t>This indicator has been calculated as follows: The number of learners with an official decision of SEN who are educated in non-formal educational settings (Q3.5) / The number of learners with an official decision of SEN (Q3.1) x 100.</w:t>
      </w:r>
    </w:p>
    <w:p w14:paraId="76D933B4" w14:textId="77777777" w:rsidR="00CF5B26" w:rsidRPr="00D739A7" w:rsidRDefault="00CF5B26" w:rsidP="004A29D9">
      <w:pPr>
        <w:pStyle w:val="Agency-body-text-report"/>
      </w:pPr>
      <w:r w:rsidRPr="00D739A7">
        <w:t>Data on non-formal education is only available for one country, so data for this indicator is presented in tables rather than figures.</w:t>
      </w:r>
    </w:p>
    <w:p w14:paraId="38ECAA94" w14:textId="3A4CF49C" w:rsidR="006A73EF" w:rsidRPr="00D739A7" w:rsidRDefault="006A73EF" w:rsidP="004A29D9">
      <w:pPr>
        <w:pStyle w:val="Agency-caption-report"/>
        <w:keepNext/>
      </w:pPr>
      <w:r w:rsidRPr="00D739A7">
        <w:t>Table</w:t>
      </w:r>
      <w:r w:rsidR="006874C1" w:rsidRPr="00D739A7">
        <w:t> </w:t>
      </w:r>
      <w:r w:rsidRPr="00D739A7">
        <w:fldChar w:fldCharType="begin"/>
      </w:r>
      <w:r w:rsidRPr="00D739A7">
        <w:instrText xml:space="preserve"> SEQ Table \* ARABIC </w:instrText>
      </w:r>
      <w:r w:rsidRPr="00D739A7">
        <w:fldChar w:fldCharType="separate"/>
      </w:r>
      <w:r w:rsidR="00F74F9D" w:rsidRPr="00D739A7">
        <w:t>20</w:t>
      </w:r>
      <w:r w:rsidRPr="00D739A7">
        <w:fldChar w:fldCharType="end"/>
      </w:r>
      <w:r w:rsidRPr="00D739A7">
        <w:t>. Percentage of learners with an official decision of SEN in non-formal educational settings, based on the population of learners with an official decision of SEN (%)</w:t>
      </w:r>
    </w:p>
    <w:tbl>
      <w:tblPr>
        <w:tblW w:w="5000" w:type="pct"/>
        <w:tblBorders>
          <w:top w:val="single" w:sz="4" w:space="0" w:color="1E1C43"/>
          <w:left w:val="single" w:sz="4" w:space="0" w:color="1E1C43"/>
          <w:bottom w:val="single" w:sz="4" w:space="0" w:color="1E1C43"/>
          <w:right w:val="single" w:sz="4" w:space="0" w:color="1E1C43"/>
          <w:insideH w:val="single" w:sz="4" w:space="0" w:color="1E1C43"/>
          <w:insideV w:val="single" w:sz="4" w:space="0" w:color="1E1C43"/>
        </w:tblBorders>
        <w:tblLook w:val="00A0" w:firstRow="1" w:lastRow="0" w:firstColumn="1" w:lastColumn="0" w:noHBand="0" w:noVBand="0"/>
        <w:tblDescription w:val="Belgium (Flemish speaking community)&#10;82.54&#10;Belgium (French speaking community)&#10;95.73&#10;Croatia&#10;4.99&#10;Cyprus&#10;5.53&#10;Czech Republic&#10;34.66&#10;Denmark&#10;36.85&#10;Estonia&#10;36.41&#10;Finland&#10;12.41&#10;France&#10;20.83&#10;Germany&#10;68.47&#10;Hungary&#10;32.71&#10;Iceland&#10;2.06&#10;Ireland&#10;18.75&#10;Latvia&#10;59.15&#10;L"/>
      </w:tblPr>
      <w:tblGrid>
        <w:gridCol w:w="4460"/>
        <w:gridCol w:w="4460"/>
      </w:tblGrid>
      <w:tr w:rsidR="00CF5B26" w:rsidRPr="00D739A7" w14:paraId="58864B4C" w14:textId="77777777" w:rsidTr="008009E3">
        <w:trPr>
          <w:trHeight w:val="533"/>
          <w:tblHeader/>
        </w:trPr>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1FF75728" w14:textId="77777777" w:rsidR="00CF5B26" w:rsidRPr="00D739A7" w:rsidRDefault="00CF5B26" w:rsidP="004A29D9">
            <w:pPr>
              <w:pStyle w:val="Agency-body-text-report"/>
              <w:jc w:val="center"/>
              <w:rPr>
                <w:b/>
                <w:bCs/>
              </w:rPr>
            </w:pPr>
            <w:r w:rsidRPr="00D739A7">
              <w:rPr>
                <w:b/>
                <w:bCs/>
              </w:rPr>
              <w:t>Country</w:t>
            </w:r>
          </w:p>
        </w:tc>
        <w:tc>
          <w:tcPr>
            <w:tcW w:w="2500" w:type="pct"/>
            <w:tcBorders>
              <w:top w:val="single" w:sz="4" w:space="0" w:color="1E1C43"/>
              <w:left w:val="single" w:sz="4" w:space="0" w:color="1E1C43"/>
              <w:bottom w:val="single" w:sz="4" w:space="0" w:color="1E1C43"/>
              <w:right w:val="single" w:sz="4" w:space="0" w:color="1E1C43"/>
            </w:tcBorders>
            <w:shd w:val="clear" w:color="auto" w:fill="D9D9D9"/>
            <w:vAlign w:val="center"/>
          </w:tcPr>
          <w:p w14:paraId="6ED7668E" w14:textId="77777777" w:rsidR="00CF5B26" w:rsidRPr="00D739A7" w:rsidRDefault="00CF5B26" w:rsidP="004A29D9">
            <w:pPr>
              <w:pStyle w:val="Agency-body-text-report"/>
              <w:jc w:val="center"/>
              <w:rPr>
                <w:b/>
                <w:bCs/>
              </w:rPr>
            </w:pPr>
            <w:r w:rsidRPr="00D739A7">
              <w:rPr>
                <w:b/>
                <w:bCs/>
              </w:rPr>
              <w:t>Percentage (%)</w:t>
            </w:r>
          </w:p>
        </w:tc>
      </w:tr>
      <w:tr w:rsidR="00CF5B26" w:rsidRPr="00D739A7" w14:paraId="51DB460C" w14:textId="77777777" w:rsidTr="008009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3"/>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3038A3C" w14:textId="7E729EB4" w:rsidR="00CF5B26" w:rsidRPr="00D739A7" w:rsidRDefault="00E61A02" w:rsidP="004A29D9">
            <w:pPr>
              <w:pStyle w:val="Agency-body-text-report"/>
            </w:pPr>
            <w:r w:rsidRPr="00D739A7">
              <w:t>UK (</w:t>
            </w:r>
            <w:r w:rsidR="00CF5B26" w:rsidRPr="00D739A7">
              <w:t>Wales)</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29DB01A8" w14:textId="77777777" w:rsidR="00CF5B26" w:rsidRPr="00D739A7" w:rsidRDefault="00CF5B26" w:rsidP="004A29D9">
            <w:pPr>
              <w:pStyle w:val="Agency-body-text-report"/>
            </w:pPr>
            <w:r w:rsidRPr="00D739A7">
              <w:t>6.25</w:t>
            </w:r>
          </w:p>
        </w:tc>
      </w:tr>
    </w:tbl>
    <w:p w14:paraId="641B2727" w14:textId="77777777" w:rsidR="00CF5B26" w:rsidRPr="00D739A7" w:rsidRDefault="00CF5B26" w:rsidP="004A29D9">
      <w:pPr>
        <w:pStyle w:val="Agency-heading-4-report"/>
      </w:pPr>
      <w:r w:rsidRPr="00D739A7">
        <w:lastRenderedPageBreak/>
        <w:t>Gender breakdown of learners with an official decision of SEN in non-formal educational settings, based on the population of learners with an official decision of SEN (%)</w:t>
      </w:r>
    </w:p>
    <w:p w14:paraId="00B9F97C" w14:textId="77777777" w:rsidR="00CF5B26" w:rsidRPr="00D739A7" w:rsidRDefault="00CF5B26" w:rsidP="004A29D9">
      <w:pPr>
        <w:pStyle w:val="Agency-body-text-report"/>
        <w:keepNext/>
      </w:pPr>
      <w:r w:rsidRPr="00D739A7">
        <w:t>The gender breakdowns have been calculated as follows:</w:t>
      </w:r>
    </w:p>
    <w:p w14:paraId="79A4B640" w14:textId="7B8E6F82" w:rsidR="00CF5B26" w:rsidRPr="00D739A7" w:rsidRDefault="00EF3C3C" w:rsidP="004A29D9">
      <w:pPr>
        <w:pStyle w:val="Agency-body-text-report"/>
      </w:pPr>
      <w:r w:rsidRPr="00D739A7">
        <w:t>Boys</w:t>
      </w:r>
      <w:r w:rsidR="00CF5B26" w:rsidRPr="00D739A7">
        <w:t>: The number of boys with an official decision of SEN who are educated in non-formal educational settings (Q3.5) / The number of learners with an official decision of SEN (Q3.1) x 100.</w:t>
      </w:r>
    </w:p>
    <w:p w14:paraId="3EF0BBE6" w14:textId="2258CD62" w:rsidR="00CF5B26" w:rsidRPr="00D739A7" w:rsidRDefault="00EF3C3C" w:rsidP="004A29D9">
      <w:pPr>
        <w:pStyle w:val="Agency-body-text-report"/>
      </w:pPr>
      <w:r w:rsidRPr="00D739A7">
        <w:t>Girls</w:t>
      </w:r>
      <w:r w:rsidR="00CF5B26" w:rsidRPr="00D739A7">
        <w:t>: The number of girls with an official decision of SEN who are educated in non</w:t>
      </w:r>
      <w:r w:rsidR="006A73EF" w:rsidRPr="00D739A7">
        <w:noBreakHyphen/>
      </w:r>
      <w:r w:rsidR="00CF5B26" w:rsidRPr="00D739A7">
        <w:t>formal educational settings (Q3.5) / The number of learners with an official decision of SEN (Q3.1) x 100.</w:t>
      </w:r>
    </w:p>
    <w:p w14:paraId="141BE4D2" w14:textId="3550CAA8" w:rsidR="006A73EF" w:rsidRPr="00D739A7" w:rsidRDefault="006A73EF" w:rsidP="004A29D9">
      <w:pPr>
        <w:pStyle w:val="Agency-caption-report"/>
        <w:keepNext/>
      </w:pPr>
      <w:r w:rsidRPr="00D739A7">
        <w:t>Table</w:t>
      </w:r>
      <w:r w:rsidR="006874C1" w:rsidRPr="00D739A7">
        <w:t> </w:t>
      </w:r>
      <w:r w:rsidRPr="00D739A7">
        <w:fldChar w:fldCharType="begin"/>
      </w:r>
      <w:r w:rsidRPr="00D739A7">
        <w:instrText xml:space="preserve"> SEQ Table \* ARABIC </w:instrText>
      </w:r>
      <w:r w:rsidRPr="00D739A7">
        <w:fldChar w:fldCharType="separate"/>
      </w:r>
      <w:r w:rsidR="00F74F9D" w:rsidRPr="00D739A7">
        <w:t>21</w:t>
      </w:r>
      <w:r w:rsidRPr="00D739A7">
        <w:fldChar w:fldCharType="end"/>
      </w:r>
      <w:r w:rsidRPr="00D739A7">
        <w:t>. Gender breakdown of learners with an official decision of SEN in non-formal educational settings, based on the population of learners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male percentage, female percentage, Belgium (Flemish speaking community)&#10;59.15&#10;32.41&#10;Belgium (French speaking community)&#10;61.46&#10;34.27&#10;Croatia&#10;3.03&#10;1.96&#10;Cyprus&#10;3.50&#10;2.03&#10;Czech Republic&#10;21.53&#10;13.13&#10;Denmark&#10;26.63&#10;10.22&#10;Estonia&#10;24.80&#10;11.60&#10;Finland&#10;8.6"/>
      </w:tblPr>
      <w:tblGrid>
        <w:gridCol w:w="2964"/>
        <w:gridCol w:w="2978"/>
        <w:gridCol w:w="2978"/>
      </w:tblGrid>
      <w:tr w:rsidR="00CF5B26" w:rsidRPr="00D739A7" w14:paraId="060A018C" w14:textId="77777777" w:rsidTr="008009E3">
        <w:trPr>
          <w:cantSplit/>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29BAC781" w14:textId="77777777" w:rsidR="00CF5B26" w:rsidRPr="00D739A7" w:rsidRDefault="00CF5B26" w:rsidP="004A29D9">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7D84755A" w14:textId="43CBE585" w:rsidR="00CF5B26" w:rsidRPr="00D739A7" w:rsidRDefault="00CF5B26" w:rsidP="004A29D9">
            <w:pPr>
              <w:pStyle w:val="Agency-body-text-report"/>
              <w:jc w:val="center"/>
              <w:rPr>
                <w:b/>
                <w:bCs/>
              </w:rPr>
            </w:pPr>
            <w:r w:rsidRPr="00D739A7">
              <w:rPr>
                <w:b/>
                <w:bCs/>
              </w:rPr>
              <w:t xml:space="preserve">Percentage (%), </w:t>
            </w:r>
            <w:r w:rsidR="00EF3C3C" w:rsidRPr="00D739A7">
              <w:rPr>
                <w:b/>
                <w:bCs/>
              </w:rPr>
              <w:t>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5D970790" w14:textId="0030ECA6" w:rsidR="00CF5B26" w:rsidRPr="00D739A7" w:rsidRDefault="00CF5B26" w:rsidP="004A29D9">
            <w:pPr>
              <w:pStyle w:val="Agency-body-text-report"/>
              <w:jc w:val="center"/>
              <w:rPr>
                <w:b/>
                <w:bCs/>
              </w:rPr>
            </w:pPr>
            <w:r w:rsidRPr="00D739A7">
              <w:rPr>
                <w:b/>
                <w:bCs/>
              </w:rPr>
              <w:t xml:space="preserve">Percentage (%), </w:t>
            </w:r>
            <w:r w:rsidR="00EF3C3C" w:rsidRPr="00D739A7">
              <w:rPr>
                <w:b/>
                <w:bCs/>
              </w:rPr>
              <w:t>girls</w:t>
            </w:r>
          </w:p>
        </w:tc>
      </w:tr>
      <w:tr w:rsidR="00CF5B26" w:rsidRPr="00D739A7" w14:paraId="5875A1DD" w14:textId="77777777" w:rsidTr="008009E3">
        <w:trPr>
          <w:cantSplit/>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48EA105B" w14:textId="30F833E5" w:rsidR="00CF5B26" w:rsidRPr="00D739A7" w:rsidRDefault="00E61A02" w:rsidP="004A29D9">
            <w:pPr>
              <w:pStyle w:val="Agency-body-text-report"/>
            </w:pPr>
            <w:r w:rsidRPr="00D739A7">
              <w:t>UK (</w:t>
            </w:r>
            <w:r w:rsidR="00CF5B26" w:rsidRPr="00D739A7">
              <w:t>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56824B40" w14:textId="77777777" w:rsidR="00CF5B26" w:rsidRPr="00D739A7" w:rsidRDefault="00CF5B26" w:rsidP="004A29D9">
            <w:pPr>
              <w:pStyle w:val="Agency-body-text-report"/>
            </w:pPr>
            <w:r w:rsidRPr="00D739A7">
              <w:t>4.56</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5F8DA812" w14:textId="77777777" w:rsidR="00CF5B26" w:rsidRPr="00D739A7" w:rsidRDefault="00CF5B26" w:rsidP="004A29D9">
            <w:pPr>
              <w:pStyle w:val="Agency-body-text-report"/>
            </w:pPr>
            <w:r w:rsidRPr="00D739A7">
              <w:t>1.69</w:t>
            </w:r>
          </w:p>
        </w:tc>
      </w:tr>
    </w:tbl>
    <w:p w14:paraId="33CF87A2" w14:textId="77777777" w:rsidR="00CF5B26" w:rsidRPr="00D739A7" w:rsidRDefault="00CF5B26" w:rsidP="004A29D9">
      <w:pPr>
        <w:pStyle w:val="Agency-heading-4-report"/>
      </w:pPr>
      <w:r w:rsidRPr="00D739A7">
        <w:t>Gender distribution of learners with an official decision of SEN in non-formal educational settings, based on the population of learners with an official decision of SEN (%)</w:t>
      </w:r>
    </w:p>
    <w:p w14:paraId="3B931E5B" w14:textId="77777777" w:rsidR="00CF5B26" w:rsidRPr="00D739A7" w:rsidRDefault="00CF5B26" w:rsidP="004A29D9">
      <w:pPr>
        <w:pStyle w:val="Agency-body-text-report"/>
        <w:keepNext/>
      </w:pPr>
      <w:r w:rsidRPr="00D739A7">
        <w:t>The gender distributions have been calculated as follows:</w:t>
      </w:r>
    </w:p>
    <w:p w14:paraId="16004DFF" w14:textId="6FF33ACC" w:rsidR="00CF5B26" w:rsidRPr="00D739A7" w:rsidRDefault="00EF3C3C" w:rsidP="004A29D9">
      <w:pPr>
        <w:pStyle w:val="Agency-body-text-report"/>
        <w:rPr>
          <w:szCs w:val="20"/>
        </w:rPr>
      </w:pPr>
      <w:r w:rsidRPr="00D739A7">
        <w:t>Boys</w:t>
      </w:r>
      <w:r w:rsidR="00CF5B26" w:rsidRPr="00D739A7">
        <w:t>:</w:t>
      </w:r>
      <w:r w:rsidR="00CF5B26" w:rsidRPr="00D739A7">
        <w:rPr>
          <w:szCs w:val="20"/>
        </w:rPr>
        <w:t xml:space="preserve"> The number of boys with an official decision of SEN who are educated in non-formal educational settings (Q3.5) / The number of learners with an official decision of SEN who are educated in non-formal educational settings (Q3.5) x 100.</w:t>
      </w:r>
    </w:p>
    <w:p w14:paraId="5A8DF9A8" w14:textId="77777777" w:rsidR="00550DA8" w:rsidRPr="00D739A7" w:rsidRDefault="00EF3C3C" w:rsidP="004A29D9">
      <w:pPr>
        <w:pStyle w:val="Agency-body-text-report"/>
        <w:rPr>
          <w:szCs w:val="20"/>
        </w:rPr>
      </w:pPr>
      <w:r w:rsidRPr="00D739A7">
        <w:t>Girls</w:t>
      </w:r>
      <w:r w:rsidR="00CF5B26" w:rsidRPr="00D739A7">
        <w:t>:</w:t>
      </w:r>
      <w:r w:rsidR="00CF5B26" w:rsidRPr="00D739A7">
        <w:rPr>
          <w:szCs w:val="20"/>
        </w:rPr>
        <w:t xml:space="preserve"> The number of girls with an official decision of SEN who are educated in non-formal educational settings (Q3.5) / The number of learners with an official decision of SEN who are educated in non-formal educational settings (Q3.5) x 100.</w:t>
      </w:r>
    </w:p>
    <w:p w14:paraId="35428EAF" w14:textId="31F336E7" w:rsidR="000C23ED" w:rsidRPr="00D739A7" w:rsidRDefault="00F74F9D" w:rsidP="00DF3DBA">
      <w:pPr>
        <w:pStyle w:val="Agency-caption-report"/>
      </w:pPr>
      <w:r w:rsidRPr="00D739A7">
        <w:t xml:space="preserve">Table </w:t>
      </w:r>
      <w:r w:rsidRPr="00D739A7">
        <w:fldChar w:fldCharType="begin"/>
      </w:r>
      <w:r w:rsidRPr="00D739A7">
        <w:instrText xml:space="preserve"> SEQ Table \* ARABIC </w:instrText>
      </w:r>
      <w:r w:rsidRPr="00D739A7">
        <w:fldChar w:fldCharType="separate"/>
      </w:r>
      <w:r w:rsidRPr="00D739A7">
        <w:t>22</w:t>
      </w:r>
      <w:r w:rsidRPr="00D739A7">
        <w:fldChar w:fldCharType="end"/>
      </w:r>
      <w:r w:rsidRPr="00D739A7">
        <w:t>. Gender distribution of learners with an official decision of SEN in non-formal educational settings, based on the population of learners with an official decision of SEN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Country name, followed by male percentage and female percentage, Belgium (Flemish speaking community)&#10;5.06&#10;2.77&#10;Belgium (French speaking community)&#10;4.13&#10;2.30&#10;Croatia&#10;0.15&#10;0.10&#10;Cyprus&#10;0.19&#10;0.11&#10;Czech Republic&#10;1.99&#10;1.21&#10;Denmark&#10;1.47&#10;0.56&#10;Estonia&#10;2.09&#10;0.98&#10;F"/>
      </w:tblPr>
      <w:tblGrid>
        <w:gridCol w:w="2964"/>
        <w:gridCol w:w="2978"/>
        <w:gridCol w:w="2978"/>
      </w:tblGrid>
      <w:tr w:rsidR="00E575DD" w:rsidRPr="00D739A7" w14:paraId="734C3499" w14:textId="77777777" w:rsidTr="00E575DD">
        <w:trPr>
          <w:trHeight w:val="533"/>
          <w:tblHeader/>
        </w:trPr>
        <w:tc>
          <w:tcPr>
            <w:tcW w:w="2964" w:type="dxa"/>
            <w:tcBorders>
              <w:top w:val="single" w:sz="4" w:space="0" w:color="auto"/>
              <w:left w:val="single" w:sz="4" w:space="0" w:color="auto"/>
              <w:bottom w:val="single" w:sz="4" w:space="0" w:color="auto"/>
              <w:right w:val="single" w:sz="4" w:space="0" w:color="auto"/>
            </w:tcBorders>
            <w:shd w:val="clear" w:color="auto" w:fill="D9D9D9"/>
            <w:vAlign w:val="center"/>
          </w:tcPr>
          <w:p w14:paraId="2C960384" w14:textId="77777777" w:rsidR="00E575DD" w:rsidRPr="00D739A7" w:rsidRDefault="00E575DD" w:rsidP="008E40DF">
            <w:pPr>
              <w:pStyle w:val="Agency-body-text-report"/>
              <w:jc w:val="center"/>
              <w:rPr>
                <w:b/>
                <w:bCs/>
              </w:rPr>
            </w:pPr>
            <w:r w:rsidRPr="00D739A7">
              <w:rPr>
                <w:b/>
                <w:bCs/>
              </w:rPr>
              <w:t>Country</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1211B13B" w14:textId="13CD5B2D" w:rsidR="00E575DD" w:rsidRPr="00D739A7" w:rsidRDefault="00E575DD" w:rsidP="008E40DF">
            <w:pPr>
              <w:pStyle w:val="Agency-body-text-report"/>
              <w:jc w:val="center"/>
              <w:rPr>
                <w:b/>
                <w:bCs/>
              </w:rPr>
            </w:pPr>
            <w:r w:rsidRPr="00D739A7">
              <w:rPr>
                <w:b/>
                <w:bCs/>
              </w:rPr>
              <w:t>Percentage (%), boys</w:t>
            </w:r>
          </w:p>
        </w:tc>
        <w:tc>
          <w:tcPr>
            <w:tcW w:w="2978" w:type="dxa"/>
            <w:tcBorders>
              <w:top w:val="single" w:sz="4" w:space="0" w:color="auto"/>
              <w:left w:val="single" w:sz="4" w:space="0" w:color="auto"/>
              <w:bottom w:val="single" w:sz="4" w:space="0" w:color="auto"/>
              <w:right w:val="single" w:sz="4" w:space="0" w:color="auto"/>
            </w:tcBorders>
            <w:shd w:val="clear" w:color="auto" w:fill="D9D9D9"/>
            <w:vAlign w:val="center"/>
          </w:tcPr>
          <w:p w14:paraId="4BC8D97C" w14:textId="76727829" w:rsidR="00E575DD" w:rsidRPr="00D739A7" w:rsidRDefault="00E575DD" w:rsidP="008E40DF">
            <w:pPr>
              <w:pStyle w:val="Agency-body-text-report"/>
              <w:jc w:val="center"/>
              <w:rPr>
                <w:b/>
                <w:bCs/>
              </w:rPr>
            </w:pPr>
            <w:r w:rsidRPr="00D739A7">
              <w:rPr>
                <w:b/>
                <w:bCs/>
              </w:rPr>
              <w:t>Percentage (%), girls</w:t>
            </w:r>
          </w:p>
        </w:tc>
      </w:tr>
      <w:tr w:rsidR="00E575DD" w:rsidRPr="00D739A7" w14:paraId="3B294487" w14:textId="77777777" w:rsidTr="00E575DD">
        <w:trPr>
          <w:trHeight w:val="533"/>
        </w:trPr>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14:paraId="4D8AC785" w14:textId="43C9D651" w:rsidR="00E575DD" w:rsidRPr="00D739A7" w:rsidRDefault="00E575DD" w:rsidP="00E575DD">
            <w:pPr>
              <w:pStyle w:val="Agency-body-text-report"/>
            </w:pPr>
            <w:r w:rsidRPr="00D739A7">
              <w:t>UK (Wales)</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60150F8F" w14:textId="77777777" w:rsidR="00E575DD" w:rsidRPr="00D739A7" w:rsidRDefault="00E575DD" w:rsidP="00E575DD">
            <w:pPr>
              <w:pStyle w:val="Agency-body-text-report"/>
            </w:pPr>
            <w:r w:rsidRPr="00D739A7">
              <w:t>72.94</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center"/>
          </w:tcPr>
          <w:p w14:paraId="2302BD6A" w14:textId="77777777" w:rsidR="00E575DD" w:rsidRPr="00D739A7" w:rsidRDefault="00E575DD" w:rsidP="00E575DD">
            <w:pPr>
              <w:pStyle w:val="Agency-body-text-report"/>
            </w:pPr>
            <w:r w:rsidRPr="00D739A7">
              <w:t>27.06</w:t>
            </w:r>
          </w:p>
        </w:tc>
      </w:tr>
    </w:tbl>
    <w:p w14:paraId="769B719B" w14:textId="77777777" w:rsidR="00E575DD" w:rsidRPr="00D739A7" w:rsidRDefault="00E575DD" w:rsidP="004A29D9">
      <w:pPr>
        <w:pStyle w:val="Agency-body-text-report"/>
      </w:pPr>
    </w:p>
    <w:sectPr w:rsidR="00E575DD" w:rsidRPr="00D739A7" w:rsidSect="00751B98">
      <w:type w:val="continuous"/>
      <w:pgSz w:w="11899" w:h="16838"/>
      <w:pgMar w:top="1134" w:right="1551" w:bottom="1276"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244CDF" w14:textId="77777777" w:rsidR="00AC30F3" w:rsidRDefault="00AC30F3" w:rsidP="00183404">
      <w:pPr>
        <w:spacing w:after="0" w:line="240" w:lineRule="auto"/>
      </w:pPr>
      <w:r>
        <w:separator/>
      </w:r>
    </w:p>
    <w:p w14:paraId="3FA5D1DE" w14:textId="77777777" w:rsidR="00AC30F3" w:rsidRDefault="00AC30F3"/>
  </w:endnote>
  <w:endnote w:type="continuationSeparator" w:id="0">
    <w:p w14:paraId="23B64FE8" w14:textId="77777777" w:rsidR="00AC30F3" w:rsidRDefault="00AC30F3" w:rsidP="00183404">
      <w:pPr>
        <w:spacing w:after="0" w:line="240" w:lineRule="auto"/>
      </w:pPr>
      <w:r>
        <w:continuationSeparator/>
      </w:r>
    </w:p>
    <w:p w14:paraId="2424474F" w14:textId="77777777" w:rsidR="00AC30F3" w:rsidRDefault="00AC30F3"/>
  </w:endnote>
  <w:endnote w:type="continuationNotice" w:id="1">
    <w:p w14:paraId="3954F18A" w14:textId="77777777" w:rsidR="00AC30F3" w:rsidRDefault="00AC30F3">
      <w:pPr>
        <w:spacing w:after="0" w:line="240" w:lineRule="auto"/>
      </w:pPr>
    </w:p>
    <w:p w14:paraId="0AC2FEA6" w14:textId="77777777" w:rsidR="00AC30F3" w:rsidRDefault="00AC30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Times New Roman (Body CS)">
    <w:altName w:val="Times New Roman"/>
    <w:panose1 w:val="020B0604020202020204"/>
    <w:charset w:val="00"/>
    <w:family w:val="roman"/>
    <w:notTrueType/>
    <w:pitch w:val="default"/>
  </w:font>
  <w:font w:name="Lucida Grande">
    <w:panose1 w:val="020B0600040502020204"/>
    <w:charset w:val="00"/>
    <w:family w:val="auto"/>
    <w:pitch w:val="variable"/>
    <w:sig w:usb0="E1000AEF" w:usb1="5000A1FF" w:usb2="00000000" w:usb3="00000000" w:csb0="000001B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8773C" w14:textId="77777777" w:rsidR="00093840" w:rsidRPr="00B4075B" w:rsidRDefault="00093840" w:rsidP="008A7E10">
    <w:pPr>
      <w:framePr w:wrap="around" w:vAnchor="text" w:hAnchor="page" w:x="1640" w:y="1"/>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5FED29" w14:textId="77777777" w:rsidR="00093840" w:rsidRPr="00AE6CBE" w:rsidRDefault="00093840" w:rsidP="008A7E10">
    <w:pPr>
      <w:framePr w:wrap="around" w:vAnchor="text" w:hAnchor="page" w:x="9969" w:y="52"/>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3</w:t>
    </w:r>
    <w:r w:rsidRPr="00AE6CBE">
      <w:rPr>
        <w:rFonts w:ascii="Calibri" w:hAnsi="Calibri"/>
        <w:color w:val="FFFFFF"/>
      </w:rPr>
      <w:fldChar w:fldCharType="end"/>
    </w:r>
  </w:p>
  <w:p w14:paraId="6F19DF76" w14:textId="77777777" w:rsidR="00093840" w:rsidRPr="007F1F89" w:rsidRDefault="00093840" w:rsidP="008A7E10">
    <w:pPr>
      <w:pStyle w:val="Agency-footer-report"/>
      <w:tabs>
        <w:tab w:val="clear" w:pos="8640"/>
        <w:tab w:val="right" w:pos="8931"/>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394522" w14:textId="77777777" w:rsidR="00093840" w:rsidRPr="00AE6CBE" w:rsidRDefault="00093840" w:rsidP="008A7E10">
    <w:pPr>
      <w:framePr w:wrap="around" w:vAnchor="text" w:hAnchor="page" w:x="1662"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4</w:t>
    </w:r>
    <w:r w:rsidRPr="00AE6CBE">
      <w:rPr>
        <w:rFonts w:ascii="Calibri" w:hAnsi="Calibri"/>
        <w:color w:val="FFFFFF"/>
      </w:rPr>
      <w:fldChar w:fldCharType="end"/>
    </w:r>
  </w:p>
  <w:p w14:paraId="7B1DF4BA" w14:textId="77777777" w:rsidR="00093840" w:rsidRPr="00B4075B" w:rsidRDefault="00093840" w:rsidP="008A7E10">
    <w:pPr>
      <w:pStyle w:val="Agency-footer-repor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396686" w14:textId="77777777" w:rsidR="00093840" w:rsidRPr="00AE6CBE" w:rsidRDefault="00093840" w:rsidP="00AE3D30">
    <w:pPr>
      <w:framePr w:wrap="around" w:vAnchor="text" w:hAnchor="page" w:x="9810" w:y="1"/>
      <w:jc w:val="right"/>
      <w:rPr>
        <w:color w:val="FFFFFF"/>
      </w:rPr>
    </w:pPr>
    <w:r w:rsidRPr="00AE6CBE">
      <w:rPr>
        <w:rFonts w:ascii="Calibri" w:hAnsi="Calibri"/>
        <w:color w:val="FFFFFF"/>
      </w:rPr>
      <w:fldChar w:fldCharType="begin"/>
    </w:r>
    <w:r w:rsidRPr="00AE6CBE">
      <w:rPr>
        <w:rFonts w:ascii="Calibri" w:hAnsi="Calibri"/>
        <w:color w:val="FFFFFF"/>
      </w:rPr>
      <w:instrText xml:space="preserve">PAGE  </w:instrText>
    </w:r>
    <w:r w:rsidRPr="00AE6CBE">
      <w:rPr>
        <w:rFonts w:ascii="Calibri" w:hAnsi="Calibri"/>
        <w:color w:val="FFFFFF"/>
      </w:rPr>
      <w:fldChar w:fldCharType="separate"/>
    </w:r>
    <w:r>
      <w:rPr>
        <w:rFonts w:ascii="Calibri" w:hAnsi="Calibri"/>
        <w:noProof/>
        <w:color w:val="FFFFFF"/>
      </w:rPr>
      <w:t>3</w:t>
    </w:r>
    <w:r w:rsidRPr="00AE6CBE">
      <w:rPr>
        <w:rFonts w:ascii="Calibri" w:hAnsi="Calibri"/>
        <w:color w:val="FFFFFF"/>
      </w:rPr>
      <w:fldChar w:fldCharType="end"/>
    </w:r>
  </w:p>
  <w:p w14:paraId="211EFC4C" w14:textId="3E173C32" w:rsidR="00093840" w:rsidRPr="007F1F89" w:rsidRDefault="00093840" w:rsidP="008A7E10">
    <w:pPr>
      <w:pStyle w:val="Agency-footer-report"/>
    </w:pPr>
    <w:r>
      <w:rPr>
        <w:noProof/>
        <w:lang w:eastAsia="en-GB"/>
      </w:rPr>
      <w:drawing>
        <wp:anchor distT="0" distB="0" distL="114300" distR="114300" simplePos="0" relativeHeight="251658240" behindDoc="1" locked="0" layoutInCell="1" allowOverlap="1" wp14:anchorId="6A215A40" wp14:editId="03962BE4">
          <wp:simplePos x="0" y="0"/>
          <wp:positionH relativeFrom="column">
            <wp:align>right</wp:align>
          </wp:positionH>
          <wp:positionV relativeFrom="paragraph">
            <wp:posOffset>-39370</wp:posOffset>
          </wp:positionV>
          <wp:extent cx="1627505" cy="259080"/>
          <wp:effectExtent l="0" t="0" r="0" b="0"/>
          <wp:wrapNone/>
          <wp:docPr id="119"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7505" cy="259080"/>
                  </a:xfrm>
                  <a:prstGeom prst="rect">
                    <a:avLst/>
                  </a:prstGeom>
                  <a:noFill/>
                  <a:ln>
                    <a:noFill/>
                  </a:ln>
                </pic:spPr>
              </pic:pic>
            </a:graphicData>
          </a:graphic>
          <wp14:sizeRelH relativeFrom="page">
            <wp14:pctWidth>0</wp14:pctWidth>
          </wp14:sizeRelH>
          <wp14:sizeRelV relativeFrom="page">
            <wp14:pctHeight>0</wp14:pctHeight>
          </wp14:sizeRelV>
        </wp:anchor>
      </w:drawing>
    </w:r>
    <w:r>
      <w:t>2018 Dataset Cross-Country Report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37F49" w14:textId="77777777" w:rsidR="00093840" w:rsidRPr="00D2437E" w:rsidRDefault="00093840" w:rsidP="00AE3D30">
    <w:pPr>
      <w:framePr w:wrap="around" w:vAnchor="text" w:hAnchor="page" w:x="1662" w:y="1"/>
      <w:jc w:val="right"/>
      <w:rPr>
        <w:color w:val="FFFFFF"/>
        <w:lang w:val="en-GB"/>
      </w:rPr>
    </w:pPr>
    <w:r w:rsidRPr="00AE6CBE">
      <w:rPr>
        <w:rFonts w:ascii="Calibri" w:hAnsi="Calibri"/>
        <w:color w:val="FFFFFF"/>
      </w:rPr>
      <w:fldChar w:fldCharType="begin"/>
    </w:r>
    <w:r w:rsidRPr="00D2437E">
      <w:rPr>
        <w:rFonts w:ascii="Calibri" w:hAnsi="Calibri"/>
        <w:color w:val="FFFFFF"/>
        <w:lang w:val="en-GB"/>
      </w:rPr>
      <w:instrText xml:space="preserve">PAGE  </w:instrText>
    </w:r>
    <w:r w:rsidRPr="00AE6CBE">
      <w:rPr>
        <w:rFonts w:ascii="Calibri" w:hAnsi="Calibri"/>
        <w:color w:val="FFFFFF"/>
      </w:rPr>
      <w:fldChar w:fldCharType="separate"/>
    </w:r>
    <w:r w:rsidRPr="00D2437E">
      <w:rPr>
        <w:rFonts w:ascii="Calibri" w:hAnsi="Calibri"/>
        <w:noProof/>
        <w:color w:val="FFFFFF"/>
        <w:lang w:val="en-GB"/>
      </w:rPr>
      <w:t>4</w:t>
    </w:r>
    <w:r w:rsidRPr="00AE6CBE">
      <w:rPr>
        <w:rFonts w:ascii="Calibri" w:hAnsi="Calibri"/>
        <w:color w:val="FFFFFF"/>
      </w:rPr>
      <w:fldChar w:fldCharType="end"/>
    </w:r>
  </w:p>
  <w:p w14:paraId="3F26EAA9" w14:textId="1C6D2B33" w:rsidR="00093840" w:rsidRPr="00B4075B" w:rsidRDefault="00093840" w:rsidP="008A7E10">
    <w:pPr>
      <w:pStyle w:val="Agency-footer-report"/>
      <w:jc w:val="right"/>
    </w:pPr>
    <w:r>
      <w:rPr>
        <w:noProof/>
        <w:lang w:eastAsia="en-GB"/>
      </w:rPr>
      <w:drawing>
        <wp:anchor distT="0" distB="0" distL="114300" distR="114300" simplePos="0" relativeHeight="251658241" behindDoc="1" locked="0" layoutInCell="1" allowOverlap="1" wp14:anchorId="5F0B4FB2" wp14:editId="02A4B3E6">
          <wp:simplePos x="0" y="0"/>
          <wp:positionH relativeFrom="column">
            <wp:align>left</wp:align>
          </wp:positionH>
          <wp:positionV relativeFrom="paragraph">
            <wp:posOffset>-39370</wp:posOffset>
          </wp:positionV>
          <wp:extent cx="1623600" cy="259200"/>
          <wp:effectExtent l="0" t="0" r="2540" b="0"/>
          <wp:wrapNone/>
          <wp:docPr id="133"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3600" cy="259200"/>
                  </a:xfrm>
                  <a:prstGeom prst="rect">
                    <a:avLst/>
                  </a:prstGeom>
                  <a:noFill/>
                  <a:ln>
                    <a:noFill/>
                  </a:ln>
                </pic:spPr>
              </pic:pic>
            </a:graphicData>
          </a:graphic>
          <wp14:sizeRelH relativeFrom="page">
            <wp14:pctWidth>0</wp14:pctWidth>
          </wp14:sizeRelH>
          <wp14:sizeRelV relativeFrom="page">
            <wp14:pctHeight>0</wp14:pctHeight>
          </wp14:sizeRelV>
        </wp:anchor>
      </w:drawing>
    </w:r>
    <w:r>
      <w:t>European Agency Statistics on Inclusive Education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DEF236" w14:textId="77777777" w:rsidR="00AC30F3" w:rsidRDefault="00AC30F3" w:rsidP="00183404">
      <w:pPr>
        <w:spacing w:after="0" w:line="240" w:lineRule="auto"/>
      </w:pPr>
      <w:r>
        <w:separator/>
      </w:r>
    </w:p>
    <w:p w14:paraId="00FECE6C" w14:textId="77777777" w:rsidR="00AC30F3" w:rsidRDefault="00AC30F3"/>
  </w:footnote>
  <w:footnote w:type="continuationSeparator" w:id="0">
    <w:p w14:paraId="576343C3" w14:textId="77777777" w:rsidR="00AC30F3" w:rsidRDefault="00AC30F3" w:rsidP="00183404">
      <w:pPr>
        <w:spacing w:after="0" w:line="240" w:lineRule="auto"/>
      </w:pPr>
      <w:r>
        <w:continuationSeparator/>
      </w:r>
    </w:p>
    <w:p w14:paraId="162B7512" w14:textId="77777777" w:rsidR="00AC30F3" w:rsidRDefault="00AC30F3"/>
  </w:footnote>
  <w:footnote w:type="continuationNotice" w:id="1">
    <w:p w14:paraId="0390DBE0" w14:textId="77777777" w:rsidR="00AC30F3" w:rsidRDefault="00AC30F3">
      <w:pPr>
        <w:spacing w:after="0" w:line="240" w:lineRule="auto"/>
      </w:pPr>
    </w:p>
    <w:p w14:paraId="674FDAD1" w14:textId="77777777" w:rsidR="00AC30F3" w:rsidRDefault="00AC30F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080784" w14:textId="77777777" w:rsidR="00093840" w:rsidRDefault="000938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11D7D" w14:textId="77777777" w:rsidR="00093840" w:rsidRDefault="00093840" w:rsidP="008A7E10">
    <w:pPr>
      <w:pStyle w:val="Header"/>
    </w:pPr>
    <w:r>
      <w:rPr>
        <w:noProof/>
        <w:lang w:eastAsia="en-GB"/>
      </w:rPr>
      <w:drawing>
        <wp:inline distT="0" distB="0" distL="0" distR="0" wp14:anchorId="28A7198C" wp14:editId="2D8BE01C">
          <wp:extent cx="5669280" cy="477520"/>
          <wp:effectExtent l="0" t="0" r="0" b="5080"/>
          <wp:docPr id="103" name="Picture 20" descr="Header with Agency sun logo on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9280" cy="477520"/>
                  </a:xfrm>
                  <a:prstGeom prst="rect">
                    <a:avLst/>
                  </a:prstGeom>
                  <a:noFill/>
                  <a:ln>
                    <a:noFill/>
                  </a:ln>
                </pic:spPr>
              </pic:pic>
            </a:graphicData>
          </a:graphic>
        </wp:inline>
      </w:drawing>
    </w:r>
  </w:p>
  <w:p w14:paraId="5864EFA5" w14:textId="77777777" w:rsidR="00093840" w:rsidRPr="0015418F" w:rsidRDefault="00093840" w:rsidP="008A7E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EC4A0" w14:textId="77777777" w:rsidR="00093840" w:rsidRDefault="00093840">
    <w:pPr>
      <w:pStyle w:val="Header"/>
    </w:pPr>
    <w:r>
      <w:rPr>
        <w:noProof/>
        <w:lang w:eastAsia="en-GB"/>
      </w:rPr>
      <w:drawing>
        <wp:inline distT="0" distB="0" distL="0" distR="0" wp14:anchorId="64DD8A24" wp14:editId="22096F9B">
          <wp:extent cx="5669280" cy="477520"/>
          <wp:effectExtent l="0" t="0" r="0" b="5080"/>
          <wp:docPr id="127" name="Picture 127" descr="Header with Agency sun logo on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9280" cy="477520"/>
                  </a:xfrm>
                  <a:prstGeom prst="rect">
                    <a:avLst/>
                  </a:prstGeom>
                  <a:noFill/>
                  <a:ln>
                    <a:noFill/>
                  </a:ln>
                </pic:spPr>
              </pic:pic>
            </a:graphicData>
          </a:graphic>
        </wp:inline>
      </w:drawing>
    </w:r>
  </w:p>
  <w:p w14:paraId="04CA2198" w14:textId="77777777" w:rsidR="00093840" w:rsidRDefault="000938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79288CF2"/>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33A21E7A"/>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7D26849E"/>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F7C619C8"/>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209484C"/>
    <w:multiLevelType w:val="multilevel"/>
    <w:tmpl w:val="63926BF0"/>
    <w:styleLink w:val="Listformatnumreradelistor"/>
    <w:lvl w:ilvl="0">
      <w:start w:val="1"/>
      <w:numFmt w:val="decimal"/>
      <w:pStyle w:val="Lis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22E5432"/>
    <w:multiLevelType w:val="multilevel"/>
    <w:tmpl w:val="4A2E246E"/>
    <w:numStyleLink w:val="Listformatpunktlistor"/>
  </w:abstractNum>
  <w:abstractNum w:abstractNumId="6" w15:restartNumberingAfterBreak="0">
    <w:nsid w:val="02D54A03"/>
    <w:multiLevelType w:val="multilevel"/>
    <w:tmpl w:val="1DC2DE82"/>
    <w:numStyleLink w:val="SUListor"/>
  </w:abstractNum>
  <w:abstractNum w:abstractNumId="7" w15:restartNumberingAfterBreak="0">
    <w:nsid w:val="034F1B33"/>
    <w:multiLevelType w:val="multilevel"/>
    <w:tmpl w:val="1DC2DE82"/>
    <w:numStyleLink w:val="SUListor"/>
  </w:abstractNum>
  <w:abstractNum w:abstractNumId="8" w15:restartNumberingAfterBreak="0">
    <w:nsid w:val="03950819"/>
    <w:multiLevelType w:val="multilevel"/>
    <w:tmpl w:val="AFF03998"/>
    <w:numStyleLink w:val="Listformatparagraflistor"/>
  </w:abstractNum>
  <w:abstractNum w:abstractNumId="9" w15:restartNumberingAfterBreak="0">
    <w:nsid w:val="051702CC"/>
    <w:multiLevelType w:val="hybridMultilevel"/>
    <w:tmpl w:val="B92EB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7B26FA4"/>
    <w:multiLevelType w:val="hybridMultilevel"/>
    <w:tmpl w:val="47C6C60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0C38630C"/>
    <w:multiLevelType w:val="hybridMultilevel"/>
    <w:tmpl w:val="2550E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C6362B7"/>
    <w:multiLevelType w:val="multilevel"/>
    <w:tmpl w:val="1DC2DE82"/>
    <w:numStyleLink w:val="SUListor"/>
  </w:abstractNum>
  <w:abstractNum w:abstractNumId="13" w15:restartNumberingAfterBreak="0">
    <w:nsid w:val="13635E02"/>
    <w:multiLevelType w:val="hybridMultilevel"/>
    <w:tmpl w:val="96945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42E550A"/>
    <w:multiLevelType w:val="hybridMultilevel"/>
    <w:tmpl w:val="3FA88BE4"/>
    <w:lvl w:ilvl="0" w:tplc="5FBC0304">
      <w:start w:val="1"/>
      <w:numFmt w:val="bullet"/>
      <w:lvlText w:val=""/>
      <w:lvlJc w:val="left"/>
      <w:pPr>
        <w:ind w:left="720" w:hanging="360"/>
      </w:pPr>
      <w:rPr>
        <w:rFonts w:ascii="Symbol" w:hAnsi="Symbol" w:hint="default"/>
      </w:rPr>
    </w:lvl>
    <w:lvl w:ilvl="1" w:tplc="5FBC0304">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6CC35F2"/>
    <w:multiLevelType w:val="multilevel"/>
    <w:tmpl w:val="AFF03998"/>
    <w:styleLink w:val="Listformatparagraflistor"/>
    <w:lvl w:ilvl="0">
      <w:start w:val="1"/>
      <w:numFmt w:val="decimal"/>
      <w:pStyle w:val="Paragraflista"/>
      <w:lvlText w:val="§    %1"/>
      <w:lvlJc w:val="left"/>
      <w:pPr>
        <w:tabs>
          <w:tab w:val="num" w:pos="794"/>
        </w:tabs>
        <w:ind w:left="794" w:hanging="794"/>
      </w:pPr>
      <w:rPr>
        <w:rFonts w:hint="default"/>
        <w:b/>
        <w:i w:val="0"/>
      </w:rPr>
    </w:lvl>
    <w:lvl w:ilvl="1">
      <w:start w:val="1"/>
      <w:numFmt w:val="lowerLetter"/>
      <w:lvlText w:val="%2."/>
      <w:lvlJc w:val="left"/>
      <w:pPr>
        <w:ind w:left="720" w:hanging="360"/>
      </w:pPr>
      <w:rPr>
        <w:rFonts w:hint="default"/>
        <w:color w:val="auto"/>
      </w:rPr>
    </w:lvl>
    <w:lvl w:ilvl="2">
      <w:start w:val="1"/>
      <w:numFmt w:val="lowerRoman"/>
      <w:lvlText w:val="%3."/>
      <w:lvlJc w:val="left"/>
      <w:pPr>
        <w:ind w:left="1080" w:hanging="360"/>
      </w:pPr>
      <w:rPr>
        <w:rFonts w:hint="default"/>
        <w:b w:val="0"/>
        <w:i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18257F8A"/>
    <w:multiLevelType w:val="multilevel"/>
    <w:tmpl w:val="4A2E246E"/>
    <w:styleLink w:val="Listformatpunktlistor"/>
    <w:lvl w:ilvl="0">
      <w:start w:val="1"/>
      <w:numFmt w:val="bullet"/>
      <w:pStyle w:val="ListBullet"/>
      <w:lvlText w:val=""/>
      <w:lvlJc w:val="left"/>
      <w:pPr>
        <w:ind w:left="357" w:hanging="357"/>
      </w:pPr>
      <w:rPr>
        <w:rFonts w:ascii="Symbol" w:hAnsi="Symbol" w:hint="default"/>
      </w:rPr>
    </w:lvl>
    <w:lvl w:ilvl="1">
      <w:start w:val="1"/>
      <w:numFmt w:val="bullet"/>
      <w:lvlText w:val="o"/>
      <w:lvlJc w:val="left"/>
      <w:pPr>
        <w:ind w:left="720" w:hanging="363"/>
      </w:pPr>
      <w:rPr>
        <w:rFonts w:ascii="Courier New" w:hAnsi="Courier New" w:hint="default"/>
      </w:rPr>
    </w:lvl>
    <w:lvl w:ilvl="2">
      <w:start w:val="1"/>
      <w:numFmt w:val="bullet"/>
      <w:lvlText w:val=""/>
      <w:lvlJc w:val="left"/>
      <w:pPr>
        <w:ind w:left="1077" w:hanging="357"/>
      </w:pPr>
      <w:rPr>
        <w:rFonts w:ascii="Wingdings" w:hAnsi="Wingdings" w:hint="default"/>
      </w:rPr>
    </w:lvl>
    <w:lvl w:ilvl="3">
      <w:start w:val="1"/>
      <w:numFmt w:val="bullet"/>
      <w:lvlText w:val=""/>
      <w:lvlJc w:val="left"/>
      <w:pPr>
        <w:ind w:left="144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8AC212D"/>
    <w:multiLevelType w:val="hybridMultilevel"/>
    <w:tmpl w:val="003A2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C1D48CE"/>
    <w:multiLevelType w:val="multilevel"/>
    <w:tmpl w:val="63926BF0"/>
    <w:numStyleLink w:val="Listformatnumreradelistor"/>
  </w:abstractNum>
  <w:abstractNum w:abstractNumId="19" w15:restartNumberingAfterBreak="0">
    <w:nsid w:val="1C4C39FC"/>
    <w:multiLevelType w:val="hybridMultilevel"/>
    <w:tmpl w:val="727A1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E8D4BDF"/>
    <w:multiLevelType w:val="hybridMultilevel"/>
    <w:tmpl w:val="D73E18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2961674"/>
    <w:multiLevelType w:val="hybridMultilevel"/>
    <w:tmpl w:val="4F36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395514B"/>
    <w:multiLevelType w:val="hybridMultilevel"/>
    <w:tmpl w:val="DA129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425623D"/>
    <w:multiLevelType w:val="hybridMultilevel"/>
    <w:tmpl w:val="260C2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60247E6"/>
    <w:multiLevelType w:val="hybridMultilevel"/>
    <w:tmpl w:val="1B561CC0"/>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8561F29"/>
    <w:multiLevelType w:val="hybridMultilevel"/>
    <w:tmpl w:val="59D84C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AF06266"/>
    <w:multiLevelType w:val="hybridMultilevel"/>
    <w:tmpl w:val="059212F2"/>
    <w:lvl w:ilvl="0" w:tplc="5FBC0304">
      <w:start w:val="1"/>
      <w:numFmt w:val="bullet"/>
      <w:lvlText w:val=""/>
      <w:lvlJc w:val="left"/>
      <w:pPr>
        <w:ind w:left="720" w:hanging="360"/>
      </w:pPr>
      <w:rPr>
        <w:rFonts w:ascii="Symbol" w:hAnsi="Symbol" w:hint="default"/>
      </w:rPr>
    </w:lvl>
    <w:lvl w:ilvl="1" w:tplc="5FBC0304">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2977B95"/>
    <w:multiLevelType w:val="hybridMultilevel"/>
    <w:tmpl w:val="8C704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516490D"/>
    <w:multiLevelType w:val="hybridMultilevel"/>
    <w:tmpl w:val="70FE1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5F536DE"/>
    <w:multiLevelType w:val="hybridMultilevel"/>
    <w:tmpl w:val="2988D4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0774C02"/>
    <w:multiLevelType w:val="hybridMultilevel"/>
    <w:tmpl w:val="635C47AE"/>
    <w:lvl w:ilvl="0" w:tplc="08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32C1E76"/>
    <w:multiLevelType w:val="multilevel"/>
    <w:tmpl w:val="1480C51E"/>
    <w:numStyleLink w:val="Listformatnumreraderubriker"/>
  </w:abstractNum>
  <w:abstractNum w:abstractNumId="32" w15:restartNumberingAfterBreak="0">
    <w:nsid w:val="441064E7"/>
    <w:multiLevelType w:val="hybridMultilevel"/>
    <w:tmpl w:val="7D3A9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610107D"/>
    <w:multiLevelType w:val="hybridMultilevel"/>
    <w:tmpl w:val="5ED0B520"/>
    <w:lvl w:ilvl="0" w:tplc="08090001">
      <w:start w:val="1"/>
      <w:numFmt w:val="bullet"/>
      <w:lvlText w:val=""/>
      <w:lvlJc w:val="left"/>
      <w:pPr>
        <w:ind w:left="720" w:hanging="360"/>
      </w:pPr>
      <w:rPr>
        <w:rFonts w:ascii="Symbol" w:hAnsi="Symbol"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4" w15:restartNumberingAfterBreak="0">
    <w:nsid w:val="478D3096"/>
    <w:multiLevelType w:val="hybridMultilevel"/>
    <w:tmpl w:val="0770A9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8A368B5"/>
    <w:multiLevelType w:val="multilevel"/>
    <w:tmpl w:val="1480C51E"/>
    <w:styleLink w:val="Listformatnumreraderubriker"/>
    <w:lvl w:ilvl="0">
      <w:start w:val="1"/>
      <w:numFmt w:val="decimal"/>
      <w:pStyle w:val="Rubrik1numrerad"/>
      <w:suff w:val="space"/>
      <w:lvlText w:val="%1  "/>
      <w:lvlJc w:val="left"/>
      <w:pPr>
        <w:ind w:left="360" w:hanging="360"/>
      </w:pPr>
      <w:rPr>
        <w:rFonts w:hint="default"/>
      </w:rPr>
    </w:lvl>
    <w:lvl w:ilvl="1">
      <w:start w:val="1"/>
      <w:numFmt w:val="decimal"/>
      <w:pStyle w:val="Rubrik2numrerad"/>
      <w:suff w:val="space"/>
      <w:lvlText w:val="%1.%2  "/>
      <w:lvlJc w:val="left"/>
      <w:pPr>
        <w:ind w:left="357" w:hanging="357"/>
      </w:pPr>
      <w:rPr>
        <w:rFonts w:hint="default"/>
      </w:rPr>
    </w:lvl>
    <w:lvl w:ilvl="2">
      <w:start w:val="1"/>
      <w:numFmt w:val="decimal"/>
      <w:pStyle w:val="Rubrik3numrerad"/>
      <w:suff w:val="space"/>
      <w:lvlText w:val="%1.%2.%3  "/>
      <w:lvlJc w:val="left"/>
      <w:pPr>
        <w:ind w:left="357" w:hanging="357"/>
      </w:pPr>
      <w:rPr>
        <w:rFonts w:hint="default"/>
      </w:rPr>
    </w:lvl>
    <w:lvl w:ilvl="3">
      <w:start w:val="1"/>
      <w:numFmt w:val="decimal"/>
      <w:pStyle w:val="Rubrik4numrerad"/>
      <w:suff w:val="space"/>
      <w:lvlText w:val="%1.%2.%3.%4  "/>
      <w:lvlJc w:val="left"/>
      <w:pPr>
        <w:ind w:left="357" w:hanging="35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4D132013"/>
    <w:multiLevelType w:val="hybridMultilevel"/>
    <w:tmpl w:val="68DE7D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07678DD"/>
    <w:multiLevelType w:val="hybridMultilevel"/>
    <w:tmpl w:val="1E782A58"/>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0F75362"/>
    <w:multiLevelType w:val="hybridMultilevel"/>
    <w:tmpl w:val="27FC4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1E74AC8"/>
    <w:multiLevelType w:val="hybridMultilevel"/>
    <w:tmpl w:val="26AC0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43E179F"/>
    <w:multiLevelType w:val="hybridMultilevel"/>
    <w:tmpl w:val="D1368CC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585629A3"/>
    <w:multiLevelType w:val="hybridMultilevel"/>
    <w:tmpl w:val="D98ED332"/>
    <w:lvl w:ilvl="0" w:tplc="5FBC0304">
      <w:start w:val="1"/>
      <w:numFmt w:val="bullet"/>
      <w:lvlText w:val=""/>
      <w:lvlJc w:val="left"/>
      <w:pPr>
        <w:ind w:left="1440" w:hanging="360"/>
      </w:pPr>
      <w:rPr>
        <w:rFonts w:ascii="Symbol" w:hAnsi="Symbol" w:hint="default"/>
      </w:rPr>
    </w:lvl>
    <w:lvl w:ilvl="1" w:tplc="5FBC0304">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5B312B60"/>
    <w:multiLevelType w:val="hybridMultilevel"/>
    <w:tmpl w:val="528408DA"/>
    <w:lvl w:ilvl="0" w:tplc="D3F27FEE">
      <w:start w:val="1"/>
      <w:numFmt w:val="decimal"/>
      <w:lvlText w:val="%1."/>
      <w:lvlJc w:val="left"/>
      <w:pPr>
        <w:ind w:left="760" w:hanging="40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5BDF389A"/>
    <w:multiLevelType w:val="hybridMultilevel"/>
    <w:tmpl w:val="6CEE461C"/>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C711BCC"/>
    <w:multiLevelType w:val="hybridMultilevel"/>
    <w:tmpl w:val="3886F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CB84B0E"/>
    <w:multiLevelType w:val="hybridMultilevel"/>
    <w:tmpl w:val="1444E85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2505AF9"/>
    <w:multiLevelType w:val="hybridMultilevel"/>
    <w:tmpl w:val="B3F092C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2521C75"/>
    <w:multiLevelType w:val="multilevel"/>
    <w:tmpl w:val="1DC2DE82"/>
    <w:styleLink w:val="SUListor"/>
    <w:lvl w:ilvl="0">
      <w:start w:val="1"/>
      <w:numFmt w:val="decimal"/>
      <w:lvlText w:val="%1."/>
      <w:lvlJc w:val="left"/>
      <w:pPr>
        <w:tabs>
          <w:tab w:val="num" w:pos="357"/>
        </w:tabs>
        <w:ind w:left="360" w:hanging="360"/>
      </w:pPr>
      <w:rPr>
        <w:rFonts w:hint="default"/>
      </w:rPr>
    </w:lvl>
    <w:lvl w:ilvl="1">
      <w:start w:val="1"/>
      <w:numFmt w:val="bullet"/>
      <w:lvlText w:val=""/>
      <w:lvlJc w:val="left"/>
      <w:pPr>
        <w:tabs>
          <w:tab w:val="num" w:pos="357"/>
        </w:tabs>
        <w:ind w:left="357" w:hanging="357"/>
      </w:pPr>
      <w:rPr>
        <w:rFonts w:ascii="Symbol" w:hAnsi="Symbol" w:hint="default"/>
        <w:color w:val="auto"/>
      </w:rPr>
    </w:lvl>
    <w:lvl w:ilvl="2">
      <w:start w:val="1"/>
      <w:numFmt w:val="decimal"/>
      <w:lvlRestart w:val="0"/>
      <w:lvlText w:val="§   %3"/>
      <w:lvlJc w:val="left"/>
      <w:pPr>
        <w:tabs>
          <w:tab w:val="num" w:pos="794"/>
        </w:tabs>
        <w:ind w:left="794" w:hanging="794"/>
      </w:pPr>
      <w:rPr>
        <w:rFonts w:hint="default"/>
        <w:b/>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tabs>
          <w:tab w:val="num" w:pos="1797"/>
        </w:tabs>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62E53632"/>
    <w:multiLevelType w:val="hybridMultilevel"/>
    <w:tmpl w:val="A25076D0"/>
    <w:lvl w:ilvl="0" w:tplc="0409000F">
      <w:start w:val="1"/>
      <w:numFmt w:val="decimal"/>
      <w:lvlText w:val="%1."/>
      <w:lvlJc w:val="left"/>
      <w:pPr>
        <w:ind w:left="720" w:hanging="360"/>
      </w:pPr>
      <w:rPr>
        <w:rFonts w:hint="default"/>
      </w:rPr>
    </w:lvl>
    <w:lvl w:ilvl="1" w:tplc="BE044FE0">
      <w:numFmt w:val="bullet"/>
      <w:lvlText w:val="-"/>
      <w:lvlJc w:val="left"/>
      <w:pPr>
        <w:ind w:left="1440" w:hanging="360"/>
      </w:pPr>
      <w:rPr>
        <w:rFonts w:ascii="Calibri" w:eastAsia="Times New Roman" w:hAnsi="Calibri"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3EA5955"/>
    <w:multiLevelType w:val="hybridMultilevel"/>
    <w:tmpl w:val="9C782B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6550DCE"/>
    <w:multiLevelType w:val="hybridMultilevel"/>
    <w:tmpl w:val="A0E0602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76C5AF6"/>
    <w:multiLevelType w:val="hybridMultilevel"/>
    <w:tmpl w:val="97D2FCEE"/>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6D245F31"/>
    <w:multiLevelType w:val="hybridMultilevel"/>
    <w:tmpl w:val="6390F49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3" w15:restartNumberingAfterBreak="0">
    <w:nsid w:val="6D5F2D77"/>
    <w:multiLevelType w:val="hybridMultilevel"/>
    <w:tmpl w:val="B2141BA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07C046A"/>
    <w:multiLevelType w:val="hybridMultilevel"/>
    <w:tmpl w:val="EACA02B8"/>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1B7510F"/>
    <w:multiLevelType w:val="hybridMultilevel"/>
    <w:tmpl w:val="E57A2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3930FAA"/>
    <w:multiLevelType w:val="hybridMultilevel"/>
    <w:tmpl w:val="1C8CA0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5144AD3"/>
    <w:multiLevelType w:val="hybridMultilevel"/>
    <w:tmpl w:val="AFE8EB20"/>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58" w15:restartNumberingAfterBreak="0">
    <w:nsid w:val="753429AC"/>
    <w:multiLevelType w:val="hybridMultilevel"/>
    <w:tmpl w:val="CF72B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7AB2844"/>
    <w:multiLevelType w:val="hybridMultilevel"/>
    <w:tmpl w:val="009CB8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B426148"/>
    <w:multiLevelType w:val="hybridMultilevel"/>
    <w:tmpl w:val="08723FE4"/>
    <w:lvl w:ilvl="0" w:tplc="938032E0">
      <w:start w:val="1"/>
      <w:numFmt w:val="decimal"/>
      <w:lvlText w:val="%1."/>
      <w:lvlJc w:val="left"/>
      <w:pPr>
        <w:ind w:left="720" w:hanging="360"/>
      </w:pPr>
      <w:rPr>
        <w:rFonts w:hint="default"/>
        <w:b/>
        <w:w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C4B0F23"/>
    <w:multiLevelType w:val="hybridMultilevel"/>
    <w:tmpl w:val="B38A6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D7E1603"/>
    <w:multiLevelType w:val="hybridMultilevel"/>
    <w:tmpl w:val="55E48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DEC1498"/>
    <w:multiLevelType w:val="hybridMultilevel"/>
    <w:tmpl w:val="A2FE5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DF853F4"/>
    <w:multiLevelType w:val="hybridMultilevel"/>
    <w:tmpl w:val="202C9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7"/>
  </w:num>
  <w:num w:numId="2">
    <w:abstractNumId w:val="4"/>
  </w:num>
  <w:num w:numId="3">
    <w:abstractNumId w:val="35"/>
  </w:num>
  <w:num w:numId="4">
    <w:abstractNumId w:val="15"/>
  </w:num>
  <w:num w:numId="5">
    <w:abstractNumId w:val="16"/>
  </w:num>
  <w:num w:numId="6">
    <w:abstractNumId w:val="18"/>
  </w:num>
  <w:num w:numId="7">
    <w:abstractNumId w:val="8"/>
  </w:num>
  <w:num w:numId="8">
    <w:abstractNumId w:val="5"/>
  </w:num>
  <w:num w:numId="9">
    <w:abstractNumId w:val="31"/>
  </w:num>
  <w:num w:numId="10">
    <w:abstractNumId w:val="1"/>
  </w:num>
  <w:num w:numId="11">
    <w:abstractNumId w:val="0"/>
  </w:num>
  <w:num w:numId="12">
    <w:abstractNumId w:val="9"/>
  </w:num>
  <w:num w:numId="13">
    <w:abstractNumId w:val="30"/>
  </w:num>
  <w:num w:numId="14">
    <w:abstractNumId w:val="48"/>
  </w:num>
  <w:num w:numId="15">
    <w:abstractNumId w:val="52"/>
  </w:num>
  <w:num w:numId="16">
    <w:abstractNumId w:val="10"/>
  </w:num>
  <w:num w:numId="17">
    <w:abstractNumId w:val="40"/>
  </w:num>
  <w:num w:numId="18">
    <w:abstractNumId w:val="60"/>
  </w:num>
  <w:num w:numId="19">
    <w:abstractNumId w:val="45"/>
  </w:num>
  <w:num w:numId="20">
    <w:abstractNumId w:val="46"/>
  </w:num>
  <w:num w:numId="21">
    <w:abstractNumId w:val="26"/>
  </w:num>
  <w:num w:numId="22">
    <w:abstractNumId w:val="14"/>
  </w:num>
  <w:num w:numId="23">
    <w:abstractNumId w:val="41"/>
  </w:num>
  <w:num w:numId="24">
    <w:abstractNumId w:val="24"/>
  </w:num>
  <w:num w:numId="25">
    <w:abstractNumId w:val="53"/>
  </w:num>
  <w:num w:numId="26">
    <w:abstractNumId w:val="12"/>
  </w:num>
  <w:num w:numId="27">
    <w:abstractNumId w:val="2"/>
  </w:num>
  <w:num w:numId="28">
    <w:abstractNumId w:val="3"/>
  </w:num>
  <w:num w:numId="29">
    <w:abstractNumId w:val="6"/>
  </w:num>
  <w:num w:numId="30">
    <w:abstractNumId w:val="7"/>
  </w:num>
  <w:num w:numId="31">
    <w:abstractNumId w:val="33"/>
  </w:num>
  <w:num w:numId="32">
    <w:abstractNumId w:val="23"/>
  </w:num>
  <w:num w:numId="33">
    <w:abstractNumId w:val="32"/>
  </w:num>
  <w:num w:numId="34">
    <w:abstractNumId w:val="59"/>
  </w:num>
  <w:num w:numId="35">
    <w:abstractNumId w:val="38"/>
  </w:num>
  <w:num w:numId="36">
    <w:abstractNumId w:val="57"/>
  </w:num>
  <w:num w:numId="37">
    <w:abstractNumId w:val="56"/>
  </w:num>
  <w:num w:numId="38">
    <w:abstractNumId w:val="27"/>
  </w:num>
  <w:num w:numId="39">
    <w:abstractNumId w:val="61"/>
  </w:num>
  <w:num w:numId="40">
    <w:abstractNumId w:val="63"/>
  </w:num>
  <w:num w:numId="41">
    <w:abstractNumId w:val="20"/>
  </w:num>
  <w:num w:numId="42">
    <w:abstractNumId w:val="34"/>
  </w:num>
  <w:num w:numId="43">
    <w:abstractNumId w:val="13"/>
  </w:num>
  <w:num w:numId="44">
    <w:abstractNumId w:val="37"/>
  </w:num>
  <w:num w:numId="45">
    <w:abstractNumId w:val="55"/>
  </w:num>
  <w:num w:numId="46">
    <w:abstractNumId w:val="64"/>
  </w:num>
  <w:num w:numId="47">
    <w:abstractNumId w:val="50"/>
  </w:num>
  <w:num w:numId="48">
    <w:abstractNumId w:val="54"/>
  </w:num>
  <w:num w:numId="49">
    <w:abstractNumId w:val="43"/>
  </w:num>
  <w:num w:numId="50">
    <w:abstractNumId w:val="29"/>
  </w:num>
  <w:num w:numId="51">
    <w:abstractNumId w:val="36"/>
  </w:num>
  <w:num w:numId="52">
    <w:abstractNumId w:val="62"/>
  </w:num>
  <w:num w:numId="53">
    <w:abstractNumId w:val="58"/>
  </w:num>
  <w:num w:numId="54">
    <w:abstractNumId w:val="17"/>
  </w:num>
  <w:num w:numId="55">
    <w:abstractNumId w:val="11"/>
  </w:num>
  <w:num w:numId="56">
    <w:abstractNumId w:val="51"/>
  </w:num>
  <w:num w:numId="57">
    <w:abstractNumId w:val="22"/>
  </w:num>
  <w:num w:numId="58">
    <w:abstractNumId w:val="39"/>
  </w:num>
  <w:num w:numId="59">
    <w:abstractNumId w:val="25"/>
  </w:num>
  <w:num w:numId="60">
    <w:abstractNumId w:val="44"/>
  </w:num>
  <w:num w:numId="61">
    <w:abstractNumId w:val="28"/>
  </w:num>
  <w:num w:numId="62">
    <w:abstractNumId w:val="19"/>
  </w:num>
  <w:num w:numId="63">
    <w:abstractNumId w:val="21"/>
  </w:num>
  <w:num w:numId="64">
    <w:abstractNumId w:val="49"/>
  </w:num>
  <w:num w:numId="65">
    <w:abstractNumId w:val="4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b+wPhjtKqheVZmMVqEsH0tAJJOEyDRZZdnaS7y6Lh5u/mNlSg+QncX5dLH2V4q5Y0bWV+kkbH52ii1oH9dPzyg==" w:salt="IH1LsbyQ4Syh3KktZNlXJA=="/>
  <w:defaultTabStop w:val="1304"/>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37E"/>
    <w:rsid w:val="00002A7A"/>
    <w:rsid w:val="00003633"/>
    <w:rsid w:val="00003A1E"/>
    <w:rsid w:val="00004614"/>
    <w:rsid w:val="000048C9"/>
    <w:rsid w:val="0000644A"/>
    <w:rsid w:val="0000679E"/>
    <w:rsid w:val="00007272"/>
    <w:rsid w:val="00011BEA"/>
    <w:rsid w:val="00012E16"/>
    <w:rsid w:val="000142DD"/>
    <w:rsid w:val="0001626F"/>
    <w:rsid w:val="0001786D"/>
    <w:rsid w:val="0002117F"/>
    <w:rsid w:val="000225A3"/>
    <w:rsid w:val="000231F0"/>
    <w:rsid w:val="000255C5"/>
    <w:rsid w:val="00026145"/>
    <w:rsid w:val="000265AE"/>
    <w:rsid w:val="00030603"/>
    <w:rsid w:val="00030811"/>
    <w:rsid w:val="00031730"/>
    <w:rsid w:val="00033D65"/>
    <w:rsid w:val="00034A9F"/>
    <w:rsid w:val="000373E1"/>
    <w:rsid w:val="00044763"/>
    <w:rsid w:val="00044B08"/>
    <w:rsid w:val="000473D7"/>
    <w:rsid w:val="00050F00"/>
    <w:rsid w:val="000510F2"/>
    <w:rsid w:val="000535EA"/>
    <w:rsid w:val="00053814"/>
    <w:rsid w:val="00053B51"/>
    <w:rsid w:val="00053F55"/>
    <w:rsid w:val="00053F69"/>
    <w:rsid w:val="000555B2"/>
    <w:rsid w:val="00055E32"/>
    <w:rsid w:val="0006065F"/>
    <w:rsid w:val="00061FD6"/>
    <w:rsid w:val="0006280F"/>
    <w:rsid w:val="0006451A"/>
    <w:rsid w:val="00064C50"/>
    <w:rsid w:val="00065CA1"/>
    <w:rsid w:val="0006715B"/>
    <w:rsid w:val="0007437C"/>
    <w:rsid w:val="00076855"/>
    <w:rsid w:val="00080732"/>
    <w:rsid w:val="00083AFF"/>
    <w:rsid w:val="000848CF"/>
    <w:rsid w:val="00085636"/>
    <w:rsid w:val="00086140"/>
    <w:rsid w:val="000864C6"/>
    <w:rsid w:val="00093840"/>
    <w:rsid w:val="00093C59"/>
    <w:rsid w:val="00095046"/>
    <w:rsid w:val="00095202"/>
    <w:rsid w:val="00096D0E"/>
    <w:rsid w:val="000A0DFD"/>
    <w:rsid w:val="000A2210"/>
    <w:rsid w:val="000A3430"/>
    <w:rsid w:val="000A454F"/>
    <w:rsid w:val="000A45D3"/>
    <w:rsid w:val="000A4C71"/>
    <w:rsid w:val="000A524B"/>
    <w:rsid w:val="000A6E26"/>
    <w:rsid w:val="000A7FA7"/>
    <w:rsid w:val="000B11DB"/>
    <w:rsid w:val="000B1B0D"/>
    <w:rsid w:val="000B4C60"/>
    <w:rsid w:val="000B4E13"/>
    <w:rsid w:val="000B4F52"/>
    <w:rsid w:val="000B524B"/>
    <w:rsid w:val="000B65D5"/>
    <w:rsid w:val="000B7916"/>
    <w:rsid w:val="000C1B69"/>
    <w:rsid w:val="000C23ED"/>
    <w:rsid w:val="000C2B8D"/>
    <w:rsid w:val="000C3791"/>
    <w:rsid w:val="000C3D61"/>
    <w:rsid w:val="000C46D3"/>
    <w:rsid w:val="000C615E"/>
    <w:rsid w:val="000C6C0D"/>
    <w:rsid w:val="000D1172"/>
    <w:rsid w:val="000D206A"/>
    <w:rsid w:val="000D3D3F"/>
    <w:rsid w:val="000D509C"/>
    <w:rsid w:val="000D5630"/>
    <w:rsid w:val="000D5CBF"/>
    <w:rsid w:val="000D7D49"/>
    <w:rsid w:val="000E56FD"/>
    <w:rsid w:val="000E7E93"/>
    <w:rsid w:val="000F1384"/>
    <w:rsid w:val="000F43A9"/>
    <w:rsid w:val="000F4CE0"/>
    <w:rsid w:val="000F698A"/>
    <w:rsid w:val="001007CD"/>
    <w:rsid w:val="00101ED3"/>
    <w:rsid w:val="0010269E"/>
    <w:rsid w:val="00107176"/>
    <w:rsid w:val="001173D1"/>
    <w:rsid w:val="00120FE7"/>
    <w:rsid w:val="0012127F"/>
    <w:rsid w:val="00123753"/>
    <w:rsid w:val="00125028"/>
    <w:rsid w:val="00130C7D"/>
    <w:rsid w:val="001413DA"/>
    <w:rsid w:val="00141A30"/>
    <w:rsid w:val="00143428"/>
    <w:rsid w:val="0014420D"/>
    <w:rsid w:val="001452E6"/>
    <w:rsid w:val="00151665"/>
    <w:rsid w:val="001518B3"/>
    <w:rsid w:val="0015273A"/>
    <w:rsid w:val="00154DB8"/>
    <w:rsid w:val="00156BE9"/>
    <w:rsid w:val="001659FB"/>
    <w:rsid w:val="00172A90"/>
    <w:rsid w:val="00172EEF"/>
    <w:rsid w:val="001738EF"/>
    <w:rsid w:val="0017515E"/>
    <w:rsid w:val="00175ABB"/>
    <w:rsid w:val="00176072"/>
    <w:rsid w:val="00177FB3"/>
    <w:rsid w:val="00182DB8"/>
    <w:rsid w:val="00183042"/>
    <w:rsid w:val="00183404"/>
    <w:rsid w:val="00183D86"/>
    <w:rsid w:val="0018498D"/>
    <w:rsid w:val="001857EB"/>
    <w:rsid w:val="00186A57"/>
    <w:rsid w:val="00190707"/>
    <w:rsid w:val="001936AF"/>
    <w:rsid w:val="001A07FE"/>
    <w:rsid w:val="001A0EA7"/>
    <w:rsid w:val="001A21D5"/>
    <w:rsid w:val="001A2BFB"/>
    <w:rsid w:val="001A2E69"/>
    <w:rsid w:val="001A546F"/>
    <w:rsid w:val="001A72EB"/>
    <w:rsid w:val="001B3374"/>
    <w:rsid w:val="001B58C9"/>
    <w:rsid w:val="001C1DD5"/>
    <w:rsid w:val="001D1676"/>
    <w:rsid w:val="001D23AF"/>
    <w:rsid w:val="001D71B1"/>
    <w:rsid w:val="001D7A50"/>
    <w:rsid w:val="001E4011"/>
    <w:rsid w:val="001E4FF2"/>
    <w:rsid w:val="002007CE"/>
    <w:rsid w:val="00205D79"/>
    <w:rsid w:val="00206672"/>
    <w:rsid w:val="00211CA1"/>
    <w:rsid w:val="0021256B"/>
    <w:rsid w:val="00213227"/>
    <w:rsid w:val="00213B51"/>
    <w:rsid w:val="00217E6A"/>
    <w:rsid w:val="0022248E"/>
    <w:rsid w:val="00222E7F"/>
    <w:rsid w:val="00223C89"/>
    <w:rsid w:val="0022514C"/>
    <w:rsid w:val="0023030D"/>
    <w:rsid w:val="00233636"/>
    <w:rsid w:val="002340AA"/>
    <w:rsid w:val="00234507"/>
    <w:rsid w:val="00234AE9"/>
    <w:rsid w:val="002358D0"/>
    <w:rsid w:val="00235DF9"/>
    <w:rsid w:val="00241374"/>
    <w:rsid w:val="00242267"/>
    <w:rsid w:val="002453E7"/>
    <w:rsid w:val="002471CB"/>
    <w:rsid w:val="00247BBA"/>
    <w:rsid w:val="002504D3"/>
    <w:rsid w:val="00250756"/>
    <w:rsid w:val="00250E47"/>
    <w:rsid w:val="00251C26"/>
    <w:rsid w:val="00256059"/>
    <w:rsid w:val="00256DE8"/>
    <w:rsid w:val="00272029"/>
    <w:rsid w:val="00272365"/>
    <w:rsid w:val="00274DDF"/>
    <w:rsid w:val="00277775"/>
    <w:rsid w:val="00280A1D"/>
    <w:rsid w:val="0028189F"/>
    <w:rsid w:val="002825E1"/>
    <w:rsid w:val="002827F2"/>
    <w:rsid w:val="002843E2"/>
    <w:rsid w:val="00284EB1"/>
    <w:rsid w:val="00290524"/>
    <w:rsid w:val="00291359"/>
    <w:rsid w:val="0029490C"/>
    <w:rsid w:val="0029553A"/>
    <w:rsid w:val="00297E08"/>
    <w:rsid w:val="002A119F"/>
    <w:rsid w:val="002A28AC"/>
    <w:rsid w:val="002A2EE2"/>
    <w:rsid w:val="002A35E2"/>
    <w:rsid w:val="002A7091"/>
    <w:rsid w:val="002A7107"/>
    <w:rsid w:val="002B02F4"/>
    <w:rsid w:val="002B0EFA"/>
    <w:rsid w:val="002B254D"/>
    <w:rsid w:val="002B3830"/>
    <w:rsid w:val="002B3E67"/>
    <w:rsid w:val="002C1589"/>
    <w:rsid w:val="002C32E0"/>
    <w:rsid w:val="002C7F58"/>
    <w:rsid w:val="002D0D3F"/>
    <w:rsid w:val="002D1D13"/>
    <w:rsid w:val="002D2376"/>
    <w:rsid w:val="002D2AD1"/>
    <w:rsid w:val="002D5D53"/>
    <w:rsid w:val="002D66A6"/>
    <w:rsid w:val="002D6A21"/>
    <w:rsid w:val="002E45D5"/>
    <w:rsid w:val="002E4F0A"/>
    <w:rsid w:val="002E6E4E"/>
    <w:rsid w:val="002E768A"/>
    <w:rsid w:val="002E79C9"/>
    <w:rsid w:val="002F0763"/>
    <w:rsid w:val="002F0E4D"/>
    <w:rsid w:val="002F1348"/>
    <w:rsid w:val="002F5B6A"/>
    <w:rsid w:val="002F6818"/>
    <w:rsid w:val="002F6D36"/>
    <w:rsid w:val="002F71D6"/>
    <w:rsid w:val="002F777C"/>
    <w:rsid w:val="003005BB"/>
    <w:rsid w:val="003012FA"/>
    <w:rsid w:val="00301DE8"/>
    <w:rsid w:val="0030233B"/>
    <w:rsid w:val="00302DA6"/>
    <w:rsid w:val="00306EE7"/>
    <w:rsid w:val="003102DB"/>
    <w:rsid w:val="003103F6"/>
    <w:rsid w:val="0031084A"/>
    <w:rsid w:val="00310F30"/>
    <w:rsid w:val="003113CB"/>
    <w:rsid w:val="00311A93"/>
    <w:rsid w:val="003160A0"/>
    <w:rsid w:val="003179E3"/>
    <w:rsid w:val="00317D35"/>
    <w:rsid w:val="003204DF"/>
    <w:rsid w:val="003213AA"/>
    <w:rsid w:val="00324E37"/>
    <w:rsid w:val="0032599D"/>
    <w:rsid w:val="00325F71"/>
    <w:rsid w:val="003334D7"/>
    <w:rsid w:val="003404B1"/>
    <w:rsid w:val="003406FB"/>
    <w:rsid w:val="00340767"/>
    <w:rsid w:val="00340B66"/>
    <w:rsid w:val="003440B7"/>
    <w:rsid w:val="003457E2"/>
    <w:rsid w:val="00347A0C"/>
    <w:rsid w:val="0035003C"/>
    <w:rsid w:val="00356C9F"/>
    <w:rsid w:val="003621CF"/>
    <w:rsid w:val="00367920"/>
    <w:rsid w:val="00371A3C"/>
    <w:rsid w:val="003732AB"/>
    <w:rsid w:val="00377058"/>
    <w:rsid w:val="003815AC"/>
    <w:rsid w:val="00381B99"/>
    <w:rsid w:val="00381E14"/>
    <w:rsid w:val="003827E2"/>
    <w:rsid w:val="00382D75"/>
    <w:rsid w:val="00383D98"/>
    <w:rsid w:val="003938C1"/>
    <w:rsid w:val="0039729C"/>
    <w:rsid w:val="003A20A2"/>
    <w:rsid w:val="003A2EED"/>
    <w:rsid w:val="003A3549"/>
    <w:rsid w:val="003B0D74"/>
    <w:rsid w:val="003B3AC6"/>
    <w:rsid w:val="003B4CB6"/>
    <w:rsid w:val="003B62EC"/>
    <w:rsid w:val="003C0467"/>
    <w:rsid w:val="003C73EE"/>
    <w:rsid w:val="003D3D6A"/>
    <w:rsid w:val="003D4886"/>
    <w:rsid w:val="003E03E3"/>
    <w:rsid w:val="003F08C8"/>
    <w:rsid w:val="003F2726"/>
    <w:rsid w:val="003F3ED7"/>
    <w:rsid w:val="003F400F"/>
    <w:rsid w:val="003F79FE"/>
    <w:rsid w:val="00401EE1"/>
    <w:rsid w:val="004043B3"/>
    <w:rsid w:val="004048CE"/>
    <w:rsid w:val="00405E47"/>
    <w:rsid w:val="004078D2"/>
    <w:rsid w:val="0041258A"/>
    <w:rsid w:val="00412653"/>
    <w:rsid w:val="00412812"/>
    <w:rsid w:val="0041349B"/>
    <w:rsid w:val="00414198"/>
    <w:rsid w:val="00417F07"/>
    <w:rsid w:val="0042044C"/>
    <w:rsid w:val="00427C10"/>
    <w:rsid w:val="00432288"/>
    <w:rsid w:val="004354A1"/>
    <w:rsid w:val="00436B97"/>
    <w:rsid w:val="004410D1"/>
    <w:rsid w:val="00442069"/>
    <w:rsid w:val="004421AD"/>
    <w:rsid w:val="0044248C"/>
    <w:rsid w:val="00444204"/>
    <w:rsid w:val="00444607"/>
    <w:rsid w:val="00444EF5"/>
    <w:rsid w:val="004452B7"/>
    <w:rsid w:val="00447784"/>
    <w:rsid w:val="00451BA8"/>
    <w:rsid w:val="00451CC9"/>
    <w:rsid w:val="00460E12"/>
    <w:rsid w:val="004616EB"/>
    <w:rsid w:val="00461E97"/>
    <w:rsid w:val="00464AE7"/>
    <w:rsid w:val="00464C77"/>
    <w:rsid w:val="00464E00"/>
    <w:rsid w:val="0046552E"/>
    <w:rsid w:val="00465CE4"/>
    <w:rsid w:val="004764D8"/>
    <w:rsid w:val="00476D17"/>
    <w:rsid w:val="00477BB9"/>
    <w:rsid w:val="00480F46"/>
    <w:rsid w:val="0048219E"/>
    <w:rsid w:val="004822E9"/>
    <w:rsid w:val="00482345"/>
    <w:rsid w:val="00482DBB"/>
    <w:rsid w:val="00485975"/>
    <w:rsid w:val="00485B25"/>
    <w:rsid w:val="00485DB4"/>
    <w:rsid w:val="004863AC"/>
    <w:rsid w:val="00487953"/>
    <w:rsid w:val="00490CC1"/>
    <w:rsid w:val="00496739"/>
    <w:rsid w:val="00496841"/>
    <w:rsid w:val="00497454"/>
    <w:rsid w:val="004A29D9"/>
    <w:rsid w:val="004A311B"/>
    <w:rsid w:val="004A4782"/>
    <w:rsid w:val="004A6794"/>
    <w:rsid w:val="004A720E"/>
    <w:rsid w:val="004A7BB4"/>
    <w:rsid w:val="004C0003"/>
    <w:rsid w:val="004C1AE5"/>
    <w:rsid w:val="004C26F1"/>
    <w:rsid w:val="004C3432"/>
    <w:rsid w:val="004D4CA8"/>
    <w:rsid w:val="004E024F"/>
    <w:rsid w:val="004E39A5"/>
    <w:rsid w:val="004E731C"/>
    <w:rsid w:val="004F018B"/>
    <w:rsid w:val="004F30E8"/>
    <w:rsid w:val="004F524A"/>
    <w:rsid w:val="004F5B04"/>
    <w:rsid w:val="00500350"/>
    <w:rsid w:val="0050378C"/>
    <w:rsid w:val="00503857"/>
    <w:rsid w:val="005056E4"/>
    <w:rsid w:val="0050737A"/>
    <w:rsid w:val="0050770F"/>
    <w:rsid w:val="005078B4"/>
    <w:rsid w:val="00510661"/>
    <w:rsid w:val="0051428E"/>
    <w:rsid w:val="00516BD0"/>
    <w:rsid w:val="005177A2"/>
    <w:rsid w:val="00522E86"/>
    <w:rsid w:val="005260B4"/>
    <w:rsid w:val="00526F6E"/>
    <w:rsid w:val="005309A4"/>
    <w:rsid w:val="00531304"/>
    <w:rsid w:val="005317B7"/>
    <w:rsid w:val="00532E09"/>
    <w:rsid w:val="00534226"/>
    <w:rsid w:val="0053519F"/>
    <w:rsid w:val="00536325"/>
    <w:rsid w:val="00536681"/>
    <w:rsid w:val="00536AFC"/>
    <w:rsid w:val="00536C42"/>
    <w:rsid w:val="00543F88"/>
    <w:rsid w:val="0054460E"/>
    <w:rsid w:val="00546544"/>
    <w:rsid w:val="00546568"/>
    <w:rsid w:val="0055046D"/>
    <w:rsid w:val="00550DA8"/>
    <w:rsid w:val="00552B30"/>
    <w:rsid w:val="00552F16"/>
    <w:rsid w:val="00555484"/>
    <w:rsid w:val="00556962"/>
    <w:rsid w:val="00556A3E"/>
    <w:rsid w:val="00560B87"/>
    <w:rsid w:val="00563A62"/>
    <w:rsid w:val="0056589B"/>
    <w:rsid w:val="00566BC9"/>
    <w:rsid w:val="00570863"/>
    <w:rsid w:val="005724D7"/>
    <w:rsid w:val="005724FF"/>
    <w:rsid w:val="00574D5F"/>
    <w:rsid w:val="00577265"/>
    <w:rsid w:val="005772FF"/>
    <w:rsid w:val="005779FC"/>
    <w:rsid w:val="00577D81"/>
    <w:rsid w:val="005800F8"/>
    <w:rsid w:val="00580BE3"/>
    <w:rsid w:val="0058191A"/>
    <w:rsid w:val="00586AEE"/>
    <w:rsid w:val="00590320"/>
    <w:rsid w:val="00590EFD"/>
    <w:rsid w:val="00591990"/>
    <w:rsid w:val="0059200D"/>
    <w:rsid w:val="00593F82"/>
    <w:rsid w:val="005950BF"/>
    <w:rsid w:val="005959E2"/>
    <w:rsid w:val="00595F77"/>
    <w:rsid w:val="005A1B34"/>
    <w:rsid w:val="005A5FF8"/>
    <w:rsid w:val="005A6BB6"/>
    <w:rsid w:val="005B14FC"/>
    <w:rsid w:val="005B6028"/>
    <w:rsid w:val="005C54CC"/>
    <w:rsid w:val="005C5DFE"/>
    <w:rsid w:val="005C6D95"/>
    <w:rsid w:val="005C7DE6"/>
    <w:rsid w:val="005D62BA"/>
    <w:rsid w:val="005D640D"/>
    <w:rsid w:val="005E0B7A"/>
    <w:rsid w:val="005E0F3B"/>
    <w:rsid w:val="005E1110"/>
    <w:rsid w:val="005E2028"/>
    <w:rsid w:val="005E418F"/>
    <w:rsid w:val="005E5C68"/>
    <w:rsid w:val="005E61E5"/>
    <w:rsid w:val="006017FC"/>
    <w:rsid w:val="006042D2"/>
    <w:rsid w:val="00606020"/>
    <w:rsid w:val="00606E1F"/>
    <w:rsid w:val="00611071"/>
    <w:rsid w:val="006113BB"/>
    <w:rsid w:val="006120D5"/>
    <w:rsid w:val="00615E5B"/>
    <w:rsid w:val="00617962"/>
    <w:rsid w:val="00621721"/>
    <w:rsid w:val="0062302D"/>
    <w:rsid w:val="00624C16"/>
    <w:rsid w:val="00630C95"/>
    <w:rsid w:val="006320ED"/>
    <w:rsid w:val="0063275B"/>
    <w:rsid w:val="00635A08"/>
    <w:rsid w:val="00635BD2"/>
    <w:rsid w:val="00636989"/>
    <w:rsid w:val="006428B7"/>
    <w:rsid w:val="006430BF"/>
    <w:rsid w:val="00646D0E"/>
    <w:rsid w:val="00650F42"/>
    <w:rsid w:val="00652226"/>
    <w:rsid w:val="00652DE6"/>
    <w:rsid w:val="00657FCF"/>
    <w:rsid w:val="00660D9C"/>
    <w:rsid w:val="006737AD"/>
    <w:rsid w:val="00676A3F"/>
    <w:rsid w:val="00680F7F"/>
    <w:rsid w:val="00683D9F"/>
    <w:rsid w:val="006863FB"/>
    <w:rsid w:val="00686985"/>
    <w:rsid w:val="006874C1"/>
    <w:rsid w:val="006876FA"/>
    <w:rsid w:val="00692919"/>
    <w:rsid w:val="0069558B"/>
    <w:rsid w:val="006956E6"/>
    <w:rsid w:val="00695A0F"/>
    <w:rsid w:val="00696624"/>
    <w:rsid w:val="0069745E"/>
    <w:rsid w:val="00697942"/>
    <w:rsid w:val="006A28A5"/>
    <w:rsid w:val="006A3690"/>
    <w:rsid w:val="006A3F39"/>
    <w:rsid w:val="006A43EA"/>
    <w:rsid w:val="006A6A46"/>
    <w:rsid w:val="006A73EF"/>
    <w:rsid w:val="006A7765"/>
    <w:rsid w:val="006A7E9A"/>
    <w:rsid w:val="006B4155"/>
    <w:rsid w:val="006B613D"/>
    <w:rsid w:val="006B7E2E"/>
    <w:rsid w:val="006C29E6"/>
    <w:rsid w:val="006C4E88"/>
    <w:rsid w:val="006C5400"/>
    <w:rsid w:val="006D050B"/>
    <w:rsid w:val="006D298D"/>
    <w:rsid w:val="006D4970"/>
    <w:rsid w:val="006D4982"/>
    <w:rsid w:val="006D4B15"/>
    <w:rsid w:val="006D7252"/>
    <w:rsid w:val="006E6693"/>
    <w:rsid w:val="006E6A60"/>
    <w:rsid w:val="006F0BF6"/>
    <w:rsid w:val="006F13B1"/>
    <w:rsid w:val="006F226B"/>
    <w:rsid w:val="006F2D10"/>
    <w:rsid w:val="006F762B"/>
    <w:rsid w:val="00701CE7"/>
    <w:rsid w:val="00702BFA"/>
    <w:rsid w:val="00705747"/>
    <w:rsid w:val="00706F86"/>
    <w:rsid w:val="007143B6"/>
    <w:rsid w:val="00714E55"/>
    <w:rsid w:val="00716D0B"/>
    <w:rsid w:val="0071714E"/>
    <w:rsid w:val="0072245F"/>
    <w:rsid w:val="0072247F"/>
    <w:rsid w:val="007237E0"/>
    <w:rsid w:val="00727901"/>
    <w:rsid w:val="0073048D"/>
    <w:rsid w:val="00731F81"/>
    <w:rsid w:val="00733E74"/>
    <w:rsid w:val="00737F3F"/>
    <w:rsid w:val="00745125"/>
    <w:rsid w:val="00750169"/>
    <w:rsid w:val="00751B98"/>
    <w:rsid w:val="00754635"/>
    <w:rsid w:val="00754CF1"/>
    <w:rsid w:val="00754E46"/>
    <w:rsid w:val="007563CC"/>
    <w:rsid w:val="00760467"/>
    <w:rsid w:val="00761CCE"/>
    <w:rsid w:val="007625F8"/>
    <w:rsid w:val="00763178"/>
    <w:rsid w:val="0076411F"/>
    <w:rsid w:val="00764F41"/>
    <w:rsid w:val="0076640D"/>
    <w:rsid w:val="007675A6"/>
    <w:rsid w:val="00772F25"/>
    <w:rsid w:val="007734C9"/>
    <w:rsid w:val="00775571"/>
    <w:rsid w:val="00782FDC"/>
    <w:rsid w:val="007831A1"/>
    <w:rsid w:val="00783229"/>
    <w:rsid w:val="00783F38"/>
    <w:rsid w:val="00785D1C"/>
    <w:rsid w:val="007903D4"/>
    <w:rsid w:val="00792F01"/>
    <w:rsid w:val="00793A1A"/>
    <w:rsid w:val="00793E12"/>
    <w:rsid w:val="0079540B"/>
    <w:rsid w:val="00796130"/>
    <w:rsid w:val="00796538"/>
    <w:rsid w:val="00797F56"/>
    <w:rsid w:val="007A1A32"/>
    <w:rsid w:val="007A2204"/>
    <w:rsid w:val="007A4707"/>
    <w:rsid w:val="007B0D4C"/>
    <w:rsid w:val="007B19E6"/>
    <w:rsid w:val="007B4F45"/>
    <w:rsid w:val="007B5BCE"/>
    <w:rsid w:val="007B6FC7"/>
    <w:rsid w:val="007C1911"/>
    <w:rsid w:val="007C1CB1"/>
    <w:rsid w:val="007D7994"/>
    <w:rsid w:val="007E0AB1"/>
    <w:rsid w:val="007E30D4"/>
    <w:rsid w:val="007E5357"/>
    <w:rsid w:val="007E58DA"/>
    <w:rsid w:val="007F0AF0"/>
    <w:rsid w:val="007F33BF"/>
    <w:rsid w:val="007F3E51"/>
    <w:rsid w:val="007F4012"/>
    <w:rsid w:val="007F4FED"/>
    <w:rsid w:val="007F6DC9"/>
    <w:rsid w:val="008009E3"/>
    <w:rsid w:val="008019C0"/>
    <w:rsid w:val="008019F5"/>
    <w:rsid w:val="008045FC"/>
    <w:rsid w:val="0080534E"/>
    <w:rsid w:val="008118EA"/>
    <w:rsid w:val="00811D75"/>
    <w:rsid w:val="00813666"/>
    <w:rsid w:val="008139BB"/>
    <w:rsid w:val="00814405"/>
    <w:rsid w:val="0081645B"/>
    <w:rsid w:val="00821CF3"/>
    <w:rsid w:val="008274E3"/>
    <w:rsid w:val="00827545"/>
    <w:rsid w:val="00830A4A"/>
    <w:rsid w:val="008346D1"/>
    <w:rsid w:val="00836A6F"/>
    <w:rsid w:val="00840ADC"/>
    <w:rsid w:val="00840FF3"/>
    <w:rsid w:val="0084214E"/>
    <w:rsid w:val="00842303"/>
    <w:rsid w:val="00842D63"/>
    <w:rsid w:val="00844B99"/>
    <w:rsid w:val="008477C8"/>
    <w:rsid w:val="00850D04"/>
    <w:rsid w:val="00855F9A"/>
    <w:rsid w:val="00856C59"/>
    <w:rsid w:val="00863C61"/>
    <w:rsid w:val="00864F85"/>
    <w:rsid w:val="00866347"/>
    <w:rsid w:val="00872401"/>
    <w:rsid w:val="00872CDC"/>
    <w:rsid w:val="008738BB"/>
    <w:rsid w:val="0087496C"/>
    <w:rsid w:val="00875726"/>
    <w:rsid w:val="00875BB6"/>
    <w:rsid w:val="00881141"/>
    <w:rsid w:val="00881E00"/>
    <w:rsid w:val="008832C6"/>
    <w:rsid w:val="0088340A"/>
    <w:rsid w:val="00890A8D"/>
    <w:rsid w:val="00890B6D"/>
    <w:rsid w:val="008A40EA"/>
    <w:rsid w:val="008A48F6"/>
    <w:rsid w:val="008A7E10"/>
    <w:rsid w:val="008B2BBD"/>
    <w:rsid w:val="008C78DD"/>
    <w:rsid w:val="008D0293"/>
    <w:rsid w:val="008D18AE"/>
    <w:rsid w:val="008D2899"/>
    <w:rsid w:val="008D2E97"/>
    <w:rsid w:val="008D35E4"/>
    <w:rsid w:val="008D444E"/>
    <w:rsid w:val="008D48CF"/>
    <w:rsid w:val="008D7723"/>
    <w:rsid w:val="008E2DFE"/>
    <w:rsid w:val="008E32E7"/>
    <w:rsid w:val="008E40DF"/>
    <w:rsid w:val="008E5A01"/>
    <w:rsid w:val="008E5A13"/>
    <w:rsid w:val="008E7994"/>
    <w:rsid w:val="008F3065"/>
    <w:rsid w:val="008F309D"/>
    <w:rsid w:val="008F3DEA"/>
    <w:rsid w:val="008F4E3F"/>
    <w:rsid w:val="008F7E88"/>
    <w:rsid w:val="00903978"/>
    <w:rsid w:val="0090417E"/>
    <w:rsid w:val="00904CC8"/>
    <w:rsid w:val="009055E8"/>
    <w:rsid w:val="009057E4"/>
    <w:rsid w:val="009122DE"/>
    <w:rsid w:val="00912DD0"/>
    <w:rsid w:val="009143DA"/>
    <w:rsid w:val="0091670A"/>
    <w:rsid w:val="0092269E"/>
    <w:rsid w:val="00923F65"/>
    <w:rsid w:val="009261CF"/>
    <w:rsid w:val="009304AD"/>
    <w:rsid w:val="0093081C"/>
    <w:rsid w:val="00932FFF"/>
    <w:rsid w:val="009345D2"/>
    <w:rsid w:val="009352D9"/>
    <w:rsid w:val="00935CCD"/>
    <w:rsid w:val="009376B0"/>
    <w:rsid w:val="009409CC"/>
    <w:rsid w:val="00941FE6"/>
    <w:rsid w:val="00943938"/>
    <w:rsid w:val="00947552"/>
    <w:rsid w:val="009477E4"/>
    <w:rsid w:val="00952D95"/>
    <w:rsid w:val="0095355A"/>
    <w:rsid w:val="0095456D"/>
    <w:rsid w:val="009606C2"/>
    <w:rsid w:val="00965673"/>
    <w:rsid w:val="00967A67"/>
    <w:rsid w:val="00972052"/>
    <w:rsid w:val="00977493"/>
    <w:rsid w:val="0098074A"/>
    <w:rsid w:val="0098514D"/>
    <w:rsid w:val="0098540F"/>
    <w:rsid w:val="009878F3"/>
    <w:rsid w:val="009908E4"/>
    <w:rsid w:val="0099173A"/>
    <w:rsid w:val="00991E7E"/>
    <w:rsid w:val="00993C97"/>
    <w:rsid w:val="009A201A"/>
    <w:rsid w:val="009A4352"/>
    <w:rsid w:val="009A5D49"/>
    <w:rsid w:val="009B2A44"/>
    <w:rsid w:val="009B3CF9"/>
    <w:rsid w:val="009B49BE"/>
    <w:rsid w:val="009B5521"/>
    <w:rsid w:val="009B7081"/>
    <w:rsid w:val="009C3D5C"/>
    <w:rsid w:val="009C5D2E"/>
    <w:rsid w:val="009C6538"/>
    <w:rsid w:val="009C6CDC"/>
    <w:rsid w:val="009D37A3"/>
    <w:rsid w:val="009D53EC"/>
    <w:rsid w:val="009D63E0"/>
    <w:rsid w:val="009E408A"/>
    <w:rsid w:val="009E4AA1"/>
    <w:rsid w:val="009E51D8"/>
    <w:rsid w:val="009E64B5"/>
    <w:rsid w:val="009E7ADD"/>
    <w:rsid w:val="009E7D38"/>
    <w:rsid w:val="009F2D7A"/>
    <w:rsid w:val="009F30DC"/>
    <w:rsid w:val="009F35FA"/>
    <w:rsid w:val="009F45A5"/>
    <w:rsid w:val="009F6C8D"/>
    <w:rsid w:val="00A020A1"/>
    <w:rsid w:val="00A03031"/>
    <w:rsid w:val="00A040A6"/>
    <w:rsid w:val="00A048DF"/>
    <w:rsid w:val="00A0655C"/>
    <w:rsid w:val="00A1137C"/>
    <w:rsid w:val="00A123CA"/>
    <w:rsid w:val="00A1268B"/>
    <w:rsid w:val="00A1311F"/>
    <w:rsid w:val="00A141ED"/>
    <w:rsid w:val="00A15B64"/>
    <w:rsid w:val="00A16011"/>
    <w:rsid w:val="00A17D30"/>
    <w:rsid w:val="00A206E0"/>
    <w:rsid w:val="00A21B7A"/>
    <w:rsid w:val="00A21FA3"/>
    <w:rsid w:val="00A23370"/>
    <w:rsid w:val="00A2647E"/>
    <w:rsid w:val="00A2649F"/>
    <w:rsid w:val="00A31E23"/>
    <w:rsid w:val="00A32FC5"/>
    <w:rsid w:val="00A354B2"/>
    <w:rsid w:val="00A378EB"/>
    <w:rsid w:val="00A37E6A"/>
    <w:rsid w:val="00A4101E"/>
    <w:rsid w:val="00A45BB2"/>
    <w:rsid w:val="00A4608B"/>
    <w:rsid w:val="00A463CC"/>
    <w:rsid w:val="00A51142"/>
    <w:rsid w:val="00A51214"/>
    <w:rsid w:val="00A5464C"/>
    <w:rsid w:val="00A54848"/>
    <w:rsid w:val="00A71221"/>
    <w:rsid w:val="00A71EC7"/>
    <w:rsid w:val="00A735C0"/>
    <w:rsid w:val="00A756A3"/>
    <w:rsid w:val="00A75B71"/>
    <w:rsid w:val="00A7764C"/>
    <w:rsid w:val="00A810C3"/>
    <w:rsid w:val="00A81307"/>
    <w:rsid w:val="00A857A4"/>
    <w:rsid w:val="00A85C3C"/>
    <w:rsid w:val="00A8648A"/>
    <w:rsid w:val="00A86D17"/>
    <w:rsid w:val="00A87396"/>
    <w:rsid w:val="00A87B4F"/>
    <w:rsid w:val="00A9104C"/>
    <w:rsid w:val="00A93618"/>
    <w:rsid w:val="00A93C75"/>
    <w:rsid w:val="00A94E73"/>
    <w:rsid w:val="00A96256"/>
    <w:rsid w:val="00A96994"/>
    <w:rsid w:val="00AA3024"/>
    <w:rsid w:val="00AB13C2"/>
    <w:rsid w:val="00AB191D"/>
    <w:rsid w:val="00AB1C11"/>
    <w:rsid w:val="00AB2350"/>
    <w:rsid w:val="00AB26A1"/>
    <w:rsid w:val="00AB37DA"/>
    <w:rsid w:val="00AB3C5E"/>
    <w:rsid w:val="00AB549E"/>
    <w:rsid w:val="00AB5DAD"/>
    <w:rsid w:val="00AB7D3A"/>
    <w:rsid w:val="00AB7E91"/>
    <w:rsid w:val="00AC16AB"/>
    <w:rsid w:val="00AC237C"/>
    <w:rsid w:val="00AC2D89"/>
    <w:rsid w:val="00AC30F3"/>
    <w:rsid w:val="00AC638C"/>
    <w:rsid w:val="00AD2638"/>
    <w:rsid w:val="00AD7B68"/>
    <w:rsid w:val="00AE250B"/>
    <w:rsid w:val="00AE34A6"/>
    <w:rsid w:val="00AE36D0"/>
    <w:rsid w:val="00AE3D30"/>
    <w:rsid w:val="00AE41CB"/>
    <w:rsid w:val="00AE6F45"/>
    <w:rsid w:val="00AE7E05"/>
    <w:rsid w:val="00AF1019"/>
    <w:rsid w:val="00AF12CB"/>
    <w:rsid w:val="00AF26FA"/>
    <w:rsid w:val="00AF3AF7"/>
    <w:rsid w:val="00AF546B"/>
    <w:rsid w:val="00B0185E"/>
    <w:rsid w:val="00B05151"/>
    <w:rsid w:val="00B0688D"/>
    <w:rsid w:val="00B06942"/>
    <w:rsid w:val="00B07A98"/>
    <w:rsid w:val="00B12EA8"/>
    <w:rsid w:val="00B13F42"/>
    <w:rsid w:val="00B14544"/>
    <w:rsid w:val="00B157E9"/>
    <w:rsid w:val="00B166CD"/>
    <w:rsid w:val="00B173D9"/>
    <w:rsid w:val="00B173EF"/>
    <w:rsid w:val="00B23105"/>
    <w:rsid w:val="00B23A99"/>
    <w:rsid w:val="00B25703"/>
    <w:rsid w:val="00B31A59"/>
    <w:rsid w:val="00B33C93"/>
    <w:rsid w:val="00B363AC"/>
    <w:rsid w:val="00B37268"/>
    <w:rsid w:val="00B4234F"/>
    <w:rsid w:val="00B42E09"/>
    <w:rsid w:val="00B43F67"/>
    <w:rsid w:val="00B448BE"/>
    <w:rsid w:val="00B456E4"/>
    <w:rsid w:val="00B54F4E"/>
    <w:rsid w:val="00B5557A"/>
    <w:rsid w:val="00B60B68"/>
    <w:rsid w:val="00B62A55"/>
    <w:rsid w:val="00B64772"/>
    <w:rsid w:val="00B6483A"/>
    <w:rsid w:val="00B65775"/>
    <w:rsid w:val="00B65D03"/>
    <w:rsid w:val="00B671F1"/>
    <w:rsid w:val="00B70E43"/>
    <w:rsid w:val="00B71094"/>
    <w:rsid w:val="00B726B8"/>
    <w:rsid w:val="00B7436B"/>
    <w:rsid w:val="00B778D7"/>
    <w:rsid w:val="00B80042"/>
    <w:rsid w:val="00B80A96"/>
    <w:rsid w:val="00B86C1E"/>
    <w:rsid w:val="00B86D8A"/>
    <w:rsid w:val="00B90A62"/>
    <w:rsid w:val="00B91A75"/>
    <w:rsid w:val="00B92B9D"/>
    <w:rsid w:val="00B95C66"/>
    <w:rsid w:val="00B97153"/>
    <w:rsid w:val="00B9746A"/>
    <w:rsid w:val="00BA137A"/>
    <w:rsid w:val="00BA2933"/>
    <w:rsid w:val="00BA484D"/>
    <w:rsid w:val="00BA7371"/>
    <w:rsid w:val="00BB0002"/>
    <w:rsid w:val="00BB0FBE"/>
    <w:rsid w:val="00BB195D"/>
    <w:rsid w:val="00BB3BEE"/>
    <w:rsid w:val="00BB4447"/>
    <w:rsid w:val="00BB70CA"/>
    <w:rsid w:val="00BB72DC"/>
    <w:rsid w:val="00BB75D8"/>
    <w:rsid w:val="00BC33A1"/>
    <w:rsid w:val="00BC466B"/>
    <w:rsid w:val="00BC5F0C"/>
    <w:rsid w:val="00BD124F"/>
    <w:rsid w:val="00BD253B"/>
    <w:rsid w:val="00BD52DE"/>
    <w:rsid w:val="00BE258A"/>
    <w:rsid w:val="00BE58FD"/>
    <w:rsid w:val="00BE71F7"/>
    <w:rsid w:val="00BE73B9"/>
    <w:rsid w:val="00BE7B18"/>
    <w:rsid w:val="00BE7C73"/>
    <w:rsid w:val="00BF04EB"/>
    <w:rsid w:val="00BF1A79"/>
    <w:rsid w:val="00C009B2"/>
    <w:rsid w:val="00C1023C"/>
    <w:rsid w:val="00C10E40"/>
    <w:rsid w:val="00C13938"/>
    <w:rsid w:val="00C15FC0"/>
    <w:rsid w:val="00C16814"/>
    <w:rsid w:val="00C201A8"/>
    <w:rsid w:val="00C21A44"/>
    <w:rsid w:val="00C23A9A"/>
    <w:rsid w:val="00C24348"/>
    <w:rsid w:val="00C27AD6"/>
    <w:rsid w:val="00C34DB1"/>
    <w:rsid w:val="00C351FA"/>
    <w:rsid w:val="00C41B75"/>
    <w:rsid w:val="00C41D13"/>
    <w:rsid w:val="00C4448C"/>
    <w:rsid w:val="00C47065"/>
    <w:rsid w:val="00C50ABD"/>
    <w:rsid w:val="00C50DA6"/>
    <w:rsid w:val="00C50EAF"/>
    <w:rsid w:val="00C51288"/>
    <w:rsid w:val="00C513AA"/>
    <w:rsid w:val="00C516CD"/>
    <w:rsid w:val="00C519BD"/>
    <w:rsid w:val="00C52F30"/>
    <w:rsid w:val="00C53B93"/>
    <w:rsid w:val="00C544D1"/>
    <w:rsid w:val="00C56667"/>
    <w:rsid w:val="00C6025F"/>
    <w:rsid w:val="00C619D3"/>
    <w:rsid w:val="00C65156"/>
    <w:rsid w:val="00C67F5F"/>
    <w:rsid w:val="00C711C9"/>
    <w:rsid w:val="00C72295"/>
    <w:rsid w:val="00C74BCE"/>
    <w:rsid w:val="00C75711"/>
    <w:rsid w:val="00C80A71"/>
    <w:rsid w:val="00C81461"/>
    <w:rsid w:val="00C814BF"/>
    <w:rsid w:val="00C82FE5"/>
    <w:rsid w:val="00C830A7"/>
    <w:rsid w:val="00C832D3"/>
    <w:rsid w:val="00C84D2F"/>
    <w:rsid w:val="00C8542F"/>
    <w:rsid w:val="00C8729E"/>
    <w:rsid w:val="00C873F7"/>
    <w:rsid w:val="00C92817"/>
    <w:rsid w:val="00C92FBB"/>
    <w:rsid w:val="00C93AFD"/>
    <w:rsid w:val="00C97ED5"/>
    <w:rsid w:val="00CA3187"/>
    <w:rsid w:val="00CA7691"/>
    <w:rsid w:val="00CA7E6B"/>
    <w:rsid w:val="00CB0355"/>
    <w:rsid w:val="00CB2682"/>
    <w:rsid w:val="00CB379E"/>
    <w:rsid w:val="00CB5E30"/>
    <w:rsid w:val="00CB6AB4"/>
    <w:rsid w:val="00CB78B5"/>
    <w:rsid w:val="00CC253F"/>
    <w:rsid w:val="00CC401D"/>
    <w:rsid w:val="00CC492F"/>
    <w:rsid w:val="00CC58C5"/>
    <w:rsid w:val="00CD04E3"/>
    <w:rsid w:val="00CD272D"/>
    <w:rsid w:val="00CD3231"/>
    <w:rsid w:val="00CD4B38"/>
    <w:rsid w:val="00CD602D"/>
    <w:rsid w:val="00CD6405"/>
    <w:rsid w:val="00CD6F11"/>
    <w:rsid w:val="00CE3E47"/>
    <w:rsid w:val="00CE5A7A"/>
    <w:rsid w:val="00CE7225"/>
    <w:rsid w:val="00CF0039"/>
    <w:rsid w:val="00CF2817"/>
    <w:rsid w:val="00CF35D6"/>
    <w:rsid w:val="00CF365A"/>
    <w:rsid w:val="00CF3875"/>
    <w:rsid w:val="00CF3EA3"/>
    <w:rsid w:val="00CF5B26"/>
    <w:rsid w:val="00D01D7E"/>
    <w:rsid w:val="00D02052"/>
    <w:rsid w:val="00D04552"/>
    <w:rsid w:val="00D16EAA"/>
    <w:rsid w:val="00D17061"/>
    <w:rsid w:val="00D22143"/>
    <w:rsid w:val="00D22EB3"/>
    <w:rsid w:val="00D23173"/>
    <w:rsid w:val="00D23EFD"/>
    <w:rsid w:val="00D2437E"/>
    <w:rsid w:val="00D266B6"/>
    <w:rsid w:val="00D30220"/>
    <w:rsid w:val="00D323E1"/>
    <w:rsid w:val="00D328AE"/>
    <w:rsid w:val="00D33E36"/>
    <w:rsid w:val="00D34997"/>
    <w:rsid w:val="00D36672"/>
    <w:rsid w:val="00D377ED"/>
    <w:rsid w:val="00D4115A"/>
    <w:rsid w:val="00D42822"/>
    <w:rsid w:val="00D42D57"/>
    <w:rsid w:val="00D43D6F"/>
    <w:rsid w:val="00D44632"/>
    <w:rsid w:val="00D52E0D"/>
    <w:rsid w:val="00D5577C"/>
    <w:rsid w:val="00D63858"/>
    <w:rsid w:val="00D6522B"/>
    <w:rsid w:val="00D6724D"/>
    <w:rsid w:val="00D67547"/>
    <w:rsid w:val="00D70E5A"/>
    <w:rsid w:val="00D7289A"/>
    <w:rsid w:val="00D739A7"/>
    <w:rsid w:val="00D74B28"/>
    <w:rsid w:val="00D812C7"/>
    <w:rsid w:val="00D82DE5"/>
    <w:rsid w:val="00D85934"/>
    <w:rsid w:val="00D875A4"/>
    <w:rsid w:val="00D91447"/>
    <w:rsid w:val="00D92F06"/>
    <w:rsid w:val="00D959A0"/>
    <w:rsid w:val="00D97E0D"/>
    <w:rsid w:val="00DA161D"/>
    <w:rsid w:val="00DA4DC7"/>
    <w:rsid w:val="00DA5043"/>
    <w:rsid w:val="00DA6F72"/>
    <w:rsid w:val="00DA775C"/>
    <w:rsid w:val="00DB0EEC"/>
    <w:rsid w:val="00DB1709"/>
    <w:rsid w:val="00DB2C2B"/>
    <w:rsid w:val="00DB526B"/>
    <w:rsid w:val="00DB5A5E"/>
    <w:rsid w:val="00DC1C8E"/>
    <w:rsid w:val="00DC24E7"/>
    <w:rsid w:val="00DC3EA0"/>
    <w:rsid w:val="00DC4186"/>
    <w:rsid w:val="00DC764D"/>
    <w:rsid w:val="00DC7976"/>
    <w:rsid w:val="00DD34C1"/>
    <w:rsid w:val="00DD57B0"/>
    <w:rsid w:val="00DE253D"/>
    <w:rsid w:val="00DE5173"/>
    <w:rsid w:val="00DF3DBA"/>
    <w:rsid w:val="00DF4149"/>
    <w:rsid w:val="00DF4511"/>
    <w:rsid w:val="00DF585F"/>
    <w:rsid w:val="00E02C03"/>
    <w:rsid w:val="00E03733"/>
    <w:rsid w:val="00E04687"/>
    <w:rsid w:val="00E053DB"/>
    <w:rsid w:val="00E0762A"/>
    <w:rsid w:val="00E105A6"/>
    <w:rsid w:val="00E1061B"/>
    <w:rsid w:val="00E114C7"/>
    <w:rsid w:val="00E13E22"/>
    <w:rsid w:val="00E152BD"/>
    <w:rsid w:val="00E160D5"/>
    <w:rsid w:val="00E16234"/>
    <w:rsid w:val="00E17C65"/>
    <w:rsid w:val="00E25806"/>
    <w:rsid w:val="00E274BD"/>
    <w:rsid w:val="00E31FB2"/>
    <w:rsid w:val="00E33F88"/>
    <w:rsid w:val="00E3573F"/>
    <w:rsid w:val="00E35941"/>
    <w:rsid w:val="00E36E68"/>
    <w:rsid w:val="00E4003F"/>
    <w:rsid w:val="00E401F6"/>
    <w:rsid w:val="00E40276"/>
    <w:rsid w:val="00E420B3"/>
    <w:rsid w:val="00E43272"/>
    <w:rsid w:val="00E438C9"/>
    <w:rsid w:val="00E43E8C"/>
    <w:rsid w:val="00E44AE6"/>
    <w:rsid w:val="00E45013"/>
    <w:rsid w:val="00E47CBB"/>
    <w:rsid w:val="00E516A0"/>
    <w:rsid w:val="00E52808"/>
    <w:rsid w:val="00E53969"/>
    <w:rsid w:val="00E54FD0"/>
    <w:rsid w:val="00E575DD"/>
    <w:rsid w:val="00E60A2B"/>
    <w:rsid w:val="00E61A02"/>
    <w:rsid w:val="00E62069"/>
    <w:rsid w:val="00E622E1"/>
    <w:rsid w:val="00E63211"/>
    <w:rsid w:val="00E63940"/>
    <w:rsid w:val="00E647FD"/>
    <w:rsid w:val="00E65650"/>
    <w:rsid w:val="00E67890"/>
    <w:rsid w:val="00E76B1C"/>
    <w:rsid w:val="00E76EA0"/>
    <w:rsid w:val="00E82E6E"/>
    <w:rsid w:val="00E91066"/>
    <w:rsid w:val="00E91C64"/>
    <w:rsid w:val="00E97819"/>
    <w:rsid w:val="00E97890"/>
    <w:rsid w:val="00E97CBF"/>
    <w:rsid w:val="00EA1D92"/>
    <w:rsid w:val="00EA3953"/>
    <w:rsid w:val="00EA4240"/>
    <w:rsid w:val="00EA7045"/>
    <w:rsid w:val="00EB0A63"/>
    <w:rsid w:val="00EB325B"/>
    <w:rsid w:val="00EB3655"/>
    <w:rsid w:val="00EB593F"/>
    <w:rsid w:val="00EB79D5"/>
    <w:rsid w:val="00EC1320"/>
    <w:rsid w:val="00EC2354"/>
    <w:rsid w:val="00EC4712"/>
    <w:rsid w:val="00EC4E75"/>
    <w:rsid w:val="00EC533D"/>
    <w:rsid w:val="00EC6D63"/>
    <w:rsid w:val="00ED2C47"/>
    <w:rsid w:val="00ED75DE"/>
    <w:rsid w:val="00EE023B"/>
    <w:rsid w:val="00EE0752"/>
    <w:rsid w:val="00EE1CE6"/>
    <w:rsid w:val="00EE284F"/>
    <w:rsid w:val="00EE4287"/>
    <w:rsid w:val="00EE4F21"/>
    <w:rsid w:val="00EF1687"/>
    <w:rsid w:val="00EF2E65"/>
    <w:rsid w:val="00EF3C3C"/>
    <w:rsid w:val="00EF4DF6"/>
    <w:rsid w:val="00EF66D5"/>
    <w:rsid w:val="00F0035E"/>
    <w:rsid w:val="00F009DA"/>
    <w:rsid w:val="00F00C4B"/>
    <w:rsid w:val="00F01E04"/>
    <w:rsid w:val="00F01FA5"/>
    <w:rsid w:val="00F024EF"/>
    <w:rsid w:val="00F02939"/>
    <w:rsid w:val="00F06A57"/>
    <w:rsid w:val="00F0715D"/>
    <w:rsid w:val="00F13636"/>
    <w:rsid w:val="00F142DC"/>
    <w:rsid w:val="00F173DC"/>
    <w:rsid w:val="00F20012"/>
    <w:rsid w:val="00F21BF0"/>
    <w:rsid w:val="00F21F95"/>
    <w:rsid w:val="00F22DF2"/>
    <w:rsid w:val="00F2345E"/>
    <w:rsid w:val="00F25445"/>
    <w:rsid w:val="00F26BC8"/>
    <w:rsid w:val="00F27655"/>
    <w:rsid w:val="00F309F7"/>
    <w:rsid w:val="00F3223C"/>
    <w:rsid w:val="00F32C00"/>
    <w:rsid w:val="00F4237D"/>
    <w:rsid w:val="00F4482B"/>
    <w:rsid w:val="00F4525D"/>
    <w:rsid w:val="00F463C3"/>
    <w:rsid w:val="00F4687B"/>
    <w:rsid w:val="00F50341"/>
    <w:rsid w:val="00F518F2"/>
    <w:rsid w:val="00F526CA"/>
    <w:rsid w:val="00F52DBF"/>
    <w:rsid w:val="00F56295"/>
    <w:rsid w:val="00F571DF"/>
    <w:rsid w:val="00F602B3"/>
    <w:rsid w:val="00F604C6"/>
    <w:rsid w:val="00F60CA1"/>
    <w:rsid w:val="00F6116C"/>
    <w:rsid w:val="00F65005"/>
    <w:rsid w:val="00F65254"/>
    <w:rsid w:val="00F702D0"/>
    <w:rsid w:val="00F70AC4"/>
    <w:rsid w:val="00F73EE0"/>
    <w:rsid w:val="00F74F9D"/>
    <w:rsid w:val="00F81631"/>
    <w:rsid w:val="00F852C3"/>
    <w:rsid w:val="00F85EE7"/>
    <w:rsid w:val="00F87403"/>
    <w:rsid w:val="00F87A1C"/>
    <w:rsid w:val="00F91FDC"/>
    <w:rsid w:val="00F94AF9"/>
    <w:rsid w:val="00FA09B7"/>
    <w:rsid w:val="00FA2DD4"/>
    <w:rsid w:val="00FA310D"/>
    <w:rsid w:val="00FA4F7C"/>
    <w:rsid w:val="00FB1067"/>
    <w:rsid w:val="00FB405A"/>
    <w:rsid w:val="00FB5BBF"/>
    <w:rsid w:val="00FB5FB8"/>
    <w:rsid w:val="00FB7AAB"/>
    <w:rsid w:val="00FB7B55"/>
    <w:rsid w:val="00FC05CE"/>
    <w:rsid w:val="00FC25C6"/>
    <w:rsid w:val="00FC3CA5"/>
    <w:rsid w:val="00FC44D0"/>
    <w:rsid w:val="00FC50F6"/>
    <w:rsid w:val="00FC61B2"/>
    <w:rsid w:val="00FC6A7C"/>
    <w:rsid w:val="00FC719C"/>
    <w:rsid w:val="00FD18FA"/>
    <w:rsid w:val="00FD5965"/>
    <w:rsid w:val="00FE3019"/>
    <w:rsid w:val="00FE30E4"/>
    <w:rsid w:val="00FE4CF4"/>
    <w:rsid w:val="00FF1AA6"/>
    <w:rsid w:val="00FF44AD"/>
    <w:rsid w:val="00FF6987"/>
    <w:rsid w:val="00FF7956"/>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3C7C3A"/>
  <w15:chartTrackingRefBased/>
  <w15:docId w15:val="{ED37409C-868D-49E2-AC2E-C3AFB5A00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v-SE" w:eastAsia="en-US" w:bidi="ar-SA"/>
      </w:rPr>
    </w:rPrDefault>
    <w:pPrDefault>
      <w:pPr>
        <w:spacing w:after="260"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599D"/>
  </w:style>
  <w:style w:type="paragraph" w:styleId="Heading1">
    <w:name w:val="heading 1"/>
    <w:basedOn w:val="Normal"/>
    <w:next w:val="Normal"/>
    <w:link w:val="Heading1Char"/>
    <w:uiPriority w:val="9"/>
    <w:qFormat/>
    <w:rsid w:val="00C10E40"/>
    <w:pPr>
      <w:keepNext/>
      <w:keepLines/>
      <w:spacing w:line="340" w:lineRule="atLeast"/>
      <w:outlineLvl w:val="0"/>
    </w:pPr>
    <w:rPr>
      <w:rFonts w:asciiTheme="majorHAnsi" w:eastAsiaTheme="majorEastAsia" w:hAnsiTheme="majorHAnsi" w:cstheme="majorBidi"/>
      <w:color w:val="262626" w:themeColor="text1" w:themeTint="D9"/>
      <w:sz w:val="30"/>
      <w:szCs w:val="32"/>
    </w:rPr>
  </w:style>
  <w:style w:type="paragraph" w:styleId="Heading2">
    <w:name w:val="heading 2"/>
    <w:basedOn w:val="Normal"/>
    <w:next w:val="Normal"/>
    <w:link w:val="Heading2Char"/>
    <w:uiPriority w:val="9"/>
    <w:unhideWhenUsed/>
    <w:qFormat/>
    <w:rsid w:val="00C10E40"/>
    <w:pPr>
      <w:keepNext/>
      <w:keepLines/>
      <w:spacing w:after="140"/>
      <w:outlineLvl w:val="1"/>
    </w:pPr>
    <w:rPr>
      <w:rFonts w:asciiTheme="majorHAnsi" w:eastAsiaTheme="majorEastAsia" w:hAnsiTheme="majorHAnsi" w:cstheme="majorBidi"/>
      <w:b/>
      <w:color w:val="262626" w:themeColor="text1" w:themeTint="D9"/>
      <w:szCs w:val="28"/>
    </w:rPr>
  </w:style>
  <w:style w:type="paragraph" w:styleId="Heading3">
    <w:name w:val="heading 3"/>
    <w:basedOn w:val="Normal"/>
    <w:next w:val="Normal"/>
    <w:link w:val="Heading3Char"/>
    <w:uiPriority w:val="9"/>
    <w:qFormat/>
    <w:rsid w:val="00C10E40"/>
    <w:pPr>
      <w:keepNext/>
      <w:keepLines/>
      <w:spacing w:after="60"/>
      <w:outlineLvl w:val="2"/>
    </w:pPr>
    <w:rPr>
      <w:rFonts w:ascii="Times New Roman" w:eastAsiaTheme="majorEastAsia" w:hAnsi="Times New Roman" w:cstheme="majorBidi"/>
      <w:b/>
      <w:color w:val="262626" w:themeColor="text1" w:themeTint="D9"/>
      <w:szCs w:val="24"/>
    </w:rPr>
  </w:style>
  <w:style w:type="paragraph" w:styleId="Heading4">
    <w:name w:val="heading 4"/>
    <w:basedOn w:val="Normal"/>
    <w:next w:val="Normal"/>
    <w:link w:val="Heading4Char"/>
    <w:qFormat/>
    <w:rsid w:val="00C10E40"/>
    <w:pPr>
      <w:keepNext/>
      <w:keepLines/>
      <w:spacing w:after="60"/>
      <w:outlineLvl w:val="3"/>
    </w:pPr>
    <w:rPr>
      <w:rFonts w:ascii="Times New Roman" w:eastAsiaTheme="majorEastAsia" w:hAnsi="Times New Roman" w:cstheme="majorBidi"/>
      <w:b/>
      <w:i/>
      <w:iCs/>
      <w:color w:val="262626" w:themeColor="text1" w:themeTint="D9"/>
    </w:rPr>
  </w:style>
  <w:style w:type="paragraph" w:styleId="Heading5">
    <w:name w:val="heading 5"/>
    <w:basedOn w:val="Normal"/>
    <w:next w:val="Normal"/>
    <w:link w:val="Heading5Char"/>
    <w:uiPriority w:val="9"/>
    <w:semiHidden/>
    <w:qFormat/>
    <w:rsid w:val="006876FA"/>
    <w:pPr>
      <w:keepNext/>
      <w:keepLines/>
      <w:spacing w:before="40" w:after="0"/>
      <w:outlineLvl w:val="4"/>
    </w:pPr>
    <w:rPr>
      <w:rFonts w:asciiTheme="majorHAnsi" w:eastAsiaTheme="majorEastAsia" w:hAnsiTheme="majorHAnsi" w:cstheme="majorBidi"/>
      <w:color w:val="404040" w:themeColor="text1" w:themeTint="BF"/>
    </w:rPr>
  </w:style>
  <w:style w:type="paragraph" w:styleId="Heading6">
    <w:name w:val="heading 6"/>
    <w:basedOn w:val="Normal"/>
    <w:next w:val="Normal"/>
    <w:link w:val="Heading6Char"/>
    <w:uiPriority w:val="9"/>
    <w:semiHidden/>
    <w:qFormat/>
    <w:rsid w:val="006876FA"/>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semiHidden/>
    <w:qFormat/>
    <w:rsid w:val="006876FA"/>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qFormat/>
    <w:rsid w:val="006876FA"/>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qFormat/>
    <w:rsid w:val="006876FA"/>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0E40"/>
    <w:rPr>
      <w:rFonts w:asciiTheme="majorHAnsi" w:eastAsiaTheme="majorEastAsia" w:hAnsiTheme="majorHAnsi" w:cstheme="majorBidi"/>
      <w:color w:val="262626" w:themeColor="text1" w:themeTint="D9"/>
      <w:sz w:val="30"/>
      <w:szCs w:val="32"/>
    </w:rPr>
  </w:style>
  <w:style w:type="character" w:customStyle="1" w:styleId="Heading2Char">
    <w:name w:val="Heading 2 Char"/>
    <w:basedOn w:val="DefaultParagraphFont"/>
    <w:link w:val="Heading2"/>
    <w:uiPriority w:val="9"/>
    <w:rsid w:val="00C10E40"/>
    <w:rPr>
      <w:rFonts w:asciiTheme="majorHAnsi" w:eastAsiaTheme="majorEastAsia" w:hAnsiTheme="majorHAnsi" w:cstheme="majorBidi"/>
      <w:b/>
      <w:color w:val="262626" w:themeColor="text1" w:themeTint="D9"/>
      <w:szCs w:val="28"/>
    </w:rPr>
  </w:style>
  <w:style w:type="character" w:customStyle="1" w:styleId="Heading3Char">
    <w:name w:val="Heading 3 Char"/>
    <w:basedOn w:val="DefaultParagraphFont"/>
    <w:link w:val="Heading3"/>
    <w:uiPriority w:val="9"/>
    <w:rsid w:val="00C10E40"/>
    <w:rPr>
      <w:rFonts w:ascii="Times New Roman" w:eastAsiaTheme="majorEastAsia" w:hAnsi="Times New Roman" w:cstheme="majorBidi"/>
      <w:b/>
      <w:color w:val="262626" w:themeColor="text1" w:themeTint="D9"/>
      <w:szCs w:val="24"/>
    </w:rPr>
  </w:style>
  <w:style w:type="character" w:customStyle="1" w:styleId="Heading4Char">
    <w:name w:val="Heading 4 Char"/>
    <w:basedOn w:val="DefaultParagraphFont"/>
    <w:link w:val="Heading4"/>
    <w:rsid w:val="00C10E40"/>
    <w:rPr>
      <w:rFonts w:ascii="Times New Roman" w:eastAsiaTheme="majorEastAsia" w:hAnsi="Times New Roman" w:cstheme="majorBidi"/>
      <w:b/>
      <w:i/>
      <w:iCs/>
      <w:color w:val="262626" w:themeColor="text1" w:themeTint="D9"/>
    </w:rPr>
  </w:style>
  <w:style w:type="character" w:customStyle="1" w:styleId="Heading5Char">
    <w:name w:val="Heading 5 Char"/>
    <w:basedOn w:val="DefaultParagraphFont"/>
    <w:link w:val="Heading5"/>
    <w:uiPriority w:val="9"/>
    <w:semiHidden/>
    <w:rsid w:val="006876FA"/>
    <w:rPr>
      <w:rFonts w:asciiTheme="majorHAnsi" w:eastAsiaTheme="majorEastAsia" w:hAnsiTheme="majorHAnsi" w:cstheme="majorBidi"/>
      <w:color w:val="404040" w:themeColor="text1" w:themeTint="BF"/>
    </w:rPr>
  </w:style>
  <w:style w:type="character" w:customStyle="1" w:styleId="Heading6Char">
    <w:name w:val="Heading 6 Char"/>
    <w:basedOn w:val="DefaultParagraphFont"/>
    <w:link w:val="Heading6"/>
    <w:uiPriority w:val="9"/>
    <w:semiHidden/>
    <w:rsid w:val="006876FA"/>
    <w:rPr>
      <w:rFonts w:asciiTheme="majorHAnsi" w:eastAsiaTheme="majorEastAsia" w:hAnsiTheme="majorHAnsi" w:cstheme="majorBidi"/>
    </w:rPr>
  </w:style>
  <w:style w:type="character" w:customStyle="1" w:styleId="Heading7Char">
    <w:name w:val="Heading 7 Char"/>
    <w:basedOn w:val="DefaultParagraphFont"/>
    <w:link w:val="Heading7"/>
    <w:uiPriority w:val="9"/>
    <w:semiHidden/>
    <w:rsid w:val="006876FA"/>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6876FA"/>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6876FA"/>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nhideWhenUsed/>
    <w:qFormat/>
    <w:rsid w:val="006876FA"/>
    <w:pPr>
      <w:spacing w:after="200" w:line="240" w:lineRule="auto"/>
    </w:pPr>
    <w:rPr>
      <w:i/>
      <w:iCs/>
      <w:color w:val="002F5F" w:themeColor="text2"/>
      <w:sz w:val="18"/>
      <w:szCs w:val="18"/>
    </w:rPr>
  </w:style>
  <w:style w:type="paragraph" w:styleId="Title">
    <w:name w:val="Title"/>
    <w:basedOn w:val="Normal"/>
    <w:next w:val="Normal"/>
    <w:link w:val="TitleChar"/>
    <w:uiPriority w:val="10"/>
    <w:qFormat/>
    <w:rsid w:val="006876FA"/>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semiHidden/>
    <w:rsid w:val="006876FA"/>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6876FA"/>
    <w:pPr>
      <w:numPr>
        <w:ilvl w:val="1"/>
      </w:numPr>
    </w:pPr>
    <w:rPr>
      <w:color w:val="5A5A5A" w:themeColor="text1" w:themeTint="A5"/>
      <w:spacing w:val="15"/>
    </w:rPr>
  </w:style>
  <w:style w:type="character" w:customStyle="1" w:styleId="SubtitleChar">
    <w:name w:val="Subtitle Char"/>
    <w:basedOn w:val="DefaultParagraphFont"/>
    <w:link w:val="Subtitle"/>
    <w:uiPriority w:val="11"/>
    <w:semiHidden/>
    <w:rsid w:val="006876FA"/>
    <w:rPr>
      <w:color w:val="5A5A5A" w:themeColor="text1" w:themeTint="A5"/>
      <w:spacing w:val="15"/>
    </w:rPr>
  </w:style>
  <w:style w:type="character" w:styleId="Strong">
    <w:name w:val="Strong"/>
    <w:basedOn w:val="DefaultParagraphFont"/>
    <w:uiPriority w:val="22"/>
    <w:qFormat/>
    <w:rsid w:val="006876FA"/>
    <w:rPr>
      <w:b/>
      <w:bCs/>
      <w:color w:val="auto"/>
    </w:rPr>
  </w:style>
  <w:style w:type="character" w:styleId="Emphasis">
    <w:name w:val="Emphasis"/>
    <w:basedOn w:val="DefaultParagraphFont"/>
    <w:uiPriority w:val="20"/>
    <w:qFormat/>
    <w:rsid w:val="006876FA"/>
    <w:rPr>
      <w:i/>
      <w:iCs/>
      <w:color w:val="auto"/>
    </w:rPr>
  </w:style>
  <w:style w:type="paragraph" w:styleId="NoSpacing">
    <w:name w:val="No Spacing"/>
    <w:uiPriority w:val="1"/>
    <w:qFormat/>
    <w:rsid w:val="006876FA"/>
    <w:pPr>
      <w:spacing w:after="0" w:line="240" w:lineRule="auto"/>
    </w:pPr>
  </w:style>
  <w:style w:type="paragraph" w:styleId="Quote">
    <w:name w:val="Quote"/>
    <w:basedOn w:val="Normal"/>
    <w:next w:val="Normal"/>
    <w:link w:val="QuoteChar"/>
    <w:uiPriority w:val="29"/>
    <w:qFormat/>
    <w:rsid w:val="006876FA"/>
    <w:pPr>
      <w:spacing w:before="200"/>
      <w:ind w:left="864" w:right="864"/>
    </w:pPr>
    <w:rPr>
      <w:i/>
      <w:iCs/>
      <w:color w:val="404040" w:themeColor="text1" w:themeTint="BF"/>
    </w:rPr>
  </w:style>
  <w:style w:type="character" w:customStyle="1" w:styleId="QuoteChar">
    <w:name w:val="Quote Char"/>
    <w:basedOn w:val="DefaultParagraphFont"/>
    <w:link w:val="Quote"/>
    <w:uiPriority w:val="29"/>
    <w:semiHidden/>
    <w:rsid w:val="006876FA"/>
    <w:rPr>
      <w:i/>
      <w:iCs/>
      <w:color w:val="404040" w:themeColor="text1" w:themeTint="BF"/>
    </w:rPr>
  </w:style>
  <w:style w:type="paragraph" w:styleId="IntenseQuote">
    <w:name w:val="Intense Quote"/>
    <w:basedOn w:val="Normal"/>
    <w:next w:val="Normal"/>
    <w:link w:val="IntenseQuoteChar"/>
    <w:uiPriority w:val="30"/>
    <w:qFormat/>
    <w:rsid w:val="006876FA"/>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semiHidden/>
    <w:rsid w:val="006876FA"/>
    <w:rPr>
      <w:i/>
      <w:iCs/>
      <w:color w:val="404040" w:themeColor="text1" w:themeTint="BF"/>
    </w:rPr>
  </w:style>
  <w:style w:type="character" w:styleId="SubtleEmphasis">
    <w:name w:val="Subtle Emphasis"/>
    <w:basedOn w:val="DefaultParagraphFont"/>
    <w:uiPriority w:val="19"/>
    <w:qFormat/>
    <w:rsid w:val="006876FA"/>
    <w:rPr>
      <w:i/>
      <w:iCs/>
      <w:color w:val="404040" w:themeColor="text1" w:themeTint="BF"/>
    </w:rPr>
  </w:style>
  <w:style w:type="character" w:styleId="IntenseEmphasis">
    <w:name w:val="Intense Emphasis"/>
    <w:basedOn w:val="DefaultParagraphFont"/>
    <w:uiPriority w:val="21"/>
    <w:qFormat/>
    <w:rsid w:val="006876FA"/>
    <w:rPr>
      <w:b/>
      <w:bCs/>
      <w:i/>
      <w:iCs/>
      <w:color w:val="auto"/>
    </w:rPr>
  </w:style>
  <w:style w:type="character" w:styleId="SubtleReference">
    <w:name w:val="Subtle Reference"/>
    <w:basedOn w:val="DefaultParagraphFont"/>
    <w:uiPriority w:val="31"/>
    <w:qFormat/>
    <w:rsid w:val="006876FA"/>
    <w:rPr>
      <w:smallCaps/>
      <w:color w:val="404040" w:themeColor="text1" w:themeTint="BF"/>
    </w:rPr>
  </w:style>
  <w:style w:type="character" w:styleId="IntenseReference">
    <w:name w:val="Intense Reference"/>
    <w:basedOn w:val="DefaultParagraphFont"/>
    <w:uiPriority w:val="32"/>
    <w:qFormat/>
    <w:rsid w:val="006876FA"/>
    <w:rPr>
      <w:b/>
      <w:bCs/>
      <w:smallCaps/>
      <w:color w:val="404040" w:themeColor="text1" w:themeTint="BF"/>
      <w:spacing w:val="5"/>
    </w:rPr>
  </w:style>
  <w:style w:type="character" w:styleId="BookTitle">
    <w:name w:val="Book Title"/>
    <w:basedOn w:val="DefaultParagraphFont"/>
    <w:uiPriority w:val="33"/>
    <w:qFormat/>
    <w:rsid w:val="006876FA"/>
    <w:rPr>
      <w:b/>
      <w:bCs/>
      <w:i/>
      <w:iCs/>
      <w:spacing w:val="5"/>
    </w:rPr>
  </w:style>
  <w:style w:type="paragraph" w:styleId="TOCHeading">
    <w:name w:val="TOC Heading"/>
    <w:basedOn w:val="Heading1"/>
    <w:next w:val="Normal"/>
    <w:uiPriority w:val="39"/>
    <w:unhideWhenUsed/>
    <w:qFormat/>
    <w:rsid w:val="00C10E40"/>
    <w:pPr>
      <w:outlineLvl w:val="9"/>
    </w:pPr>
  </w:style>
  <w:style w:type="paragraph" w:styleId="Header">
    <w:name w:val="header"/>
    <w:basedOn w:val="Normal"/>
    <w:link w:val="HeaderChar"/>
    <w:unhideWhenUsed/>
    <w:rsid w:val="006876FA"/>
    <w:pPr>
      <w:tabs>
        <w:tab w:val="left" w:pos="4139"/>
        <w:tab w:val="left" w:pos="6010"/>
        <w:tab w:val="right" w:pos="9072"/>
      </w:tabs>
      <w:spacing w:after="0" w:line="240" w:lineRule="auto"/>
    </w:pPr>
  </w:style>
  <w:style w:type="character" w:customStyle="1" w:styleId="HeaderChar">
    <w:name w:val="Header Char"/>
    <w:basedOn w:val="DefaultParagraphFont"/>
    <w:link w:val="Header"/>
    <w:rsid w:val="006876FA"/>
  </w:style>
  <w:style w:type="paragraph" w:styleId="Footer">
    <w:name w:val="footer"/>
    <w:basedOn w:val="Normal"/>
    <w:link w:val="FooterChar"/>
    <w:unhideWhenUsed/>
    <w:rsid w:val="006876FA"/>
    <w:pPr>
      <w:tabs>
        <w:tab w:val="center" w:pos="4536"/>
        <w:tab w:val="right" w:pos="9072"/>
      </w:tabs>
      <w:spacing w:after="0" w:line="240" w:lineRule="auto"/>
    </w:pPr>
    <w:rPr>
      <w:sz w:val="16"/>
    </w:rPr>
  </w:style>
  <w:style w:type="character" w:customStyle="1" w:styleId="FooterChar">
    <w:name w:val="Footer Char"/>
    <w:basedOn w:val="DefaultParagraphFont"/>
    <w:link w:val="Footer"/>
    <w:rsid w:val="006876FA"/>
    <w:rPr>
      <w:sz w:val="16"/>
    </w:rPr>
  </w:style>
  <w:style w:type="numbering" w:customStyle="1" w:styleId="SUListor">
    <w:name w:val="SU Listor"/>
    <w:uiPriority w:val="99"/>
    <w:rsid w:val="006876FA"/>
    <w:pPr>
      <w:numPr>
        <w:numId w:val="1"/>
      </w:numPr>
    </w:pPr>
  </w:style>
  <w:style w:type="paragraph" w:styleId="ListNumber">
    <w:name w:val="List Number"/>
    <w:basedOn w:val="Normal"/>
    <w:uiPriority w:val="99"/>
    <w:qFormat/>
    <w:rsid w:val="00C10E40"/>
    <w:pPr>
      <w:numPr>
        <w:numId w:val="6"/>
      </w:numPr>
      <w:contextualSpacing/>
    </w:pPr>
    <w:rPr>
      <w:rFonts w:eastAsiaTheme="minorEastAsia"/>
    </w:rPr>
  </w:style>
  <w:style w:type="paragraph" w:styleId="ListBullet">
    <w:name w:val="List Bullet"/>
    <w:basedOn w:val="Normal"/>
    <w:uiPriority w:val="99"/>
    <w:qFormat/>
    <w:rsid w:val="00C10E40"/>
    <w:pPr>
      <w:numPr>
        <w:numId w:val="8"/>
      </w:numPr>
      <w:contextualSpacing/>
    </w:pPr>
    <w:rPr>
      <w:rFonts w:eastAsiaTheme="minorEastAsia"/>
    </w:rPr>
  </w:style>
  <w:style w:type="paragraph" w:customStyle="1" w:styleId="Paragraflista">
    <w:name w:val="Paragraflista"/>
    <w:basedOn w:val="Heading2"/>
    <w:next w:val="Paragraftext"/>
    <w:uiPriority w:val="1"/>
    <w:rsid w:val="00C10E40"/>
    <w:pPr>
      <w:numPr>
        <w:numId w:val="7"/>
      </w:numPr>
    </w:pPr>
  </w:style>
  <w:style w:type="table" w:styleId="TableGrid">
    <w:name w:val="Table Grid"/>
    <w:basedOn w:val="TableNormal"/>
    <w:uiPriority w:val="39"/>
    <w:rsid w:val="00CD4B38"/>
    <w:pPr>
      <w:spacing w:after="0"/>
    </w:pPr>
    <w:rPr>
      <w:rFonts w:ascii="Verdana" w:hAnsi="Verdana"/>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table" w:styleId="PlainTable3">
    <w:name w:val="Plain Table 3"/>
    <w:basedOn w:val="TableNormal"/>
    <w:uiPriority w:val="43"/>
    <w:rsid w:val="006876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PlaceholderText">
    <w:name w:val="Placeholder Text"/>
    <w:basedOn w:val="DefaultParagraphFont"/>
    <w:uiPriority w:val="99"/>
    <w:semiHidden/>
    <w:rsid w:val="006876FA"/>
    <w:rPr>
      <w:color w:val="808080"/>
    </w:rPr>
  </w:style>
  <w:style w:type="paragraph" w:customStyle="1" w:styleId="Institutionsnamn">
    <w:name w:val="Institutionsnamn"/>
    <w:basedOn w:val="Normal"/>
    <w:uiPriority w:val="17"/>
    <w:semiHidden/>
    <w:rsid w:val="00A735C0"/>
    <w:pPr>
      <w:spacing w:after="20" w:line="240" w:lineRule="auto"/>
    </w:pPr>
    <w:rPr>
      <w:rFonts w:ascii="Georgia" w:eastAsiaTheme="minorEastAsia" w:hAnsi="Georgia"/>
      <w:color w:val="002F5F"/>
      <w:sz w:val="26"/>
    </w:rPr>
  </w:style>
  <w:style w:type="paragraph" w:customStyle="1" w:styleId="Paragraftext">
    <w:name w:val="Paragraftext"/>
    <w:basedOn w:val="Normal"/>
    <w:uiPriority w:val="1"/>
    <w:rsid w:val="00C10E40"/>
    <w:pPr>
      <w:ind w:left="794"/>
    </w:pPr>
    <w:rPr>
      <w:rFonts w:eastAsiaTheme="minorEastAsia"/>
    </w:rPr>
  </w:style>
  <w:style w:type="paragraph" w:styleId="TOC1">
    <w:name w:val="toc 1"/>
    <w:aliases w:val="TOC 1tb"/>
    <w:basedOn w:val="Normal"/>
    <w:next w:val="Normal"/>
    <w:autoRedefine/>
    <w:uiPriority w:val="39"/>
    <w:unhideWhenUsed/>
    <w:rsid w:val="007F0AF0"/>
    <w:pPr>
      <w:spacing w:before="120" w:after="0" w:line="240" w:lineRule="auto"/>
    </w:pPr>
    <w:rPr>
      <w:rFonts w:ascii="Calibri" w:eastAsiaTheme="minorEastAsia" w:hAnsi="Calibri" w:cs="Times New Roman (Body CS)"/>
      <w:b/>
      <w:caps/>
      <w:sz w:val="24"/>
    </w:rPr>
  </w:style>
  <w:style w:type="paragraph" w:styleId="TOC2">
    <w:name w:val="toc 2"/>
    <w:basedOn w:val="Normal"/>
    <w:next w:val="Normal"/>
    <w:autoRedefine/>
    <w:uiPriority w:val="39"/>
    <w:unhideWhenUsed/>
    <w:rsid w:val="00D92F06"/>
    <w:pPr>
      <w:tabs>
        <w:tab w:val="right" w:leader="dot" w:pos="8920"/>
      </w:tabs>
      <w:adjustRightInd w:val="0"/>
      <w:spacing w:before="120" w:after="0" w:line="240" w:lineRule="auto"/>
    </w:pPr>
    <w:rPr>
      <w:rFonts w:ascii="Calibri" w:eastAsiaTheme="minorEastAsia" w:hAnsi="Calibri"/>
      <w:sz w:val="24"/>
    </w:rPr>
  </w:style>
  <w:style w:type="paragraph" w:styleId="TOC3">
    <w:name w:val="toc 3"/>
    <w:basedOn w:val="Normal"/>
    <w:next w:val="Normal"/>
    <w:autoRedefine/>
    <w:uiPriority w:val="39"/>
    <w:rsid w:val="00D92F06"/>
    <w:pPr>
      <w:tabs>
        <w:tab w:val="right" w:leader="dot" w:pos="8920"/>
      </w:tabs>
      <w:spacing w:after="0" w:line="240" w:lineRule="auto"/>
      <w:ind w:left="238"/>
    </w:pPr>
    <w:rPr>
      <w:rFonts w:ascii="Calibri" w:eastAsiaTheme="minorEastAsia" w:hAnsi="Calibri"/>
      <w:i/>
      <w:sz w:val="24"/>
    </w:rPr>
  </w:style>
  <w:style w:type="numbering" w:customStyle="1" w:styleId="Listformatnumreradelistor">
    <w:name w:val="Listformat numrerade listor"/>
    <w:uiPriority w:val="99"/>
    <w:rsid w:val="00C10E40"/>
    <w:pPr>
      <w:numPr>
        <w:numId w:val="2"/>
      </w:numPr>
    </w:pPr>
  </w:style>
  <w:style w:type="numbering" w:customStyle="1" w:styleId="Listformatnumreraderubriker">
    <w:name w:val="Listformat numrerade rubriker"/>
    <w:uiPriority w:val="99"/>
    <w:rsid w:val="00C10E40"/>
    <w:pPr>
      <w:numPr>
        <w:numId w:val="3"/>
      </w:numPr>
    </w:pPr>
  </w:style>
  <w:style w:type="numbering" w:customStyle="1" w:styleId="Listformatparagraflistor">
    <w:name w:val="Listformat paragraflistor"/>
    <w:uiPriority w:val="99"/>
    <w:rsid w:val="00C10E40"/>
    <w:pPr>
      <w:numPr>
        <w:numId w:val="4"/>
      </w:numPr>
    </w:pPr>
  </w:style>
  <w:style w:type="numbering" w:customStyle="1" w:styleId="Listformatpunktlistor">
    <w:name w:val="Listformat punktlistor"/>
    <w:uiPriority w:val="99"/>
    <w:rsid w:val="00C10E40"/>
    <w:pPr>
      <w:numPr>
        <w:numId w:val="5"/>
      </w:numPr>
    </w:pPr>
  </w:style>
  <w:style w:type="paragraph" w:styleId="ListParagraph">
    <w:name w:val="List Paragraph"/>
    <w:basedOn w:val="Normal"/>
    <w:uiPriority w:val="34"/>
    <w:qFormat/>
    <w:rsid w:val="00C10E40"/>
    <w:pPr>
      <w:ind w:left="720"/>
      <w:contextualSpacing/>
    </w:pPr>
    <w:rPr>
      <w:rFonts w:eastAsiaTheme="minorEastAsia"/>
    </w:rPr>
  </w:style>
  <w:style w:type="paragraph" w:customStyle="1" w:styleId="Rubrik1numrerad">
    <w:name w:val="Rubrik 1 numrerad"/>
    <w:basedOn w:val="Heading1"/>
    <w:next w:val="Normal"/>
    <w:uiPriority w:val="10"/>
    <w:qFormat/>
    <w:rsid w:val="00C10E40"/>
    <w:pPr>
      <w:numPr>
        <w:numId w:val="9"/>
      </w:numPr>
    </w:pPr>
  </w:style>
  <w:style w:type="paragraph" w:customStyle="1" w:styleId="Rubrik2numrerad">
    <w:name w:val="Rubrik 2 numrerad"/>
    <w:basedOn w:val="Heading2"/>
    <w:next w:val="Normal"/>
    <w:uiPriority w:val="10"/>
    <w:qFormat/>
    <w:rsid w:val="00C10E40"/>
    <w:pPr>
      <w:numPr>
        <w:ilvl w:val="1"/>
        <w:numId w:val="9"/>
      </w:numPr>
    </w:pPr>
  </w:style>
  <w:style w:type="paragraph" w:customStyle="1" w:styleId="Rubrik3numrerad">
    <w:name w:val="Rubrik 3 numrerad"/>
    <w:basedOn w:val="Heading3"/>
    <w:next w:val="Normal"/>
    <w:uiPriority w:val="10"/>
    <w:qFormat/>
    <w:rsid w:val="00C10E40"/>
    <w:pPr>
      <w:numPr>
        <w:ilvl w:val="2"/>
        <w:numId w:val="9"/>
      </w:numPr>
    </w:pPr>
  </w:style>
  <w:style w:type="paragraph" w:customStyle="1" w:styleId="Rubrik4numrerad">
    <w:name w:val="Rubrik 4 numrerad"/>
    <w:basedOn w:val="Heading4"/>
    <w:next w:val="Normal"/>
    <w:uiPriority w:val="10"/>
    <w:qFormat/>
    <w:rsid w:val="00C10E40"/>
    <w:pPr>
      <w:numPr>
        <w:ilvl w:val="3"/>
        <w:numId w:val="9"/>
      </w:numPr>
    </w:pPr>
  </w:style>
  <w:style w:type="paragraph" w:customStyle="1" w:styleId="Bildtext">
    <w:name w:val="Bildtext"/>
    <w:basedOn w:val="Normal"/>
    <w:next w:val="Normal"/>
    <w:uiPriority w:val="12"/>
    <w:qFormat/>
    <w:rsid w:val="00460E12"/>
    <w:rPr>
      <w:rFonts w:eastAsiaTheme="minorEastAsia"/>
      <w:i/>
      <w:sz w:val="20"/>
    </w:rPr>
  </w:style>
  <w:style w:type="paragraph" w:styleId="ListBullet2">
    <w:name w:val="List Bullet 2"/>
    <w:basedOn w:val="Normal"/>
    <w:uiPriority w:val="99"/>
    <w:semiHidden/>
    <w:unhideWhenUsed/>
    <w:rsid w:val="00CD4B38"/>
    <w:pPr>
      <w:numPr>
        <w:numId w:val="10"/>
      </w:numPr>
      <w:contextualSpacing/>
    </w:pPr>
  </w:style>
  <w:style w:type="paragraph" w:styleId="ListBullet3">
    <w:name w:val="List Bullet 3"/>
    <w:basedOn w:val="Normal"/>
    <w:uiPriority w:val="99"/>
    <w:semiHidden/>
    <w:unhideWhenUsed/>
    <w:rsid w:val="00CD4B38"/>
    <w:pPr>
      <w:numPr>
        <w:numId w:val="11"/>
      </w:numPr>
      <w:contextualSpacing/>
    </w:pPr>
  </w:style>
  <w:style w:type="numbering" w:customStyle="1" w:styleId="NoList1">
    <w:name w:val="No List1"/>
    <w:next w:val="NoList"/>
    <w:uiPriority w:val="99"/>
    <w:semiHidden/>
    <w:unhideWhenUsed/>
    <w:rsid w:val="00D2437E"/>
  </w:style>
  <w:style w:type="paragraph" w:styleId="BalloonText">
    <w:name w:val="Balloon Text"/>
    <w:basedOn w:val="Normal"/>
    <w:link w:val="BalloonTextChar"/>
    <w:rsid w:val="00D2437E"/>
    <w:pPr>
      <w:spacing w:after="0" w:line="240" w:lineRule="auto"/>
    </w:pPr>
    <w:rPr>
      <w:rFonts w:ascii="Lucida Grande" w:eastAsia="Times New Roman" w:hAnsi="Lucida Grande" w:cs="Lucida Grande"/>
      <w:sz w:val="18"/>
      <w:szCs w:val="18"/>
      <w:lang w:val="en-GB"/>
    </w:rPr>
  </w:style>
  <w:style w:type="character" w:customStyle="1" w:styleId="BalloonTextChar">
    <w:name w:val="Balloon Text Char"/>
    <w:basedOn w:val="DefaultParagraphFont"/>
    <w:link w:val="BalloonText"/>
    <w:rsid w:val="00D2437E"/>
    <w:rPr>
      <w:rFonts w:ascii="Lucida Grande" w:eastAsia="Times New Roman" w:hAnsi="Lucida Grande" w:cs="Lucida Grande"/>
      <w:sz w:val="18"/>
      <w:szCs w:val="18"/>
      <w:lang w:val="en-GB"/>
    </w:rPr>
  </w:style>
  <w:style w:type="paragraph" w:styleId="TOC4">
    <w:name w:val="toc 4"/>
    <w:basedOn w:val="Normal"/>
    <w:next w:val="Normal"/>
    <w:autoRedefine/>
    <w:semiHidden/>
    <w:rsid w:val="00D2437E"/>
    <w:pPr>
      <w:spacing w:after="0" w:line="240" w:lineRule="auto"/>
      <w:ind w:left="480"/>
    </w:pPr>
    <w:rPr>
      <w:rFonts w:ascii="Times New Roman" w:eastAsia="Times New Roman" w:hAnsi="Times New Roman" w:cs="Times New Roman"/>
      <w:sz w:val="20"/>
      <w:szCs w:val="24"/>
      <w:lang w:val="en-GB"/>
    </w:rPr>
  </w:style>
  <w:style w:type="paragraph" w:styleId="TOC5">
    <w:name w:val="toc 5"/>
    <w:basedOn w:val="Normal"/>
    <w:next w:val="Normal"/>
    <w:autoRedefine/>
    <w:semiHidden/>
    <w:rsid w:val="00D2437E"/>
    <w:pPr>
      <w:spacing w:after="0" w:line="240" w:lineRule="auto"/>
      <w:ind w:left="720"/>
    </w:pPr>
    <w:rPr>
      <w:rFonts w:ascii="Times New Roman" w:eastAsia="Times New Roman" w:hAnsi="Times New Roman" w:cs="Times New Roman"/>
      <w:sz w:val="20"/>
      <w:szCs w:val="24"/>
      <w:lang w:val="en-GB"/>
    </w:rPr>
  </w:style>
  <w:style w:type="paragraph" w:styleId="TOC6">
    <w:name w:val="toc 6"/>
    <w:basedOn w:val="Normal"/>
    <w:next w:val="Normal"/>
    <w:autoRedefine/>
    <w:semiHidden/>
    <w:rsid w:val="00D2437E"/>
    <w:pPr>
      <w:spacing w:after="0" w:line="240" w:lineRule="auto"/>
      <w:ind w:left="960"/>
    </w:pPr>
    <w:rPr>
      <w:rFonts w:ascii="Times New Roman" w:eastAsia="Times New Roman" w:hAnsi="Times New Roman" w:cs="Times New Roman"/>
      <w:sz w:val="20"/>
      <w:szCs w:val="24"/>
      <w:lang w:val="en-GB"/>
    </w:rPr>
  </w:style>
  <w:style w:type="paragraph" w:styleId="TOC7">
    <w:name w:val="toc 7"/>
    <w:basedOn w:val="Normal"/>
    <w:next w:val="Normal"/>
    <w:autoRedefine/>
    <w:semiHidden/>
    <w:rsid w:val="00D2437E"/>
    <w:pPr>
      <w:spacing w:after="0" w:line="240" w:lineRule="auto"/>
      <w:ind w:left="1200"/>
    </w:pPr>
    <w:rPr>
      <w:rFonts w:ascii="Times New Roman" w:eastAsia="Times New Roman" w:hAnsi="Times New Roman" w:cs="Times New Roman"/>
      <w:sz w:val="20"/>
      <w:szCs w:val="24"/>
      <w:lang w:val="en-GB"/>
    </w:rPr>
  </w:style>
  <w:style w:type="paragraph" w:styleId="TOC8">
    <w:name w:val="toc 8"/>
    <w:basedOn w:val="Normal"/>
    <w:next w:val="Normal"/>
    <w:autoRedefine/>
    <w:semiHidden/>
    <w:rsid w:val="00D2437E"/>
    <w:pPr>
      <w:spacing w:after="0" w:line="240" w:lineRule="auto"/>
      <w:ind w:left="1440"/>
    </w:pPr>
    <w:rPr>
      <w:rFonts w:ascii="Times New Roman" w:eastAsia="Times New Roman" w:hAnsi="Times New Roman" w:cs="Times New Roman"/>
      <w:sz w:val="20"/>
      <w:szCs w:val="24"/>
      <w:lang w:val="en-GB"/>
    </w:rPr>
  </w:style>
  <w:style w:type="paragraph" w:styleId="TOC9">
    <w:name w:val="toc 9"/>
    <w:basedOn w:val="Normal"/>
    <w:next w:val="Normal"/>
    <w:autoRedefine/>
    <w:semiHidden/>
    <w:rsid w:val="00D2437E"/>
    <w:pPr>
      <w:spacing w:after="0" w:line="240" w:lineRule="auto"/>
      <w:ind w:left="1680"/>
    </w:pPr>
    <w:rPr>
      <w:rFonts w:ascii="Times New Roman" w:eastAsia="Times New Roman" w:hAnsi="Times New Roman" w:cs="Times New Roman"/>
      <w:sz w:val="20"/>
      <w:szCs w:val="24"/>
      <w:lang w:val="en-GB"/>
    </w:rPr>
  </w:style>
  <w:style w:type="paragraph" w:customStyle="1" w:styleId="Agency-heading-1-report">
    <w:name w:val="Agency-heading-1-report"/>
    <w:basedOn w:val="Normal"/>
    <w:next w:val="Agency-body-text-report"/>
    <w:qFormat/>
    <w:rsid w:val="00D2437E"/>
    <w:pPr>
      <w:keepNext/>
      <w:pageBreakBefore/>
      <w:pBdr>
        <w:bottom w:val="single" w:sz="8" w:space="2" w:color="20204B"/>
      </w:pBdr>
      <w:spacing w:before="4080" w:after="480" w:line="240" w:lineRule="auto"/>
      <w:contextualSpacing/>
      <w:outlineLvl w:val="0"/>
    </w:pPr>
    <w:rPr>
      <w:rFonts w:ascii="Calibri" w:eastAsia="Times New Roman" w:hAnsi="Calibri" w:cs="Times New Roman"/>
      <w:b/>
      <w:caps/>
      <w:color w:val="211F4C"/>
      <w:sz w:val="40"/>
      <w:szCs w:val="24"/>
      <w:lang w:val="en-GB"/>
    </w:rPr>
  </w:style>
  <w:style w:type="paragraph" w:customStyle="1" w:styleId="Agency-body-text-report">
    <w:name w:val="Agency-body-text-report"/>
    <w:basedOn w:val="Normal"/>
    <w:qFormat/>
    <w:rsid w:val="00D2437E"/>
    <w:pPr>
      <w:spacing w:before="120" w:after="120" w:line="240" w:lineRule="auto"/>
    </w:pPr>
    <w:rPr>
      <w:rFonts w:ascii="Calibri" w:eastAsia="Times New Roman" w:hAnsi="Calibri" w:cs="Times New Roman"/>
      <w:color w:val="000000"/>
      <w:sz w:val="24"/>
      <w:szCs w:val="24"/>
      <w:lang w:val="en-GB"/>
    </w:rPr>
  </w:style>
  <w:style w:type="paragraph" w:customStyle="1" w:styleId="Agency-heading-2-report">
    <w:name w:val="Agency-heading-2-report"/>
    <w:basedOn w:val="Normal"/>
    <w:next w:val="Agency-body-text-report"/>
    <w:qFormat/>
    <w:rsid w:val="00D2437E"/>
    <w:pPr>
      <w:keepNext/>
      <w:pBdr>
        <w:bottom w:val="single" w:sz="8" w:space="2" w:color="7F7F7F"/>
      </w:pBdr>
      <w:spacing w:before="600" w:after="600" w:line="240" w:lineRule="auto"/>
      <w:outlineLvl w:val="1"/>
    </w:pPr>
    <w:rPr>
      <w:rFonts w:ascii="Calibri" w:eastAsia="Times New Roman" w:hAnsi="Calibri" w:cs="Times New Roman"/>
      <w:b/>
      <w:color w:val="000000"/>
      <w:sz w:val="32"/>
      <w:szCs w:val="28"/>
      <w:lang w:val="en-GB"/>
    </w:rPr>
  </w:style>
  <w:style w:type="paragraph" w:customStyle="1" w:styleId="Agency-heading-3-report">
    <w:name w:val="Agency-heading-3-report"/>
    <w:basedOn w:val="Normal"/>
    <w:next w:val="Agency-body-text-report"/>
    <w:qFormat/>
    <w:rsid w:val="00D2437E"/>
    <w:pPr>
      <w:keepNext/>
      <w:spacing w:before="240" w:after="240" w:line="240" w:lineRule="auto"/>
      <w:outlineLvl w:val="2"/>
    </w:pPr>
    <w:rPr>
      <w:rFonts w:ascii="Calibri" w:eastAsia="Times New Roman" w:hAnsi="Calibri" w:cs="Times New Roman"/>
      <w:b/>
      <w:color w:val="000000"/>
      <w:sz w:val="24"/>
      <w:szCs w:val="26"/>
      <w:lang w:val="en-GB"/>
    </w:rPr>
  </w:style>
  <w:style w:type="paragraph" w:customStyle="1" w:styleId="Agency-heading-4-report">
    <w:name w:val="Agency-heading-4-report"/>
    <w:basedOn w:val="Normal"/>
    <w:next w:val="Agency-body-text-report"/>
    <w:qFormat/>
    <w:rsid w:val="00D2437E"/>
    <w:pPr>
      <w:keepNext/>
      <w:spacing w:before="240" w:after="240" w:line="240" w:lineRule="auto"/>
      <w:outlineLvl w:val="3"/>
    </w:pPr>
    <w:rPr>
      <w:rFonts w:ascii="Calibri" w:eastAsia="Times New Roman" w:hAnsi="Calibri" w:cs="Times New Roman"/>
      <w:bCs/>
      <w:i/>
      <w:color w:val="000000"/>
      <w:sz w:val="24"/>
      <w:szCs w:val="28"/>
      <w:lang w:val="en-GB"/>
    </w:rPr>
  </w:style>
  <w:style w:type="paragraph" w:customStyle="1" w:styleId="Agency-caption-report">
    <w:name w:val="Agency-caption-report"/>
    <w:basedOn w:val="Normal"/>
    <w:next w:val="Agency-body-text-report"/>
    <w:qFormat/>
    <w:rsid w:val="00D2437E"/>
    <w:pPr>
      <w:spacing w:before="240" w:after="240" w:line="240" w:lineRule="auto"/>
    </w:pPr>
    <w:rPr>
      <w:rFonts w:ascii="Calibri" w:eastAsia="Times New Roman" w:hAnsi="Calibri" w:cs="Times New Roman"/>
      <w:b/>
      <w:bCs/>
      <w:color w:val="000000"/>
      <w:szCs w:val="18"/>
      <w:lang w:val="en-GB"/>
    </w:rPr>
  </w:style>
  <w:style w:type="paragraph" w:customStyle="1" w:styleId="Agency-footer-report">
    <w:name w:val="Agency-footer-report"/>
    <w:basedOn w:val="Normal"/>
    <w:qFormat/>
    <w:rsid w:val="00D2437E"/>
    <w:pPr>
      <w:tabs>
        <w:tab w:val="center" w:pos="4320"/>
        <w:tab w:val="right" w:pos="8640"/>
      </w:tabs>
      <w:spacing w:after="0" w:line="240" w:lineRule="auto"/>
    </w:pPr>
    <w:rPr>
      <w:rFonts w:ascii="Calibri" w:eastAsia="Times New Roman" w:hAnsi="Calibri" w:cs="Times New Roman"/>
      <w:color w:val="000000"/>
      <w:szCs w:val="24"/>
      <w:lang w:val="en-GB"/>
    </w:rPr>
  </w:style>
  <w:style w:type="paragraph" w:customStyle="1" w:styleId="Agency-footnote-report">
    <w:name w:val="Agency-footnote-report"/>
    <w:basedOn w:val="Normal"/>
    <w:qFormat/>
    <w:rsid w:val="00D2437E"/>
    <w:pPr>
      <w:spacing w:before="120" w:after="120" w:line="240" w:lineRule="auto"/>
    </w:pPr>
    <w:rPr>
      <w:rFonts w:ascii="Calibri" w:eastAsia="Times New Roman" w:hAnsi="Calibri" w:cs="Times New Roman"/>
      <w:color w:val="000000"/>
      <w:szCs w:val="24"/>
      <w:lang w:val="en-GB"/>
    </w:rPr>
  </w:style>
  <w:style w:type="character" w:styleId="Hyperlink">
    <w:name w:val="Hyperlink"/>
    <w:uiPriority w:val="99"/>
    <w:rsid w:val="00D2437E"/>
    <w:rPr>
      <w:color w:val="0000FF"/>
      <w:u w:val="single"/>
    </w:rPr>
  </w:style>
  <w:style w:type="paragraph" w:customStyle="1" w:styleId="Agency-quotation">
    <w:name w:val="Agency-quotation"/>
    <w:basedOn w:val="Agency-body-text-report"/>
    <w:next w:val="Agency-body-text-report"/>
    <w:qFormat/>
    <w:rsid w:val="00D2437E"/>
    <w:pPr>
      <w:spacing w:before="240" w:after="240"/>
    </w:pPr>
    <w:rPr>
      <w:i/>
    </w:rPr>
  </w:style>
  <w:style w:type="character" w:styleId="FootnoteReference">
    <w:name w:val="footnote reference"/>
    <w:rsid w:val="00D2437E"/>
    <w:rPr>
      <w:vertAlign w:val="superscript"/>
    </w:rPr>
  </w:style>
  <w:style w:type="paragraph" w:customStyle="1" w:styleId="Agency-heading-1-landscape">
    <w:name w:val="Agency-heading-1-landscape"/>
    <w:basedOn w:val="Normal"/>
    <w:next w:val="Agency-body-text-report"/>
    <w:qFormat/>
    <w:rsid w:val="00D2437E"/>
    <w:pPr>
      <w:keepNext/>
      <w:pageBreakBefore/>
      <w:pBdr>
        <w:bottom w:val="single" w:sz="8" w:space="2" w:color="20204B"/>
      </w:pBdr>
      <w:spacing w:before="2200" w:after="600" w:line="240" w:lineRule="auto"/>
      <w:contextualSpacing/>
      <w:outlineLvl w:val="0"/>
    </w:pPr>
    <w:rPr>
      <w:rFonts w:ascii="Calibri" w:eastAsia="Times New Roman" w:hAnsi="Calibri" w:cs="Times New Roman"/>
      <w:b/>
      <w:caps/>
      <w:color w:val="211F4C"/>
      <w:sz w:val="40"/>
      <w:szCs w:val="24"/>
      <w:lang w:val="en-GB"/>
    </w:rPr>
  </w:style>
  <w:style w:type="character" w:customStyle="1" w:styleId="FollowedHyperlink1">
    <w:name w:val="FollowedHyperlink1"/>
    <w:basedOn w:val="DefaultParagraphFont"/>
    <w:semiHidden/>
    <w:unhideWhenUsed/>
    <w:rsid w:val="00D2437E"/>
    <w:rPr>
      <w:color w:val="800080"/>
      <w:u w:val="single"/>
    </w:rPr>
  </w:style>
  <w:style w:type="paragraph" w:customStyle="1" w:styleId="Agency-caption">
    <w:name w:val="Agency-caption"/>
    <w:basedOn w:val="Normal"/>
    <w:next w:val="Normal"/>
    <w:qFormat/>
    <w:rsid w:val="00D2437E"/>
    <w:pPr>
      <w:spacing w:before="240" w:after="240" w:line="240" w:lineRule="auto"/>
    </w:pPr>
    <w:rPr>
      <w:rFonts w:ascii="Calibri" w:eastAsia="Times New Roman" w:hAnsi="Calibri" w:cs="Times New Roman"/>
      <w:b/>
      <w:bCs/>
      <w:sz w:val="24"/>
      <w:szCs w:val="18"/>
      <w:lang w:val="en-GB"/>
    </w:rPr>
  </w:style>
  <w:style w:type="character" w:styleId="CommentReference">
    <w:name w:val="annotation reference"/>
    <w:basedOn w:val="DefaultParagraphFont"/>
    <w:rsid w:val="00D2437E"/>
    <w:rPr>
      <w:sz w:val="16"/>
      <w:szCs w:val="16"/>
    </w:rPr>
  </w:style>
  <w:style w:type="paragraph" w:styleId="CommentText">
    <w:name w:val="annotation text"/>
    <w:basedOn w:val="Normal"/>
    <w:link w:val="CommentTextChar"/>
    <w:rsid w:val="00D2437E"/>
    <w:pPr>
      <w:spacing w:after="0" w:line="240" w:lineRule="auto"/>
    </w:pPr>
    <w:rPr>
      <w:rFonts w:ascii="Times New Roman" w:eastAsia="Times New Roman" w:hAnsi="Times New Roman" w:cs="Times New Roman"/>
      <w:sz w:val="20"/>
      <w:szCs w:val="20"/>
      <w:lang w:val="en-GB"/>
    </w:rPr>
  </w:style>
  <w:style w:type="character" w:customStyle="1" w:styleId="CommentTextChar">
    <w:name w:val="Comment Text Char"/>
    <w:basedOn w:val="DefaultParagraphFont"/>
    <w:link w:val="CommentText"/>
    <w:rsid w:val="00D2437E"/>
    <w:rPr>
      <w:rFonts w:ascii="Times New Roman" w:eastAsia="Times New Roman" w:hAnsi="Times New Roman" w:cs="Times New Roman"/>
      <w:sz w:val="20"/>
      <w:szCs w:val="20"/>
      <w:lang w:val="en-GB"/>
    </w:rPr>
  </w:style>
  <w:style w:type="paragraph" w:styleId="CommentSubject">
    <w:name w:val="annotation subject"/>
    <w:basedOn w:val="CommentText"/>
    <w:next w:val="CommentText"/>
    <w:link w:val="CommentSubjectChar"/>
    <w:semiHidden/>
    <w:unhideWhenUsed/>
    <w:rsid w:val="00D2437E"/>
    <w:rPr>
      <w:b/>
      <w:bCs/>
    </w:rPr>
  </w:style>
  <w:style w:type="character" w:customStyle="1" w:styleId="CommentSubjectChar">
    <w:name w:val="Comment Subject Char"/>
    <w:basedOn w:val="CommentTextChar"/>
    <w:link w:val="CommentSubject"/>
    <w:semiHidden/>
    <w:rsid w:val="00D2437E"/>
    <w:rPr>
      <w:rFonts w:ascii="Times New Roman" w:eastAsia="Times New Roman" w:hAnsi="Times New Roman" w:cs="Times New Roman"/>
      <w:b/>
      <w:bCs/>
      <w:sz w:val="20"/>
      <w:szCs w:val="20"/>
      <w:lang w:val="en-GB"/>
    </w:rPr>
  </w:style>
  <w:style w:type="paragraph" w:styleId="Revision">
    <w:name w:val="Revision"/>
    <w:hidden/>
    <w:semiHidden/>
    <w:rsid w:val="00D2437E"/>
    <w:pPr>
      <w:spacing w:after="0" w:line="240" w:lineRule="auto"/>
    </w:pPr>
    <w:rPr>
      <w:rFonts w:ascii="Times New Roman" w:eastAsia="Times New Roman" w:hAnsi="Times New Roman" w:cs="Times New Roman"/>
      <w:sz w:val="24"/>
      <w:szCs w:val="24"/>
      <w:lang w:val="en-GB"/>
    </w:rPr>
  </w:style>
  <w:style w:type="character" w:customStyle="1" w:styleId="UnresolvedMention1">
    <w:name w:val="Unresolved Mention1"/>
    <w:basedOn w:val="DefaultParagraphFont"/>
    <w:uiPriority w:val="99"/>
    <w:semiHidden/>
    <w:unhideWhenUsed/>
    <w:rsid w:val="00D2437E"/>
    <w:rPr>
      <w:color w:val="605E5C"/>
      <w:shd w:val="clear" w:color="auto" w:fill="E1DFDD"/>
    </w:rPr>
  </w:style>
  <w:style w:type="character" w:customStyle="1" w:styleId="UnresolvedMention2">
    <w:name w:val="Unresolved Mention2"/>
    <w:basedOn w:val="DefaultParagraphFont"/>
    <w:uiPriority w:val="99"/>
    <w:semiHidden/>
    <w:unhideWhenUsed/>
    <w:rsid w:val="00D2437E"/>
    <w:rPr>
      <w:color w:val="605E5C"/>
      <w:shd w:val="clear" w:color="auto" w:fill="E1DFDD"/>
    </w:rPr>
  </w:style>
  <w:style w:type="character" w:styleId="FollowedHyperlink">
    <w:name w:val="FollowedHyperlink"/>
    <w:basedOn w:val="DefaultParagraphFont"/>
    <w:uiPriority w:val="99"/>
    <w:semiHidden/>
    <w:unhideWhenUsed/>
    <w:rsid w:val="00D2437E"/>
    <w:rPr>
      <w:color w:val="800080" w:themeColor="followedHyperlink"/>
      <w:u w:val="single"/>
    </w:rPr>
  </w:style>
  <w:style w:type="paragraph" w:customStyle="1" w:styleId="Agency-body-text">
    <w:name w:val="Agency-body-text"/>
    <w:basedOn w:val="Normal"/>
    <w:qFormat/>
    <w:rsid w:val="00CD6405"/>
    <w:pPr>
      <w:spacing w:before="120" w:after="120" w:line="240" w:lineRule="auto"/>
    </w:pPr>
    <w:rPr>
      <w:rFonts w:ascii="Calibri" w:eastAsia="Times New Roman" w:hAnsi="Calibri" w:cs="Times New Roman"/>
      <w:color w:val="000000" w:themeColor="text1"/>
      <w:sz w:val="24"/>
      <w:szCs w:val="20"/>
      <w:lang w:val="en-GB"/>
    </w:rPr>
  </w:style>
  <w:style w:type="paragraph" w:customStyle="1" w:styleId="Agency-heading-1">
    <w:name w:val="Agency-heading-1"/>
    <w:basedOn w:val="Normal"/>
    <w:next w:val="Agency-body-text"/>
    <w:qFormat/>
    <w:rsid w:val="00F27655"/>
    <w:pPr>
      <w:keepNext/>
      <w:pBdr>
        <w:bottom w:val="single" w:sz="4" w:space="1" w:color="auto"/>
      </w:pBdr>
      <w:spacing w:before="400" w:after="400" w:line="240" w:lineRule="auto"/>
      <w:outlineLvl w:val="0"/>
    </w:pPr>
    <w:rPr>
      <w:rFonts w:ascii="Calibri" w:eastAsia="Times New Roman" w:hAnsi="Calibri" w:cs="Times New Roman"/>
      <w:b/>
      <w:bCs/>
      <w:caps/>
      <w:color w:val="000000" w:themeColor="text1"/>
      <w:sz w:val="40"/>
      <w:szCs w:val="40"/>
      <w:lang w:val="en-GB"/>
    </w:rPr>
  </w:style>
  <w:style w:type="paragraph" w:customStyle="1" w:styleId="Rubrik11">
    <w:name w:val="Rubrik 11"/>
    <w:basedOn w:val="Normal"/>
    <w:next w:val="Normal"/>
    <w:uiPriority w:val="9"/>
    <w:qFormat/>
    <w:rsid w:val="009F2D7A"/>
    <w:pPr>
      <w:keepNext/>
      <w:keepLines/>
      <w:spacing w:line="340" w:lineRule="atLeast"/>
      <w:outlineLvl w:val="0"/>
    </w:pPr>
    <w:rPr>
      <w:rFonts w:ascii="Verdana" w:eastAsia="Times New Roman" w:hAnsi="Verdana" w:cs="Times New Roman"/>
      <w:color w:val="262626"/>
      <w:sz w:val="30"/>
      <w:szCs w:val="32"/>
      <w:lang w:val="en-GB"/>
    </w:rPr>
  </w:style>
  <w:style w:type="paragraph" w:customStyle="1" w:styleId="Rubrik21">
    <w:name w:val="Rubrik 21"/>
    <w:basedOn w:val="Normal"/>
    <w:next w:val="Normal"/>
    <w:unhideWhenUsed/>
    <w:qFormat/>
    <w:rsid w:val="009F2D7A"/>
    <w:pPr>
      <w:keepNext/>
      <w:keepLines/>
      <w:spacing w:after="140"/>
      <w:outlineLvl w:val="1"/>
    </w:pPr>
    <w:rPr>
      <w:rFonts w:ascii="Verdana" w:eastAsia="Times New Roman" w:hAnsi="Verdana" w:cs="Times New Roman"/>
      <w:b/>
      <w:color w:val="262626"/>
      <w:szCs w:val="28"/>
    </w:rPr>
  </w:style>
  <w:style w:type="paragraph" w:customStyle="1" w:styleId="Rubrik31">
    <w:name w:val="Rubrik 31"/>
    <w:basedOn w:val="Normal"/>
    <w:next w:val="Normal"/>
    <w:qFormat/>
    <w:rsid w:val="009F2D7A"/>
    <w:pPr>
      <w:keepNext/>
      <w:keepLines/>
      <w:spacing w:after="60"/>
      <w:outlineLvl w:val="2"/>
    </w:pPr>
    <w:rPr>
      <w:rFonts w:ascii="Times New Roman" w:eastAsia="Times New Roman" w:hAnsi="Times New Roman" w:cs="Times New Roman"/>
      <w:b/>
      <w:color w:val="262626"/>
      <w:szCs w:val="24"/>
    </w:rPr>
  </w:style>
  <w:style w:type="paragraph" w:customStyle="1" w:styleId="Rubrik41">
    <w:name w:val="Rubrik 41"/>
    <w:basedOn w:val="Normal"/>
    <w:next w:val="Normal"/>
    <w:qFormat/>
    <w:rsid w:val="009F2D7A"/>
    <w:pPr>
      <w:keepNext/>
      <w:keepLines/>
      <w:spacing w:after="60"/>
      <w:outlineLvl w:val="3"/>
    </w:pPr>
    <w:rPr>
      <w:rFonts w:ascii="Times New Roman" w:eastAsia="Times New Roman" w:hAnsi="Times New Roman" w:cs="Times New Roman"/>
      <w:b/>
      <w:i/>
      <w:iCs/>
      <w:color w:val="262626"/>
    </w:rPr>
  </w:style>
  <w:style w:type="paragraph" w:customStyle="1" w:styleId="Rubrik51">
    <w:name w:val="Rubrik 51"/>
    <w:basedOn w:val="Normal"/>
    <w:next w:val="Normal"/>
    <w:uiPriority w:val="9"/>
    <w:semiHidden/>
    <w:qFormat/>
    <w:rsid w:val="009F2D7A"/>
    <w:pPr>
      <w:keepNext/>
      <w:keepLines/>
      <w:spacing w:before="40" w:after="0"/>
      <w:outlineLvl w:val="4"/>
    </w:pPr>
    <w:rPr>
      <w:rFonts w:ascii="Verdana" w:eastAsia="Times New Roman" w:hAnsi="Verdana" w:cs="Times New Roman"/>
      <w:color w:val="404040"/>
    </w:rPr>
  </w:style>
  <w:style w:type="paragraph" w:customStyle="1" w:styleId="Rubrik61">
    <w:name w:val="Rubrik 61"/>
    <w:basedOn w:val="Normal"/>
    <w:next w:val="Normal"/>
    <w:uiPriority w:val="9"/>
    <w:semiHidden/>
    <w:qFormat/>
    <w:rsid w:val="009F2D7A"/>
    <w:pPr>
      <w:keepNext/>
      <w:keepLines/>
      <w:spacing w:before="40" w:after="0"/>
      <w:outlineLvl w:val="5"/>
    </w:pPr>
    <w:rPr>
      <w:rFonts w:ascii="Verdana" w:eastAsia="Times New Roman" w:hAnsi="Verdana" w:cs="Times New Roman"/>
    </w:rPr>
  </w:style>
  <w:style w:type="paragraph" w:customStyle="1" w:styleId="Rubrik71">
    <w:name w:val="Rubrik 71"/>
    <w:basedOn w:val="Normal"/>
    <w:next w:val="Normal"/>
    <w:uiPriority w:val="9"/>
    <w:semiHidden/>
    <w:qFormat/>
    <w:rsid w:val="009F2D7A"/>
    <w:pPr>
      <w:keepNext/>
      <w:keepLines/>
      <w:spacing w:before="40" w:after="0"/>
      <w:outlineLvl w:val="6"/>
    </w:pPr>
    <w:rPr>
      <w:rFonts w:ascii="Verdana" w:eastAsia="Times New Roman" w:hAnsi="Verdana" w:cs="Times New Roman"/>
      <w:i/>
      <w:iCs/>
    </w:rPr>
  </w:style>
  <w:style w:type="paragraph" w:customStyle="1" w:styleId="Rubrik81">
    <w:name w:val="Rubrik 81"/>
    <w:basedOn w:val="Normal"/>
    <w:next w:val="Normal"/>
    <w:uiPriority w:val="9"/>
    <w:semiHidden/>
    <w:qFormat/>
    <w:rsid w:val="009F2D7A"/>
    <w:pPr>
      <w:keepNext/>
      <w:keepLines/>
      <w:spacing w:before="40" w:after="0"/>
      <w:outlineLvl w:val="7"/>
    </w:pPr>
    <w:rPr>
      <w:rFonts w:ascii="Verdana" w:eastAsia="Times New Roman" w:hAnsi="Verdana" w:cs="Times New Roman"/>
      <w:color w:val="262626"/>
      <w:sz w:val="21"/>
      <w:szCs w:val="21"/>
    </w:rPr>
  </w:style>
  <w:style w:type="paragraph" w:customStyle="1" w:styleId="Rubrik91">
    <w:name w:val="Rubrik 91"/>
    <w:basedOn w:val="Normal"/>
    <w:next w:val="Normal"/>
    <w:uiPriority w:val="9"/>
    <w:semiHidden/>
    <w:qFormat/>
    <w:rsid w:val="009F2D7A"/>
    <w:pPr>
      <w:keepNext/>
      <w:keepLines/>
      <w:spacing w:before="40" w:after="0"/>
      <w:outlineLvl w:val="8"/>
    </w:pPr>
    <w:rPr>
      <w:rFonts w:ascii="Verdana" w:eastAsia="Times New Roman" w:hAnsi="Verdana" w:cs="Times New Roman"/>
      <w:i/>
      <w:iCs/>
      <w:color w:val="262626"/>
      <w:sz w:val="21"/>
      <w:szCs w:val="21"/>
    </w:rPr>
  </w:style>
  <w:style w:type="numbering" w:customStyle="1" w:styleId="Ingenlista1">
    <w:name w:val="Ingen lista1"/>
    <w:next w:val="NoList"/>
    <w:uiPriority w:val="99"/>
    <w:semiHidden/>
    <w:unhideWhenUsed/>
    <w:rsid w:val="009F2D7A"/>
  </w:style>
  <w:style w:type="paragraph" w:customStyle="1" w:styleId="Beskrivning1">
    <w:name w:val="Beskrivning1"/>
    <w:basedOn w:val="Normal"/>
    <w:next w:val="Normal"/>
    <w:unhideWhenUsed/>
    <w:qFormat/>
    <w:rsid w:val="009F2D7A"/>
    <w:pPr>
      <w:spacing w:after="200" w:line="240" w:lineRule="auto"/>
    </w:pPr>
    <w:rPr>
      <w:i/>
      <w:iCs/>
      <w:color w:val="002F5F"/>
      <w:sz w:val="18"/>
      <w:szCs w:val="18"/>
    </w:rPr>
  </w:style>
  <w:style w:type="paragraph" w:customStyle="1" w:styleId="Rubrik1">
    <w:name w:val="Rubrik1"/>
    <w:basedOn w:val="Normal"/>
    <w:next w:val="Normal"/>
    <w:uiPriority w:val="10"/>
    <w:semiHidden/>
    <w:qFormat/>
    <w:rsid w:val="009F2D7A"/>
    <w:pPr>
      <w:spacing w:after="0" w:line="240" w:lineRule="auto"/>
      <w:contextualSpacing/>
    </w:pPr>
    <w:rPr>
      <w:rFonts w:ascii="Verdana" w:eastAsia="Times New Roman" w:hAnsi="Verdana" w:cs="Times New Roman"/>
      <w:spacing w:val="-10"/>
      <w:sz w:val="56"/>
      <w:szCs w:val="56"/>
    </w:rPr>
  </w:style>
  <w:style w:type="paragraph" w:customStyle="1" w:styleId="Underrubrik1">
    <w:name w:val="Underrubrik1"/>
    <w:basedOn w:val="Normal"/>
    <w:next w:val="Normal"/>
    <w:uiPriority w:val="11"/>
    <w:semiHidden/>
    <w:qFormat/>
    <w:rsid w:val="009F2D7A"/>
    <w:pPr>
      <w:numPr>
        <w:ilvl w:val="1"/>
      </w:numPr>
    </w:pPr>
    <w:rPr>
      <w:color w:val="5A5A5A"/>
      <w:spacing w:val="15"/>
    </w:rPr>
  </w:style>
  <w:style w:type="paragraph" w:customStyle="1" w:styleId="Citat1">
    <w:name w:val="Citat1"/>
    <w:basedOn w:val="Normal"/>
    <w:next w:val="Normal"/>
    <w:uiPriority w:val="29"/>
    <w:semiHidden/>
    <w:qFormat/>
    <w:rsid w:val="009F2D7A"/>
    <w:pPr>
      <w:spacing w:before="200"/>
      <w:ind w:left="864" w:right="864"/>
    </w:pPr>
    <w:rPr>
      <w:i/>
      <w:iCs/>
      <w:color w:val="404040"/>
    </w:rPr>
  </w:style>
  <w:style w:type="paragraph" w:customStyle="1" w:styleId="Starktcitat1">
    <w:name w:val="Starkt citat1"/>
    <w:basedOn w:val="Normal"/>
    <w:next w:val="Normal"/>
    <w:uiPriority w:val="30"/>
    <w:semiHidden/>
    <w:qFormat/>
    <w:rsid w:val="009F2D7A"/>
    <w:pPr>
      <w:pBdr>
        <w:top w:val="single" w:sz="4" w:space="10" w:color="404040"/>
        <w:bottom w:val="single" w:sz="4" w:space="10" w:color="404040"/>
      </w:pBdr>
      <w:spacing w:before="360" w:after="360"/>
      <w:ind w:left="864" w:right="864"/>
      <w:jc w:val="center"/>
    </w:pPr>
    <w:rPr>
      <w:i/>
      <w:iCs/>
      <w:color w:val="404040"/>
    </w:rPr>
  </w:style>
  <w:style w:type="character" w:customStyle="1" w:styleId="Diskretbetoning1">
    <w:name w:val="Diskret betoning1"/>
    <w:basedOn w:val="DefaultParagraphFont"/>
    <w:uiPriority w:val="19"/>
    <w:semiHidden/>
    <w:qFormat/>
    <w:rsid w:val="009F2D7A"/>
    <w:rPr>
      <w:i/>
      <w:iCs/>
      <w:color w:val="404040"/>
    </w:rPr>
  </w:style>
  <w:style w:type="character" w:customStyle="1" w:styleId="Diskretreferens1">
    <w:name w:val="Diskret referens1"/>
    <w:basedOn w:val="DefaultParagraphFont"/>
    <w:uiPriority w:val="31"/>
    <w:semiHidden/>
    <w:qFormat/>
    <w:rsid w:val="009F2D7A"/>
    <w:rPr>
      <w:smallCaps/>
      <w:color w:val="404040"/>
    </w:rPr>
  </w:style>
  <w:style w:type="character" w:customStyle="1" w:styleId="Starkreferens1">
    <w:name w:val="Stark referens1"/>
    <w:basedOn w:val="DefaultParagraphFont"/>
    <w:uiPriority w:val="32"/>
    <w:semiHidden/>
    <w:qFormat/>
    <w:rsid w:val="009F2D7A"/>
    <w:rPr>
      <w:b/>
      <w:bCs/>
      <w:smallCaps/>
      <w:color w:val="404040"/>
      <w:spacing w:val="5"/>
    </w:rPr>
  </w:style>
  <w:style w:type="character" w:customStyle="1" w:styleId="Rubrik1Char1">
    <w:name w:val="Rubrik 1 Char1"/>
    <w:basedOn w:val="DefaultParagraphFont"/>
    <w:uiPriority w:val="9"/>
    <w:rsid w:val="009F2D7A"/>
    <w:rPr>
      <w:rFonts w:asciiTheme="majorHAnsi" w:eastAsiaTheme="majorEastAsia" w:hAnsiTheme="majorHAnsi" w:cstheme="majorBidi"/>
      <w:color w:val="7D814C" w:themeColor="accent1" w:themeShade="BF"/>
      <w:sz w:val="32"/>
      <w:szCs w:val="32"/>
    </w:rPr>
  </w:style>
  <w:style w:type="paragraph" w:customStyle="1" w:styleId="Numreradlista1">
    <w:name w:val="Numrerad lista1"/>
    <w:basedOn w:val="Normal"/>
    <w:next w:val="ListNumber"/>
    <w:uiPriority w:val="11"/>
    <w:qFormat/>
    <w:rsid w:val="009F2D7A"/>
    <w:pPr>
      <w:tabs>
        <w:tab w:val="num" w:pos="360"/>
      </w:tabs>
      <w:contextualSpacing/>
    </w:pPr>
    <w:rPr>
      <w:rFonts w:eastAsia="Times New Roman"/>
    </w:rPr>
  </w:style>
  <w:style w:type="paragraph" w:customStyle="1" w:styleId="Punktlista1">
    <w:name w:val="Punktlista1"/>
    <w:basedOn w:val="Normal"/>
    <w:next w:val="ListBullet"/>
    <w:uiPriority w:val="11"/>
    <w:qFormat/>
    <w:rsid w:val="009F2D7A"/>
    <w:pPr>
      <w:tabs>
        <w:tab w:val="num" w:pos="360"/>
      </w:tabs>
      <w:contextualSpacing/>
    </w:pPr>
    <w:rPr>
      <w:rFonts w:eastAsia="Times New Roman"/>
    </w:rPr>
  </w:style>
  <w:style w:type="table" w:customStyle="1" w:styleId="Oformateradtabell31">
    <w:name w:val="Oformaterad tabell 31"/>
    <w:basedOn w:val="TableNormal"/>
    <w:next w:val="PlainTable3"/>
    <w:uiPriority w:val="43"/>
    <w:rsid w:val="009F2D7A"/>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TOC1tb1">
    <w:name w:val="TOC 1tb1"/>
    <w:basedOn w:val="Normal"/>
    <w:next w:val="Normal"/>
    <w:autoRedefine/>
    <w:uiPriority w:val="39"/>
    <w:unhideWhenUsed/>
    <w:rsid w:val="009F2D7A"/>
    <w:pPr>
      <w:tabs>
        <w:tab w:val="right" w:leader="dot" w:pos="8323"/>
      </w:tabs>
      <w:spacing w:after="40"/>
    </w:pPr>
    <w:rPr>
      <w:rFonts w:ascii="Verdana" w:eastAsia="Times New Roman" w:hAnsi="Verdana"/>
      <w:b/>
    </w:rPr>
  </w:style>
  <w:style w:type="paragraph" w:customStyle="1" w:styleId="Innehll21">
    <w:name w:val="Innehåll 21"/>
    <w:basedOn w:val="Normal"/>
    <w:next w:val="Normal"/>
    <w:autoRedefine/>
    <w:uiPriority w:val="39"/>
    <w:unhideWhenUsed/>
    <w:rsid w:val="009F2D7A"/>
    <w:pPr>
      <w:tabs>
        <w:tab w:val="right" w:leader="dot" w:pos="8323"/>
      </w:tabs>
      <w:spacing w:after="100"/>
    </w:pPr>
    <w:rPr>
      <w:rFonts w:ascii="Verdana" w:eastAsia="Times New Roman" w:hAnsi="Verdana"/>
      <w:sz w:val="18"/>
    </w:rPr>
  </w:style>
  <w:style w:type="paragraph" w:customStyle="1" w:styleId="Innehll31">
    <w:name w:val="Innehåll 31"/>
    <w:basedOn w:val="Normal"/>
    <w:next w:val="Normal"/>
    <w:autoRedefine/>
    <w:uiPriority w:val="39"/>
    <w:rsid w:val="009F2D7A"/>
    <w:pPr>
      <w:spacing w:after="100"/>
      <w:ind w:left="440"/>
    </w:pPr>
    <w:rPr>
      <w:rFonts w:eastAsia="Times New Roman"/>
    </w:rPr>
  </w:style>
  <w:style w:type="paragraph" w:customStyle="1" w:styleId="Liststycke1">
    <w:name w:val="Liststycke1"/>
    <w:basedOn w:val="Normal"/>
    <w:next w:val="ListParagraph"/>
    <w:uiPriority w:val="34"/>
    <w:semiHidden/>
    <w:qFormat/>
    <w:rsid w:val="009F2D7A"/>
    <w:pPr>
      <w:ind w:left="720"/>
      <w:contextualSpacing/>
    </w:pPr>
    <w:rPr>
      <w:rFonts w:eastAsia="Times New Roman"/>
    </w:rPr>
  </w:style>
  <w:style w:type="character" w:customStyle="1" w:styleId="AnvndHyperlnk1">
    <w:name w:val="AnvändHyperlänk1"/>
    <w:basedOn w:val="DefaultParagraphFont"/>
    <w:uiPriority w:val="99"/>
    <w:semiHidden/>
    <w:unhideWhenUsed/>
    <w:rsid w:val="009F2D7A"/>
    <w:rPr>
      <w:color w:val="800080"/>
      <w:u w:val="single"/>
    </w:rPr>
  </w:style>
  <w:style w:type="character" w:customStyle="1" w:styleId="Rubrik2Char1">
    <w:name w:val="Rubrik 2 Char1"/>
    <w:basedOn w:val="DefaultParagraphFont"/>
    <w:uiPriority w:val="9"/>
    <w:semiHidden/>
    <w:rsid w:val="009F2D7A"/>
    <w:rPr>
      <w:rFonts w:asciiTheme="majorHAnsi" w:eastAsiaTheme="majorEastAsia" w:hAnsiTheme="majorHAnsi" w:cstheme="majorBidi"/>
      <w:color w:val="7D814C" w:themeColor="accent1" w:themeShade="BF"/>
      <w:sz w:val="26"/>
      <w:szCs w:val="26"/>
    </w:rPr>
  </w:style>
  <w:style w:type="character" w:customStyle="1" w:styleId="Rubrik3Char1">
    <w:name w:val="Rubrik 3 Char1"/>
    <w:basedOn w:val="DefaultParagraphFont"/>
    <w:uiPriority w:val="9"/>
    <w:semiHidden/>
    <w:rsid w:val="009F2D7A"/>
    <w:rPr>
      <w:rFonts w:asciiTheme="majorHAnsi" w:eastAsiaTheme="majorEastAsia" w:hAnsiTheme="majorHAnsi" w:cstheme="majorBidi"/>
      <w:color w:val="535632" w:themeColor="accent1" w:themeShade="7F"/>
      <w:sz w:val="24"/>
      <w:szCs w:val="24"/>
    </w:rPr>
  </w:style>
  <w:style w:type="character" w:customStyle="1" w:styleId="Rubrik4Char1">
    <w:name w:val="Rubrik 4 Char1"/>
    <w:basedOn w:val="DefaultParagraphFont"/>
    <w:uiPriority w:val="9"/>
    <w:semiHidden/>
    <w:rsid w:val="009F2D7A"/>
    <w:rPr>
      <w:rFonts w:asciiTheme="majorHAnsi" w:eastAsiaTheme="majorEastAsia" w:hAnsiTheme="majorHAnsi" w:cstheme="majorBidi"/>
      <w:i/>
      <w:iCs/>
      <w:color w:val="7D814C" w:themeColor="accent1" w:themeShade="BF"/>
      <w:sz w:val="24"/>
      <w:szCs w:val="24"/>
    </w:rPr>
  </w:style>
  <w:style w:type="character" w:customStyle="1" w:styleId="Rubrik5Char1">
    <w:name w:val="Rubrik 5 Char1"/>
    <w:basedOn w:val="DefaultParagraphFont"/>
    <w:uiPriority w:val="9"/>
    <w:semiHidden/>
    <w:rsid w:val="009F2D7A"/>
    <w:rPr>
      <w:rFonts w:asciiTheme="majorHAnsi" w:eastAsiaTheme="majorEastAsia" w:hAnsiTheme="majorHAnsi" w:cstheme="majorBidi"/>
      <w:color w:val="7D814C" w:themeColor="accent1" w:themeShade="BF"/>
      <w:sz w:val="24"/>
      <w:szCs w:val="24"/>
    </w:rPr>
  </w:style>
  <w:style w:type="character" w:customStyle="1" w:styleId="Rubrik6Char1">
    <w:name w:val="Rubrik 6 Char1"/>
    <w:basedOn w:val="DefaultParagraphFont"/>
    <w:uiPriority w:val="9"/>
    <w:semiHidden/>
    <w:rsid w:val="009F2D7A"/>
    <w:rPr>
      <w:rFonts w:asciiTheme="majorHAnsi" w:eastAsiaTheme="majorEastAsia" w:hAnsiTheme="majorHAnsi" w:cstheme="majorBidi"/>
      <w:color w:val="535632" w:themeColor="accent1" w:themeShade="7F"/>
      <w:sz w:val="24"/>
      <w:szCs w:val="24"/>
    </w:rPr>
  </w:style>
  <w:style w:type="character" w:customStyle="1" w:styleId="Rubrik7Char1">
    <w:name w:val="Rubrik 7 Char1"/>
    <w:basedOn w:val="DefaultParagraphFont"/>
    <w:uiPriority w:val="9"/>
    <w:semiHidden/>
    <w:rsid w:val="009F2D7A"/>
    <w:rPr>
      <w:rFonts w:asciiTheme="majorHAnsi" w:eastAsiaTheme="majorEastAsia" w:hAnsiTheme="majorHAnsi" w:cstheme="majorBidi"/>
      <w:i/>
      <w:iCs/>
      <w:color w:val="535632" w:themeColor="accent1" w:themeShade="7F"/>
      <w:sz w:val="24"/>
      <w:szCs w:val="24"/>
    </w:rPr>
  </w:style>
  <w:style w:type="character" w:customStyle="1" w:styleId="Rubrik8Char1">
    <w:name w:val="Rubrik 8 Char1"/>
    <w:basedOn w:val="DefaultParagraphFont"/>
    <w:uiPriority w:val="9"/>
    <w:semiHidden/>
    <w:rsid w:val="009F2D7A"/>
    <w:rPr>
      <w:rFonts w:asciiTheme="majorHAnsi" w:eastAsiaTheme="majorEastAsia" w:hAnsiTheme="majorHAnsi" w:cstheme="majorBidi"/>
      <w:color w:val="272727" w:themeColor="text1" w:themeTint="D8"/>
      <w:sz w:val="21"/>
      <w:szCs w:val="21"/>
    </w:rPr>
  </w:style>
  <w:style w:type="character" w:customStyle="1" w:styleId="Rubrik9Char1">
    <w:name w:val="Rubrik 9 Char1"/>
    <w:basedOn w:val="DefaultParagraphFont"/>
    <w:uiPriority w:val="9"/>
    <w:semiHidden/>
    <w:rsid w:val="009F2D7A"/>
    <w:rPr>
      <w:rFonts w:asciiTheme="majorHAnsi" w:eastAsiaTheme="majorEastAsia" w:hAnsiTheme="majorHAnsi" w:cstheme="majorBidi"/>
      <w:i/>
      <w:iCs/>
      <w:color w:val="272727" w:themeColor="text1" w:themeTint="D8"/>
      <w:sz w:val="21"/>
      <w:szCs w:val="21"/>
    </w:rPr>
  </w:style>
  <w:style w:type="character" w:customStyle="1" w:styleId="RubrikChar1">
    <w:name w:val="Rubrik Char1"/>
    <w:basedOn w:val="DefaultParagraphFont"/>
    <w:uiPriority w:val="10"/>
    <w:rsid w:val="009F2D7A"/>
    <w:rPr>
      <w:rFonts w:asciiTheme="majorHAnsi" w:eastAsiaTheme="majorEastAsia" w:hAnsiTheme="majorHAnsi" w:cstheme="majorBidi"/>
      <w:spacing w:val="-10"/>
      <w:kern w:val="28"/>
      <w:sz w:val="56"/>
      <w:szCs w:val="56"/>
    </w:rPr>
  </w:style>
  <w:style w:type="character" w:customStyle="1" w:styleId="UnderrubrikChar1">
    <w:name w:val="Underrubrik Char1"/>
    <w:basedOn w:val="DefaultParagraphFont"/>
    <w:uiPriority w:val="11"/>
    <w:rsid w:val="009F2D7A"/>
    <w:rPr>
      <w:rFonts w:eastAsiaTheme="minorEastAsia"/>
      <w:color w:val="5A5A5A" w:themeColor="text1" w:themeTint="A5"/>
      <w:spacing w:val="15"/>
    </w:rPr>
  </w:style>
  <w:style w:type="character" w:customStyle="1" w:styleId="CitatChar1">
    <w:name w:val="Citat Char1"/>
    <w:basedOn w:val="DefaultParagraphFont"/>
    <w:uiPriority w:val="29"/>
    <w:rsid w:val="009F2D7A"/>
    <w:rPr>
      <w:i/>
      <w:iCs/>
      <w:color w:val="404040" w:themeColor="text1" w:themeTint="BF"/>
      <w:sz w:val="24"/>
      <w:szCs w:val="24"/>
    </w:rPr>
  </w:style>
  <w:style w:type="character" w:customStyle="1" w:styleId="StarktcitatChar1">
    <w:name w:val="Starkt citat Char1"/>
    <w:basedOn w:val="DefaultParagraphFont"/>
    <w:uiPriority w:val="30"/>
    <w:rsid w:val="009F2D7A"/>
    <w:rPr>
      <w:i/>
      <w:iCs/>
      <w:color w:val="A3A86B" w:themeColor="accent1"/>
      <w:sz w:val="24"/>
      <w:szCs w:val="24"/>
    </w:rPr>
  </w:style>
  <w:style w:type="character" w:styleId="UnresolvedMention">
    <w:name w:val="Unresolved Mention"/>
    <w:basedOn w:val="DefaultParagraphFont"/>
    <w:uiPriority w:val="99"/>
    <w:semiHidden/>
    <w:unhideWhenUsed/>
    <w:rsid w:val="0044248C"/>
    <w:rPr>
      <w:color w:val="605E5C"/>
      <w:shd w:val="clear" w:color="auto" w:fill="E1DFDD"/>
    </w:rPr>
  </w:style>
  <w:style w:type="paragraph" w:styleId="List">
    <w:name w:val="List"/>
    <w:basedOn w:val="Normal"/>
    <w:uiPriority w:val="99"/>
    <w:unhideWhenUsed/>
    <w:rsid w:val="005A6BB6"/>
    <w:pPr>
      <w:ind w:left="283" w:hanging="283"/>
      <w:contextualSpacing/>
    </w:pPr>
  </w:style>
  <w:style w:type="paragraph" w:styleId="BodyText">
    <w:name w:val="Body Text"/>
    <w:basedOn w:val="Normal"/>
    <w:link w:val="BodyTextChar"/>
    <w:uiPriority w:val="99"/>
    <w:unhideWhenUsed/>
    <w:rsid w:val="005A6BB6"/>
    <w:pPr>
      <w:spacing w:after="120"/>
    </w:pPr>
  </w:style>
  <w:style w:type="character" w:customStyle="1" w:styleId="BodyTextChar">
    <w:name w:val="Body Text Char"/>
    <w:basedOn w:val="DefaultParagraphFont"/>
    <w:link w:val="BodyText"/>
    <w:uiPriority w:val="99"/>
    <w:rsid w:val="005A6BB6"/>
  </w:style>
  <w:style w:type="paragraph" w:styleId="BodyTextIndent">
    <w:name w:val="Body Text Indent"/>
    <w:basedOn w:val="Normal"/>
    <w:link w:val="BodyTextIndentChar"/>
    <w:uiPriority w:val="99"/>
    <w:unhideWhenUsed/>
    <w:rsid w:val="005A6BB6"/>
    <w:pPr>
      <w:spacing w:after="120"/>
      <w:ind w:left="283"/>
    </w:pPr>
  </w:style>
  <w:style w:type="character" w:customStyle="1" w:styleId="BodyTextIndentChar">
    <w:name w:val="Body Text Indent Char"/>
    <w:basedOn w:val="DefaultParagraphFont"/>
    <w:link w:val="BodyTextIndent"/>
    <w:uiPriority w:val="99"/>
    <w:rsid w:val="005A6B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9884568">
      <w:bodyDiv w:val="1"/>
      <w:marLeft w:val="0"/>
      <w:marRight w:val="0"/>
      <w:marTop w:val="0"/>
      <w:marBottom w:val="0"/>
      <w:divBdr>
        <w:top w:val="none" w:sz="0" w:space="0" w:color="auto"/>
        <w:left w:val="none" w:sz="0" w:space="0" w:color="auto"/>
        <w:bottom w:val="none" w:sz="0" w:space="0" w:color="auto"/>
        <w:right w:val="none" w:sz="0" w:space="0" w:color="auto"/>
      </w:divBdr>
      <w:divsChild>
        <w:div w:id="1417558387">
          <w:marLeft w:val="0"/>
          <w:marRight w:val="0"/>
          <w:marTop w:val="0"/>
          <w:marBottom w:val="0"/>
          <w:divBdr>
            <w:top w:val="none" w:sz="0" w:space="0" w:color="auto"/>
            <w:left w:val="none" w:sz="0" w:space="0" w:color="auto"/>
            <w:bottom w:val="none" w:sz="0" w:space="0" w:color="auto"/>
            <w:right w:val="none" w:sz="0" w:space="0" w:color="auto"/>
          </w:divBdr>
        </w:div>
      </w:divsChild>
    </w:div>
    <w:div w:id="858736266">
      <w:bodyDiv w:val="1"/>
      <w:marLeft w:val="0"/>
      <w:marRight w:val="0"/>
      <w:marTop w:val="0"/>
      <w:marBottom w:val="0"/>
      <w:divBdr>
        <w:top w:val="none" w:sz="0" w:space="0" w:color="auto"/>
        <w:left w:val="none" w:sz="0" w:space="0" w:color="auto"/>
        <w:bottom w:val="none" w:sz="0" w:space="0" w:color="auto"/>
        <w:right w:val="none" w:sz="0" w:space="0" w:color="auto"/>
      </w:divBdr>
    </w:div>
    <w:div w:id="942762559">
      <w:bodyDiv w:val="1"/>
      <w:marLeft w:val="0"/>
      <w:marRight w:val="0"/>
      <w:marTop w:val="0"/>
      <w:marBottom w:val="0"/>
      <w:divBdr>
        <w:top w:val="none" w:sz="0" w:space="0" w:color="auto"/>
        <w:left w:val="none" w:sz="0" w:space="0" w:color="auto"/>
        <w:bottom w:val="none" w:sz="0" w:space="0" w:color="auto"/>
        <w:right w:val="none" w:sz="0" w:space="0" w:color="auto"/>
      </w:divBdr>
    </w:div>
    <w:div w:id="1193687851">
      <w:bodyDiv w:val="1"/>
      <w:marLeft w:val="0"/>
      <w:marRight w:val="0"/>
      <w:marTop w:val="0"/>
      <w:marBottom w:val="0"/>
      <w:divBdr>
        <w:top w:val="none" w:sz="0" w:space="0" w:color="auto"/>
        <w:left w:val="none" w:sz="0" w:space="0" w:color="auto"/>
        <w:bottom w:val="none" w:sz="0" w:space="0" w:color="auto"/>
        <w:right w:val="none" w:sz="0" w:space="0" w:color="auto"/>
      </w:divBdr>
    </w:div>
    <w:div w:id="1392926586">
      <w:bodyDiv w:val="1"/>
      <w:marLeft w:val="0"/>
      <w:marRight w:val="0"/>
      <w:marTop w:val="0"/>
      <w:marBottom w:val="0"/>
      <w:divBdr>
        <w:top w:val="none" w:sz="0" w:space="0" w:color="auto"/>
        <w:left w:val="none" w:sz="0" w:space="0" w:color="auto"/>
        <w:bottom w:val="none" w:sz="0" w:space="0" w:color="auto"/>
        <w:right w:val="none" w:sz="0" w:space="0" w:color="auto"/>
      </w:divBdr>
    </w:div>
    <w:div w:id="1538808855">
      <w:bodyDiv w:val="1"/>
      <w:marLeft w:val="0"/>
      <w:marRight w:val="0"/>
      <w:marTop w:val="0"/>
      <w:marBottom w:val="0"/>
      <w:divBdr>
        <w:top w:val="none" w:sz="0" w:space="0" w:color="auto"/>
        <w:left w:val="none" w:sz="0" w:space="0" w:color="auto"/>
        <w:bottom w:val="none" w:sz="0" w:space="0" w:color="auto"/>
        <w:right w:val="none" w:sz="0" w:space="0" w:color="auto"/>
      </w:divBdr>
      <w:divsChild>
        <w:div w:id="1927224321">
          <w:marLeft w:val="0"/>
          <w:marRight w:val="0"/>
          <w:marTop w:val="0"/>
          <w:marBottom w:val="0"/>
          <w:divBdr>
            <w:top w:val="none" w:sz="0" w:space="0" w:color="auto"/>
            <w:left w:val="none" w:sz="0" w:space="0" w:color="auto"/>
            <w:bottom w:val="none" w:sz="0" w:space="0" w:color="auto"/>
            <w:right w:val="none" w:sz="0" w:space="0" w:color="auto"/>
          </w:divBdr>
          <w:divsChild>
            <w:div w:id="920411385">
              <w:marLeft w:val="0"/>
              <w:marRight w:val="0"/>
              <w:marTop w:val="0"/>
              <w:marBottom w:val="0"/>
              <w:divBdr>
                <w:top w:val="none" w:sz="0" w:space="0" w:color="auto"/>
                <w:left w:val="none" w:sz="0" w:space="0" w:color="auto"/>
                <w:bottom w:val="none" w:sz="0" w:space="0" w:color="auto"/>
                <w:right w:val="none" w:sz="0" w:space="0" w:color="auto"/>
              </w:divBdr>
              <w:divsChild>
                <w:div w:id="1469320915">
                  <w:marLeft w:val="0"/>
                  <w:marRight w:val="0"/>
                  <w:marTop w:val="0"/>
                  <w:marBottom w:val="0"/>
                  <w:divBdr>
                    <w:top w:val="none" w:sz="0" w:space="0" w:color="auto"/>
                    <w:left w:val="none" w:sz="0" w:space="0" w:color="auto"/>
                    <w:bottom w:val="none" w:sz="0" w:space="0" w:color="auto"/>
                    <w:right w:val="none" w:sz="0" w:space="0" w:color="auto"/>
                  </w:divBdr>
                  <w:divsChild>
                    <w:div w:id="1817601674">
                      <w:marLeft w:val="0"/>
                      <w:marRight w:val="0"/>
                      <w:marTop w:val="0"/>
                      <w:marBottom w:val="0"/>
                      <w:divBdr>
                        <w:top w:val="none" w:sz="0" w:space="0" w:color="auto"/>
                        <w:left w:val="none" w:sz="0" w:space="0" w:color="auto"/>
                        <w:bottom w:val="none" w:sz="0" w:space="0" w:color="auto"/>
                        <w:right w:val="none" w:sz="0" w:space="0" w:color="auto"/>
                      </w:divBdr>
                      <w:divsChild>
                        <w:div w:id="141625694">
                          <w:marLeft w:val="0"/>
                          <w:marRight w:val="0"/>
                          <w:marTop w:val="0"/>
                          <w:marBottom w:val="0"/>
                          <w:divBdr>
                            <w:top w:val="none" w:sz="0" w:space="0" w:color="auto"/>
                            <w:left w:val="none" w:sz="0" w:space="0" w:color="auto"/>
                            <w:bottom w:val="none" w:sz="0" w:space="0" w:color="auto"/>
                            <w:right w:val="none" w:sz="0" w:space="0" w:color="auto"/>
                          </w:divBdr>
                          <w:divsChild>
                            <w:div w:id="768163441">
                              <w:marLeft w:val="0"/>
                              <w:marRight w:val="0"/>
                              <w:marTop w:val="0"/>
                              <w:marBottom w:val="0"/>
                              <w:divBdr>
                                <w:top w:val="none" w:sz="0" w:space="0" w:color="auto"/>
                                <w:left w:val="none" w:sz="0" w:space="0" w:color="auto"/>
                                <w:bottom w:val="none" w:sz="0" w:space="0" w:color="auto"/>
                                <w:right w:val="none" w:sz="0" w:space="0" w:color="auto"/>
                              </w:divBdr>
                              <w:divsChild>
                                <w:div w:id="1249851841">
                                  <w:marLeft w:val="0"/>
                                  <w:marRight w:val="0"/>
                                  <w:marTop w:val="0"/>
                                  <w:marBottom w:val="0"/>
                                  <w:divBdr>
                                    <w:top w:val="none" w:sz="0" w:space="0" w:color="auto"/>
                                    <w:left w:val="none" w:sz="0" w:space="0" w:color="auto"/>
                                    <w:bottom w:val="none" w:sz="0" w:space="0" w:color="auto"/>
                                    <w:right w:val="none" w:sz="0" w:space="0" w:color="auto"/>
                                  </w:divBdr>
                                  <w:divsChild>
                                    <w:div w:id="229507501">
                                      <w:marLeft w:val="0"/>
                                      <w:marRight w:val="0"/>
                                      <w:marTop w:val="0"/>
                                      <w:marBottom w:val="0"/>
                                      <w:divBdr>
                                        <w:top w:val="none" w:sz="0" w:space="0" w:color="auto"/>
                                        <w:left w:val="none" w:sz="0" w:space="0" w:color="auto"/>
                                        <w:bottom w:val="none" w:sz="0" w:space="0" w:color="auto"/>
                                        <w:right w:val="none" w:sz="0" w:space="0" w:color="auto"/>
                                      </w:divBdr>
                                      <w:divsChild>
                                        <w:div w:id="290212209">
                                          <w:marLeft w:val="0"/>
                                          <w:marRight w:val="0"/>
                                          <w:marTop w:val="0"/>
                                          <w:marBottom w:val="495"/>
                                          <w:divBdr>
                                            <w:top w:val="none" w:sz="0" w:space="0" w:color="auto"/>
                                            <w:left w:val="none" w:sz="0" w:space="0" w:color="auto"/>
                                            <w:bottom w:val="none" w:sz="0" w:space="0" w:color="auto"/>
                                            <w:right w:val="none" w:sz="0" w:space="0" w:color="auto"/>
                                          </w:divBdr>
                                          <w:divsChild>
                                            <w:div w:id="64134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78.xml"/><Relationship Id="rId21" Type="http://schemas.openxmlformats.org/officeDocument/2006/relationships/header" Target="header3.xml"/><Relationship Id="rId42" Type="http://schemas.openxmlformats.org/officeDocument/2006/relationships/chart" Target="charts/chart7.xml"/><Relationship Id="rId63" Type="http://schemas.openxmlformats.org/officeDocument/2006/relationships/chart" Target="charts/chart26.xml"/><Relationship Id="rId84" Type="http://schemas.openxmlformats.org/officeDocument/2006/relationships/chart" Target="charts/chart46.xml"/><Relationship Id="rId138" Type="http://schemas.openxmlformats.org/officeDocument/2006/relationships/chart" Target="charts/chart98.xml"/><Relationship Id="rId107" Type="http://schemas.openxmlformats.org/officeDocument/2006/relationships/chart" Target="charts/chart68.xml"/><Relationship Id="rId11" Type="http://schemas.openxmlformats.org/officeDocument/2006/relationships/image" Target="media/image1.jpeg"/><Relationship Id="rId32" Type="http://schemas.openxmlformats.org/officeDocument/2006/relationships/hyperlink" Target="https://www.european-agency.org/data" TargetMode="External"/><Relationship Id="rId53" Type="http://schemas.openxmlformats.org/officeDocument/2006/relationships/chart" Target="charts/chart17.xml"/><Relationship Id="rId74" Type="http://schemas.openxmlformats.org/officeDocument/2006/relationships/chart" Target="charts/chart37.xml"/><Relationship Id="rId128" Type="http://schemas.openxmlformats.org/officeDocument/2006/relationships/chart" Target="charts/chart89.xml"/><Relationship Id="rId149" Type="http://schemas.openxmlformats.org/officeDocument/2006/relationships/chart" Target="charts/chart108.xml"/><Relationship Id="rId5" Type="http://schemas.openxmlformats.org/officeDocument/2006/relationships/numbering" Target="numbering.xml"/><Relationship Id="rId95" Type="http://schemas.openxmlformats.org/officeDocument/2006/relationships/chart" Target="charts/chart57.xml"/><Relationship Id="rId22" Type="http://schemas.openxmlformats.org/officeDocument/2006/relationships/footer" Target="footer5.xml"/><Relationship Id="rId27" Type="http://schemas.openxmlformats.org/officeDocument/2006/relationships/hyperlink" Target="https://www.european-agency.org/data/methodology-report" TargetMode="External"/><Relationship Id="rId43" Type="http://schemas.openxmlformats.org/officeDocument/2006/relationships/hyperlink" Target="https://www.european-agency.org/data/country-data-and-background-information" TargetMode="External"/><Relationship Id="rId48" Type="http://schemas.openxmlformats.org/officeDocument/2006/relationships/chart" Target="charts/chart12.xml"/><Relationship Id="rId64" Type="http://schemas.openxmlformats.org/officeDocument/2006/relationships/chart" Target="charts/chart27.xml"/><Relationship Id="rId69" Type="http://schemas.openxmlformats.org/officeDocument/2006/relationships/chart" Target="charts/chart32.xml"/><Relationship Id="rId113" Type="http://schemas.openxmlformats.org/officeDocument/2006/relationships/chart" Target="charts/chart74.xml"/><Relationship Id="rId118" Type="http://schemas.openxmlformats.org/officeDocument/2006/relationships/chart" Target="charts/chart79.xml"/><Relationship Id="rId134" Type="http://schemas.openxmlformats.org/officeDocument/2006/relationships/chart" Target="charts/chart94.xml"/><Relationship Id="rId139" Type="http://schemas.openxmlformats.org/officeDocument/2006/relationships/chart" Target="charts/chart99.xml"/><Relationship Id="rId80" Type="http://schemas.openxmlformats.org/officeDocument/2006/relationships/hyperlink" Target="https://www.european-agency.org/data/country-data-and-background-information" TargetMode="External"/><Relationship Id="rId85" Type="http://schemas.openxmlformats.org/officeDocument/2006/relationships/chart" Target="charts/chart47.xml"/><Relationship Id="rId150" Type="http://schemas.openxmlformats.org/officeDocument/2006/relationships/chart" Target="charts/chart109.xml"/><Relationship Id="rId155" Type="http://schemas.openxmlformats.org/officeDocument/2006/relationships/fontTable" Target="fontTable.xml"/><Relationship Id="rId12" Type="http://schemas.openxmlformats.org/officeDocument/2006/relationships/image" Target="media/image20.jpeg"/><Relationship Id="rId17" Type="http://schemas.openxmlformats.org/officeDocument/2006/relationships/footer" Target="footer3.xml"/><Relationship Id="rId33" Type="http://schemas.openxmlformats.org/officeDocument/2006/relationships/hyperlink" Target="https://www.european-agency.org/data/country-data-and-background-information" TargetMode="External"/><Relationship Id="rId38" Type="http://schemas.openxmlformats.org/officeDocument/2006/relationships/chart" Target="charts/chart3.xml"/><Relationship Id="rId59" Type="http://schemas.openxmlformats.org/officeDocument/2006/relationships/chart" Target="charts/chart22.xml"/><Relationship Id="rId103" Type="http://schemas.openxmlformats.org/officeDocument/2006/relationships/chart" Target="charts/chart64.xml"/><Relationship Id="rId108" Type="http://schemas.openxmlformats.org/officeDocument/2006/relationships/chart" Target="charts/chart69.xml"/><Relationship Id="rId124" Type="http://schemas.openxmlformats.org/officeDocument/2006/relationships/chart" Target="charts/chart85.xml"/><Relationship Id="rId129" Type="http://schemas.openxmlformats.org/officeDocument/2006/relationships/hyperlink" Target="https://www.european-agency.org/data/country-data-and-background-information" TargetMode="External"/><Relationship Id="rId54" Type="http://schemas.openxmlformats.org/officeDocument/2006/relationships/chart" Target="charts/chart18.xml"/><Relationship Id="rId70" Type="http://schemas.openxmlformats.org/officeDocument/2006/relationships/chart" Target="charts/chart33.xml"/><Relationship Id="rId75" Type="http://schemas.openxmlformats.org/officeDocument/2006/relationships/chart" Target="charts/chart38.xml"/><Relationship Id="rId91" Type="http://schemas.openxmlformats.org/officeDocument/2006/relationships/chart" Target="charts/chart53.xml"/><Relationship Id="rId96" Type="http://schemas.openxmlformats.org/officeDocument/2006/relationships/chart" Target="charts/chart58.xml"/><Relationship Id="rId140" Type="http://schemas.openxmlformats.org/officeDocument/2006/relationships/chart" Target="charts/chart100.xml"/><Relationship Id="rId145" Type="http://schemas.openxmlformats.org/officeDocument/2006/relationships/chart" Target="charts/chart10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european-agency.org" TargetMode="External"/><Relationship Id="rId28" Type="http://schemas.openxmlformats.org/officeDocument/2006/relationships/hyperlink" Target="https://www.european-agency.org/data" TargetMode="External"/><Relationship Id="rId49" Type="http://schemas.openxmlformats.org/officeDocument/2006/relationships/chart" Target="charts/chart13.xml"/><Relationship Id="rId114" Type="http://schemas.openxmlformats.org/officeDocument/2006/relationships/chart" Target="charts/chart75.xml"/><Relationship Id="rId119" Type="http://schemas.openxmlformats.org/officeDocument/2006/relationships/chart" Target="charts/chart80.xml"/><Relationship Id="rId44" Type="http://schemas.openxmlformats.org/officeDocument/2006/relationships/chart" Target="charts/chart8.xml"/><Relationship Id="rId60" Type="http://schemas.openxmlformats.org/officeDocument/2006/relationships/chart" Target="charts/chart23.xml"/><Relationship Id="rId65" Type="http://schemas.openxmlformats.org/officeDocument/2006/relationships/chart" Target="charts/chart28.xml"/><Relationship Id="rId81" Type="http://schemas.openxmlformats.org/officeDocument/2006/relationships/chart" Target="charts/chart43.xml"/><Relationship Id="rId86" Type="http://schemas.openxmlformats.org/officeDocument/2006/relationships/chart" Target="charts/chart48.xml"/><Relationship Id="rId130" Type="http://schemas.openxmlformats.org/officeDocument/2006/relationships/chart" Target="charts/chart90.xml"/><Relationship Id="rId135" Type="http://schemas.openxmlformats.org/officeDocument/2006/relationships/chart" Target="charts/chart95.xml"/><Relationship Id="rId151" Type="http://schemas.openxmlformats.org/officeDocument/2006/relationships/chart" Target="charts/chart110.xml"/><Relationship Id="rId156"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chart" Target="charts/chart4.xml"/><Relationship Id="rId109" Type="http://schemas.openxmlformats.org/officeDocument/2006/relationships/chart" Target="charts/chart70.xml"/><Relationship Id="rId34" Type="http://schemas.openxmlformats.org/officeDocument/2006/relationships/hyperlink" Target="https://www.european-agency.org/data/country-data-and-background-information" TargetMode="External"/><Relationship Id="rId50" Type="http://schemas.openxmlformats.org/officeDocument/2006/relationships/chart" Target="charts/chart14.xml"/><Relationship Id="rId55" Type="http://schemas.openxmlformats.org/officeDocument/2006/relationships/chart" Target="charts/chart19.xml"/><Relationship Id="rId76" Type="http://schemas.openxmlformats.org/officeDocument/2006/relationships/chart" Target="charts/chart39.xml"/><Relationship Id="rId97" Type="http://schemas.openxmlformats.org/officeDocument/2006/relationships/chart" Target="charts/chart59.xml"/><Relationship Id="rId104" Type="http://schemas.openxmlformats.org/officeDocument/2006/relationships/chart" Target="charts/chart65.xml"/><Relationship Id="rId120" Type="http://schemas.openxmlformats.org/officeDocument/2006/relationships/chart" Target="charts/chart81.xml"/><Relationship Id="rId125" Type="http://schemas.openxmlformats.org/officeDocument/2006/relationships/chart" Target="charts/chart86.xml"/><Relationship Id="rId141" Type="http://schemas.openxmlformats.org/officeDocument/2006/relationships/chart" Target="charts/chart101.xml"/><Relationship Id="rId146" Type="http://schemas.openxmlformats.org/officeDocument/2006/relationships/chart" Target="charts/chart105.xml"/><Relationship Id="rId7" Type="http://schemas.openxmlformats.org/officeDocument/2006/relationships/settings" Target="settings.xml"/><Relationship Id="rId71" Type="http://schemas.openxmlformats.org/officeDocument/2006/relationships/chart" Target="charts/chart34.xml"/><Relationship Id="rId92" Type="http://schemas.openxmlformats.org/officeDocument/2006/relationships/chart" Target="charts/chart54.xml"/><Relationship Id="rId2" Type="http://schemas.openxmlformats.org/officeDocument/2006/relationships/customXml" Target="../customXml/item2.xml"/><Relationship Id="rId29" Type="http://schemas.openxmlformats.org/officeDocument/2006/relationships/hyperlink" Target="https://www.european-agency.org/resources/publications/european-agency-statistics-inclusive-education-2014-dataset-cross-country" TargetMode="External"/><Relationship Id="rId24" Type="http://schemas.openxmlformats.org/officeDocument/2006/relationships/hyperlink" Target="mailto:secretariat@european-agency.org" TargetMode="External"/><Relationship Id="rId40" Type="http://schemas.openxmlformats.org/officeDocument/2006/relationships/chart" Target="charts/chart5.xml"/><Relationship Id="rId45" Type="http://schemas.openxmlformats.org/officeDocument/2006/relationships/chart" Target="charts/chart9.xml"/><Relationship Id="rId66" Type="http://schemas.openxmlformats.org/officeDocument/2006/relationships/chart" Target="charts/chart29.xml"/><Relationship Id="rId87" Type="http://schemas.openxmlformats.org/officeDocument/2006/relationships/chart" Target="charts/chart49.xml"/><Relationship Id="rId110" Type="http://schemas.openxmlformats.org/officeDocument/2006/relationships/chart" Target="charts/chart71.xml"/><Relationship Id="rId115" Type="http://schemas.openxmlformats.org/officeDocument/2006/relationships/chart" Target="charts/chart76.xml"/><Relationship Id="rId131" Type="http://schemas.openxmlformats.org/officeDocument/2006/relationships/chart" Target="charts/chart91.xml"/><Relationship Id="rId136" Type="http://schemas.openxmlformats.org/officeDocument/2006/relationships/chart" Target="charts/chart96.xml"/><Relationship Id="rId61" Type="http://schemas.openxmlformats.org/officeDocument/2006/relationships/chart" Target="charts/chart24.xml"/><Relationship Id="rId82" Type="http://schemas.openxmlformats.org/officeDocument/2006/relationships/chart" Target="charts/chart44.xml"/><Relationship Id="rId152" Type="http://schemas.openxmlformats.org/officeDocument/2006/relationships/chart" Target="charts/chart111.xml"/><Relationship Id="rId19" Type="http://schemas.openxmlformats.org/officeDocument/2006/relationships/image" Target="media/image4.png"/><Relationship Id="rId14" Type="http://schemas.openxmlformats.org/officeDocument/2006/relationships/footer" Target="footer2.xml"/><Relationship Id="rId30" Type="http://schemas.openxmlformats.org/officeDocument/2006/relationships/hyperlink" Target="https://www.european-agency.org/data/cross-country-reports" TargetMode="External"/><Relationship Id="rId35" Type="http://schemas.openxmlformats.org/officeDocument/2006/relationships/hyperlink" Target="https://www.european-agency.org/data/country-data-and-background-information" TargetMode="External"/><Relationship Id="rId56" Type="http://schemas.openxmlformats.org/officeDocument/2006/relationships/hyperlink" Target="https://www.european-agency.org/data/country-data-and-background-information" TargetMode="External"/><Relationship Id="rId77" Type="http://schemas.openxmlformats.org/officeDocument/2006/relationships/chart" Target="charts/chart40.xml"/><Relationship Id="rId100" Type="http://schemas.openxmlformats.org/officeDocument/2006/relationships/chart" Target="charts/chart62.xml"/><Relationship Id="rId105" Type="http://schemas.openxmlformats.org/officeDocument/2006/relationships/chart" Target="charts/chart66.xml"/><Relationship Id="rId126" Type="http://schemas.openxmlformats.org/officeDocument/2006/relationships/chart" Target="charts/chart87.xml"/><Relationship Id="rId147" Type="http://schemas.openxmlformats.org/officeDocument/2006/relationships/chart" Target="charts/chart106.xml"/><Relationship Id="rId8" Type="http://schemas.openxmlformats.org/officeDocument/2006/relationships/webSettings" Target="webSettings.xml"/><Relationship Id="rId51" Type="http://schemas.openxmlformats.org/officeDocument/2006/relationships/chart" Target="charts/chart15.xml"/><Relationship Id="rId72" Type="http://schemas.openxmlformats.org/officeDocument/2006/relationships/chart" Target="charts/chart35.xml"/><Relationship Id="rId93" Type="http://schemas.openxmlformats.org/officeDocument/2006/relationships/chart" Target="charts/chart55.xml"/><Relationship Id="rId98" Type="http://schemas.openxmlformats.org/officeDocument/2006/relationships/chart" Target="charts/chart60.xml"/><Relationship Id="rId121" Type="http://schemas.openxmlformats.org/officeDocument/2006/relationships/chart" Target="charts/chart82.xml"/><Relationship Id="rId142" Type="http://schemas.openxmlformats.org/officeDocument/2006/relationships/hyperlink" Target="https://www.european-agency.org/data/country-data-and-background-information" TargetMode="External"/><Relationship Id="rId3" Type="http://schemas.openxmlformats.org/officeDocument/2006/relationships/customXml" Target="../customXml/item3.xml"/><Relationship Id="rId25" Type="http://schemas.openxmlformats.org/officeDocument/2006/relationships/hyperlink" Target="mailto:brussels.office@european-agency.org" TargetMode="External"/><Relationship Id="rId46" Type="http://schemas.openxmlformats.org/officeDocument/2006/relationships/chart" Target="charts/chart10.xml"/><Relationship Id="rId67" Type="http://schemas.openxmlformats.org/officeDocument/2006/relationships/chart" Target="charts/chart30.xml"/><Relationship Id="rId116" Type="http://schemas.openxmlformats.org/officeDocument/2006/relationships/chart" Target="charts/chart77.xml"/><Relationship Id="rId137" Type="http://schemas.openxmlformats.org/officeDocument/2006/relationships/chart" Target="charts/chart97.xml"/><Relationship Id="rId20" Type="http://schemas.openxmlformats.org/officeDocument/2006/relationships/hyperlink" Target="http://www.european-agency.org" TargetMode="External"/><Relationship Id="rId41" Type="http://schemas.openxmlformats.org/officeDocument/2006/relationships/chart" Target="charts/chart6.xml"/><Relationship Id="rId62" Type="http://schemas.openxmlformats.org/officeDocument/2006/relationships/chart" Target="charts/chart25.xml"/><Relationship Id="rId83" Type="http://schemas.openxmlformats.org/officeDocument/2006/relationships/chart" Target="charts/chart45.xml"/><Relationship Id="rId88" Type="http://schemas.openxmlformats.org/officeDocument/2006/relationships/chart" Target="charts/chart50.xml"/><Relationship Id="rId111" Type="http://schemas.openxmlformats.org/officeDocument/2006/relationships/chart" Target="charts/chart72.xml"/><Relationship Id="rId132" Type="http://schemas.openxmlformats.org/officeDocument/2006/relationships/chart" Target="charts/chart92.xml"/><Relationship Id="rId153" Type="http://schemas.openxmlformats.org/officeDocument/2006/relationships/chart" Target="charts/chart112.xml"/><Relationship Id="rId15" Type="http://schemas.openxmlformats.org/officeDocument/2006/relationships/header" Target="header1.xml"/><Relationship Id="rId36" Type="http://schemas.openxmlformats.org/officeDocument/2006/relationships/chart" Target="charts/chart1.xml"/><Relationship Id="rId57" Type="http://schemas.openxmlformats.org/officeDocument/2006/relationships/chart" Target="charts/chart20.xml"/><Relationship Id="rId106" Type="http://schemas.openxmlformats.org/officeDocument/2006/relationships/chart" Target="charts/chart67.xml"/><Relationship Id="rId127" Type="http://schemas.openxmlformats.org/officeDocument/2006/relationships/chart" Target="charts/chart88.xml"/><Relationship Id="rId10" Type="http://schemas.openxmlformats.org/officeDocument/2006/relationships/endnotes" Target="endnotes.xml"/><Relationship Id="rId31" Type="http://schemas.openxmlformats.org/officeDocument/2006/relationships/hyperlink" Target="https://www.european-agency.org/data/list-data-experts" TargetMode="External"/><Relationship Id="rId52" Type="http://schemas.openxmlformats.org/officeDocument/2006/relationships/chart" Target="charts/chart16.xml"/><Relationship Id="rId73" Type="http://schemas.openxmlformats.org/officeDocument/2006/relationships/chart" Target="charts/chart36.xml"/><Relationship Id="rId78" Type="http://schemas.openxmlformats.org/officeDocument/2006/relationships/chart" Target="charts/chart41.xml"/><Relationship Id="rId94" Type="http://schemas.openxmlformats.org/officeDocument/2006/relationships/chart" Target="charts/chart56.xml"/><Relationship Id="rId99" Type="http://schemas.openxmlformats.org/officeDocument/2006/relationships/chart" Target="charts/chart61.xml"/><Relationship Id="rId101" Type="http://schemas.openxmlformats.org/officeDocument/2006/relationships/hyperlink" Target="https://www.european-agency.org/data/country-data-and-background-information" TargetMode="External"/><Relationship Id="rId122" Type="http://schemas.openxmlformats.org/officeDocument/2006/relationships/chart" Target="charts/chart83.xml"/><Relationship Id="rId143" Type="http://schemas.openxmlformats.org/officeDocument/2006/relationships/chart" Target="charts/chart102.xml"/><Relationship Id="rId148" Type="http://schemas.openxmlformats.org/officeDocument/2006/relationships/chart" Target="charts/chart107.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7.jpeg"/><Relationship Id="rId47" Type="http://schemas.openxmlformats.org/officeDocument/2006/relationships/chart" Target="charts/chart11.xml"/><Relationship Id="rId68" Type="http://schemas.openxmlformats.org/officeDocument/2006/relationships/chart" Target="charts/chart31.xml"/><Relationship Id="rId89" Type="http://schemas.openxmlformats.org/officeDocument/2006/relationships/chart" Target="charts/chart51.xml"/><Relationship Id="rId112" Type="http://schemas.openxmlformats.org/officeDocument/2006/relationships/chart" Target="charts/chart73.xml"/><Relationship Id="rId133" Type="http://schemas.openxmlformats.org/officeDocument/2006/relationships/chart" Target="charts/chart93.xml"/><Relationship Id="rId154" Type="http://schemas.openxmlformats.org/officeDocument/2006/relationships/chart" Target="charts/chart113.xml"/><Relationship Id="rId16" Type="http://schemas.openxmlformats.org/officeDocument/2006/relationships/header" Target="header2.xml"/><Relationship Id="rId37" Type="http://schemas.openxmlformats.org/officeDocument/2006/relationships/chart" Target="charts/chart2.xml"/><Relationship Id="rId58" Type="http://schemas.openxmlformats.org/officeDocument/2006/relationships/chart" Target="charts/chart21.xml"/><Relationship Id="rId79" Type="http://schemas.openxmlformats.org/officeDocument/2006/relationships/chart" Target="charts/chart42.xml"/><Relationship Id="rId102" Type="http://schemas.openxmlformats.org/officeDocument/2006/relationships/chart" Target="charts/chart63.xml"/><Relationship Id="rId123" Type="http://schemas.openxmlformats.org/officeDocument/2006/relationships/chart" Target="charts/chart84.xml"/><Relationship Id="rId144" Type="http://schemas.openxmlformats.org/officeDocument/2006/relationships/chart" Target="charts/chart103.xml"/><Relationship Id="rId90" Type="http://schemas.openxmlformats.org/officeDocument/2006/relationships/chart" Target="charts/chart52.xml"/></Relationships>
</file>

<file path=word/_rels/footer4.xml.rels><?xml version="1.0" encoding="UTF-8" standalone="yes"?>
<Relationships xmlns="http://schemas.openxmlformats.org/package/2006/relationships"><Relationship Id="rId1" Type="http://schemas.openxmlformats.org/officeDocument/2006/relationships/image" Target="media/image3.jpeg"/></Relationships>
</file>

<file path=word/_rels/footer5.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00.xml.rels><?xml version="1.0" encoding="UTF-8" standalone="yes"?>
<Relationships xmlns="http://schemas.openxmlformats.org/package/2006/relationships"><Relationship Id="rId2" Type="http://schemas.openxmlformats.org/officeDocument/2006/relationships/package" Target="../embeddings/Microsoft_Excel_Worksheet99.xlsx"/><Relationship Id="rId1" Type="http://schemas.openxmlformats.org/officeDocument/2006/relationships/themeOverride" Target="../theme/themeOverride100.xml"/></Relationships>
</file>

<file path=word/charts/_rels/chart101.xml.rels><?xml version="1.0" encoding="UTF-8" standalone="yes"?>
<Relationships xmlns="http://schemas.openxmlformats.org/package/2006/relationships"><Relationship Id="rId2" Type="http://schemas.openxmlformats.org/officeDocument/2006/relationships/package" Target="../embeddings/Microsoft_Excel_Worksheet100.xlsx"/><Relationship Id="rId1" Type="http://schemas.openxmlformats.org/officeDocument/2006/relationships/themeOverride" Target="../theme/themeOverride101.xml"/></Relationships>
</file>

<file path=word/charts/_rels/chart102.xml.rels><?xml version="1.0" encoding="UTF-8" standalone="yes"?>
<Relationships xmlns="http://schemas.openxmlformats.org/package/2006/relationships"><Relationship Id="rId2" Type="http://schemas.openxmlformats.org/officeDocument/2006/relationships/package" Target="../embeddings/Microsoft_Excel_Worksheet101.xlsx"/><Relationship Id="rId1" Type="http://schemas.openxmlformats.org/officeDocument/2006/relationships/themeOverride" Target="../theme/themeOverride102.xml"/></Relationships>
</file>

<file path=word/charts/_rels/chart103.xml.rels><?xml version="1.0" encoding="UTF-8" standalone="yes"?>
<Relationships xmlns="http://schemas.openxmlformats.org/package/2006/relationships"><Relationship Id="rId2" Type="http://schemas.openxmlformats.org/officeDocument/2006/relationships/package" Target="../embeddings/Microsoft_Excel_Worksheet102.xlsx"/><Relationship Id="rId1" Type="http://schemas.openxmlformats.org/officeDocument/2006/relationships/themeOverride" Target="../theme/themeOverride103.xml"/></Relationships>
</file>

<file path=word/charts/_rels/chart104.xml.rels><?xml version="1.0" encoding="UTF-8" standalone="yes"?>
<Relationships xmlns="http://schemas.openxmlformats.org/package/2006/relationships"><Relationship Id="rId2" Type="http://schemas.openxmlformats.org/officeDocument/2006/relationships/package" Target="../embeddings/Microsoft_Excel_Worksheet103.xlsx"/><Relationship Id="rId1" Type="http://schemas.openxmlformats.org/officeDocument/2006/relationships/themeOverride" Target="../theme/themeOverride104.xml"/></Relationships>
</file>

<file path=word/charts/_rels/chart105.xml.rels><?xml version="1.0" encoding="UTF-8" standalone="yes"?>
<Relationships xmlns="http://schemas.openxmlformats.org/package/2006/relationships"><Relationship Id="rId2" Type="http://schemas.openxmlformats.org/officeDocument/2006/relationships/package" Target="../embeddings/Microsoft_Excel_Worksheet104.xlsx"/><Relationship Id="rId1" Type="http://schemas.openxmlformats.org/officeDocument/2006/relationships/themeOverride" Target="../theme/themeOverride105.xml"/></Relationships>
</file>

<file path=word/charts/_rels/chart106.xml.rels><?xml version="1.0" encoding="UTF-8" standalone="yes"?>
<Relationships xmlns="http://schemas.openxmlformats.org/package/2006/relationships"><Relationship Id="rId2" Type="http://schemas.openxmlformats.org/officeDocument/2006/relationships/package" Target="../embeddings/Microsoft_Excel_Worksheet105.xlsx"/><Relationship Id="rId1" Type="http://schemas.openxmlformats.org/officeDocument/2006/relationships/themeOverride" Target="../theme/themeOverride106.xml"/></Relationships>
</file>

<file path=word/charts/_rels/chart107.xml.rels><?xml version="1.0" encoding="UTF-8" standalone="yes"?>
<Relationships xmlns="http://schemas.openxmlformats.org/package/2006/relationships"><Relationship Id="rId2" Type="http://schemas.openxmlformats.org/officeDocument/2006/relationships/package" Target="../embeddings/Microsoft_Excel_Worksheet106.xlsx"/><Relationship Id="rId1" Type="http://schemas.openxmlformats.org/officeDocument/2006/relationships/themeOverride" Target="../theme/themeOverride107.xml"/></Relationships>
</file>

<file path=word/charts/_rels/chart108.xml.rels><?xml version="1.0" encoding="UTF-8" standalone="yes"?>
<Relationships xmlns="http://schemas.openxmlformats.org/package/2006/relationships"><Relationship Id="rId2" Type="http://schemas.openxmlformats.org/officeDocument/2006/relationships/package" Target="../embeddings/Microsoft_Excel_Worksheet107.xlsx"/><Relationship Id="rId1" Type="http://schemas.openxmlformats.org/officeDocument/2006/relationships/themeOverride" Target="../theme/themeOverride108.xml"/></Relationships>
</file>

<file path=word/charts/_rels/chart109.xml.rels><?xml version="1.0" encoding="UTF-8" standalone="yes"?>
<Relationships xmlns="http://schemas.openxmlformats.org/package/2006/relationships"><Relationship Id="rId2" Type="http://schemas.openxmlformats.org/officeDocument/2006/relationships/package" Target="../embeddings/Microsoft_Excel_Worksheet108.xlsx"/><Relationship Id="rId1" Type="http://schemas.openxmlformats.org/officeDocument/2006/relationships/themeOverride" Target="../theme/themeOverride10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10.xml.rels><?xml version="1.0" encoding="UTF-8" standalone="yes"?>
<Relationships xmlns="http://schemas.openxmlformats.org/package/2006/relationships"><Relationship Id="rId2" Type="http://schemas.openxmlformats.org/officeDocument/2006/relationships/package" Target="../embeddings/Microsoft_Excel_Worksheet109.xlsx"/><Relationship Id="rId1" Type="http://schemas.openxmlformats.org/officeDocument/2006/relationships/themeOverride" Target="../theme/themeOverride110.xml"/></Relationships>
</file>

<file path=word/charts/_rels/chart111.xml.rels><?xml version="1.0" encoding="UTF-8" standalone="yes"?>
<Relationships xmlns="http://schemas.openxmlformats.org/package/2006/relationships"><Relationship Id="rId2" Type="http://schemas.openxmlformats.org/officeDocument/2006/relationships/package" Target="../embeddings/Microsoft_Excel_Worksheet110.xlsx"/><Relationship Id="rId1" Type="http://schemas.openxmlformats.org/officeDocument/2006/relationships/themeOverride" Target="../theme/themeOverride111.xml"/></Relationships>
</file>

<file path=word/charts/_rels/chart112.xml.rels><?xml version="1.0" encoding="UTF-8" standalone="yes"?>
<Relationships xmlns="http://schemas.openxmlformats.org/package/2006/relationships"><Relationship Id="rId2" Type="http://schemas.openxmlformats.org/officeDocument/2006/relationships/package" Target="../embeddings/Microsoft_Excel_Worksheet111.xlsx"/><Relationship Id="rId1" Type="http://schemas.openxmlformats.org/officeDocument/2006/relationships/themeOverride" Target="../theme/themeOverride112.xml"/></Relationships>
</file>

<file path=word/charts/_rels/chart113.xml.rels><?xml version="1.0" encoding="UTF-8" standalone="yes"?>
<Relationships xmlns="http://schemas.openxmlformats.org/package/2006/relationships"><Relationship Id="rId2" Type="http://schemas.openxmlformats.org/officeDocument/2006/relationships/package" Target="../embeddings/Microsoft_Excel_Worksheet112.xlsx"/><Relationship Id="rId1" Type="http://schemas.openxmlformats.org/officeDocument/2006/relationships/themeOverride" Target="../theme/themeOverride113.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5.xlsx"/></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59.xlsx"/><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60.xlsx"/><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61.xlsx"/><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62.xlsx"/><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2" Type="http://schemas.openxmlformats.org/officeDocument/2006/relationships/package" Target="../embeddings/Microsoft_Excel_Worksheet63.xlsx"/><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4.xlsx"/><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2" Type="http://schemas.openxmlformats.org/officeDocument/2006/relationships/package" Target="../embeddings/Microsoft_Excel_Worksheet65.xlsx"/><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66.xlsx"/><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2" Type="http://schemas.openxmlformats.org/officeDocument/2006/relationships/package" Target="../embeddings/Microsoft_Excel_Worksheet67.xlsx"/><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2" Type="http://schemas.openxmlformats.org/officeDocument/2006/relationships/package" Target="../embeddings/Microsoft_Excel_Worksheet68.xlsx"/><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package" Target="../embeddings/Microsoft_Excel_Worksheet69.xlsx"/><Relationship Id="rId1" Type="http://schemas.openxmlformats.org/officeDocument/2006/relationships/themeOverride" Target="../theme/themeOverride70.xml"/></Relationships>
</file>

<file path=word/charts/_rels/chart71.xml.rels><?xml version="1.0" encoding="UTF-8" standalone="yes"?>
<Relationships xmlns="http://schemas.openxmlformats.org/package/2006/relationships"><Relationship Id="rId2" Type="http://schemas.openxmlformats.org/officeDocument/2006/relationships/package" Target="../embeddings/Microsoft_Excel_Worksheet70.xlsx"/><Relationship Id="rId1" Type="http://schemas.openxmlformats.org/officeDocument/2006/relationships/themeOverride" Target="../theme/themeOverride71.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71.xlsx"/><Relationship Id="rId1" Type="http://schemas.openxmlformats.org/officeDocument/2006/relationships/themeOverride" Target="../theme/themeOverride72.xml"/></Relationships>
</file>

<file path=word/charts/_rels/chart73.xml.rels><?xml version="1.0" encoding="UTF-8" standalone="yes"?>
<Relationships xmlns="http://schemas.openxmlformats.org/package/2006/relationships"><Relationship Id="rId2" Type="http://schemas.openxmlformats.org/officeDocument/2006/relationships/package" Target="../embeddings/Microsoft_Excel_Worksheet72.xlsx"/><Relationship Id="rId1" Type="http://schemas.openxmlformats.org/officeDocument/2006/relationships/themeOverride" Target="../theme/themeOverride73.xml"/></Relationships>
</file>

<file path=word/charts/_rels/chart74.xml.rels><?xml version="1.0" encoding="UTF-8" standalone="yes"?>
<Relationships xmlns="http://schemas.openxmlformats.org/package/2006/relationships"><Relationship Id="rId2" Type="http://schemas.openxmlformats.org/officeDocument/2006/relationships/package" Target="../embeddings/Microsoft_Excel_Worksheet73.xlsx"/><Relationship Id="rId1" Type="http://schemas.openxmlformats.org/officeDocument/2006/relationships/themeOverride" Target="../theme/themeOverride74.xml"/></Relationships>
</file>

<file path=word/charts/_rels/chart75.xml.rels><?xml version="1.0" encoding="UTF-8" standalone="yes"?>
<Relationships xmlns="http://schemas.openxmlformats.org/package/2006/relationships"><Relationship Id="rId2" Type="http://schemas.openxmlformats.org/officeDocument/2006/relationships/package" Target="../embeddings/Microsoft_Excel_Worksheet74.xlsx"/><Relationship Id="rId1" Type="http://schemas.openxmlformats.org/officeDocument/2006/relationships/themeOverride" Target="../theme/themeOverride75.xml"/></Relationships>
</file>

<file path=word/charts/_rels/chart76.xml.rels><?xml version="1.0" encoding="UTF-8" standalone="yes"?>
<Relationships xmlns="http://schemas.openxmlformats.org/package/2006/relationships"><Relationship Id="rId2" Type="http://schemas.openxmlformats.org/officeDocument/2006/relationships/package" Target="../embeddings/Microsoft_Excel_Worksheet75.xlsx"/><Relationship Id="rId1" Type="http://schemas.openxmlformats.org/officeDocument/2006/relationships/themeOverride" Target="../theme/themeOverride76.xml"/></Relationships>
</file>

<file path=word/charts/_rels/chart77.xml.rels><?xml version="1.0" encoding="UTF-8" standalone="yes"?>
<Relationships xmlns="http://schemas.openxmlformats.org/package/2006/relationships"><Relationship Id="rId2" Type="http://schemas.openxmlformats.org/officeDocument/2006/relationships/package" Target="../embeddings/Microsoft_Excel_Worksheet76.xlsx"/><Relationship Id="rId1" Type="http://schemas.openxmlformats.org/officeDocument/2006/relationships/themeOverride" Target="../theme/themeOverride77.xml"/></Relationships>
</file>

<file path=word/charts/_rels/chart78.xml.rels><?xml version="1.0" encoding="UTF-8" standalone="yes"?>
<Relationships xmlns="http://schemas.openxmlformats.org/package/2006/relationships"><Relationship Id="rId2" Type="http://schemas.openxmlformats.org/officeDocument/2006/relationships/package" Target="../embeddings/Microsoft_Excel_Worksheet77.xlsx"/><Relationship Id="rId1" Type="http://schemas.openxmlformats.org/officeDocument/2006/relationships/themeOverride" Target="../theme/themeOverride78.xml"/></Relationships>
</file>

<file path=word/charts/_rels/chart79.xml.rels><?xml version="1.0" encoding="UTF-8" standalone="yes"?>
<Relationships xmlns="http://schemas.openxmlformats.org/package/2006/relationships"><Relationship Id="rId2" Type="http://schemas.openxmlformats.org/officeDocument/2006/relationships/package" Target="../embeddings/Microsoft_Excel_Worksheet78.xlsx"/><Relationship Id="rId1" Type="http://schemas.openxmlformats.org/officeDocument/2006/relationships/themeOverride" Target="../theme/themeOverride79.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2" Type="http://schemas.openxmlformats.org/officeDocument/2006/relationships/package" Target="../embeddings/Microsoft_Excel_Worksheet79.xlsx"/><Relationship Id="rId1" Type="http://schemas.openxmlformats.org/officeDocument/2006/relationships/themeOverride" Target="../theme/themeOverride80.xml"/></Relationships>
</file>

<file path=word/charts/_rels/chart81.xml.rels><?xml version="1.0" encoding="UTF-8" standalone="yes"?>
<Relationships xmlns="http://schemas.openxmlformats.org/package/2006/relationships"><Relationship Id="rId2" Type="http://schemas.openxmlformats.org/officeDocument/2006/relationships/package" Target="../embeddings/Microsoft_Excel_Worksheet80.xlsx"/><Relationship Id="rId1" Type="http://schemas.openxmlformats.org/officeDocument/2006/relationships/themeOverride" Target="../theme/themeOverride81.xml"/></Relationships>
</file>

<file path=word/charts/_rels/chart82.xml.rels><?xml version="1.0" encoding="UTF-8" standalone="yes"?>
<Relationships xmlns="http://schemas.openxmlformats.org/package/2006/relationships"><Relationship Id="rId2" Type="http://schemas.openxmlformats.org/officeDocument/2006/relationships/package" Target="../embeddings/Microsoft_Excel_Worksheet81.xlsx"/><Relationship Id="rId1" Type="http://schemas.openxmlformats.org/officeDocument/2006/relationships/themeOverride" Target="../theme/themeOverride82.xml"/></Relationships>
</file>

<file path=word/charts/_rels/chart83.xml.rels><?xml version="1.0" encoding="UTF-8" standalone="yes"?>
<Relationships xmlns="http://schemas.openxmlformats.org/package/2006/relationships"><Relationship Id="rId2" Type="http://schemas.openxmlformats.org/officeDocument/2006/relationships/package" Target="../embeddings/Microsoft_Excel_Worksheet82.xlsx"/><Relationship Id="rId1" Type="http://schemas.openxmlformats.org/officeDocument/2006/relationships/themeOverride" Target="../theme/themeOverride83.xml"/></Relationships>
</file>

<file path=word/charts/_rels/chart84.xml.rels><?xml version="1.0" encoding="UTF-8" standalone="yes"?>
<Relationships xmlns="http://schemas.openxmlformats.org/package/2006/relationships"><Relationship Id="rId2" Type="http://schemas.openxmlformats.org/officeDocument/2006/relationships/package" Target="../embeddings/Microsoft_Excel_Worksheet83.xlsx"/><Relationship Id="rId1" Type="http://schemas.openxmlformats.org/officeDocument/2006/relationships/themeOverride" Target="../theme/themeOverride84.xml"/></Relationships>
</file>

<file path=word/charts/_rels/chart85.xml.rels><?xml version="1.0" encoding="UTF-8" standalone="yes"?>
<Relationships xmlns="http://schemas.openxmlformats.org/package/2006/relationships"><Relationship Id="rId2" Type="http://schemas.openxmlformats.org/officeDocument/2006/relationships/package" Target="../embeddings/Microsoft_Excel_Worksheet84.xlsx"/><Relationship Id="rId1" Type="http://schemas.openxmlformats.org/officeDocument/2006/relationships/themeOverride" Target="../theme/themeOverride85.xml"/></Relationships>
</file>

<file path=word/charts/_rels/chart86.xml.rels><?xml version="1.0" encoding="UTF-8" standalone="yes"?>
<Relationships xmlns="http://schemas.openxmlformats.org/package/2006/relationships"><Relationship Id="rId2" Type="http://schemas.openxmlformats.org/officeDocument/2006/relationships/package" Target="../embeddings/Microsoft_Excel_Worksheet85.xlsx"/><Relationship Id="rId1" Type="http://schemas.openxmlformats.org/officeDocument/2006/relationships/themeOverride" Target="../theme/themeOverride86.xml"/></Relationships>
</file>

<file path=word/charts/_rels/chart87.xml.rels><?xml version="1.0" encoding="UTF-8" standalone="yes"?>
<Relationships xmlns="http://schemas.openxmlformats.org/package/2006/relationships"><Relationship Id="rId2" Type="http://schemas.openxmlformats.org/officeDocument/2006/relationships/package" Target="../embeddings/Microsoft_Excel_Worksheet86.xlsx"/><Relationship Id="rId1" Type="http://schemas.openxmlformats.org/officeDocument/2006/relationships/themeOverride" Target="../theme/themeOverride87.xml"/></Relationships>
</file>

<file path=word/charts/_rels/chart88.xml.rels><?xml version="1.0" encoding="UTF-8" standalone="yes"?>
<Relationships xmlns="http://schemas.openxmlformats.org/package/2006/relationships"><Relationship Id="rId2" Type="http://schemas.openxmlformats.org/officeDocument/2006/relationships/package" Target="../embeddings/Microsoft_Excel_Worksheet87.xlsx"/><Relationship Id="rId1" Type="http://schemas.openxmlformats.org/officeDocument/2006/relationships/themeOverride" Target="../theme/themeOverride88.xml"/></Relationships>
</file>

<file path=word/charts/_rels/chart89.xml.rels><?xml version="1.0" encoding="UTF-8" standalone="yes"?>
<Relationships xmlns="http://schemas.openxmlformats.org/package/2006/relationships"><Relationship Id="rId2" Type="http://schemas.openxmlformats.org/officeDocument/2006/relationships/package" Target="../embeddings/Microsoft_Excel_Worksheet88.xlsx"/><Relationship Id="rId1" Type="http://schemas.openxmlformats.org/officeDocument/2006/relationships/themeOverride" Target="../theme/themeOverride89.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90.xml.rels><?xml version="1.0" encoding="UTF-8" standalone="yes"?>
<Relationships xmlns="http://schemas.openxmlformats.org/package/2006/relationships"><Relationship Id="rId2" Type="http://schemas.openxmlformats.org/officeDocument/2006/relationships/package" Target="../embeddings/Microsoft_Excel_Worksheet89.xlsx"/><Relationship Id="rId1" Type="http://schemas.openxmlformats.org/officeDocument/2006/relationships/themeOverride" Target="../theme/themeOverride90.xml"/></Relationships>
</file>

<file path=word/charts/_rels/chart91.xml.rels><?xml version="1.0" encoding="UTF-8" standalone="yes"?>
<Relationships xmlns="http://schemas.openxmlformats.org/package/2006/relationships"><Relationship Id="rId2" Type="http://schemas.openxmlformats.org/officeDocument/2006/relationships/package" Target="../embeddings/Microsoft_Excel_Worksheet90.xlsx"/><Relationship Id="rId1" Type="http://schemas.openxmlformats.org/officeDocument/2006/relationships/themeOverride" Target="../theme/themeOverride91.xml"/></Relationships>
</file>

<file path=word/charts/_rels/chart92.xml.rels><?xml version="1.0" encoding="UTF-8" standalone="yes"?>
<Relationships xmlns="http://schemas.openxmlformats.org/package/2006/relationships"><Relationship Id="rId2" Type="http://schemas.openxmlformats.org/officeDocument/2006/relationships/package" Target="../embeddings/Microsoft_Excel_Worksheet91.xlsx"/><Relationship Id="rId1" Type="http://schemas.openxmlformats.org/officeDocument/2006/relationships/themeOverride" Target="../theme/themeOverride92.xml"/></Relationships>
</file>

<file path=word/charts/_rels/chart93.xml.rels><?xml version="1.0" encoding="UTF-8" standalone="yes"?>
<Relationships xmlns="http://schemas.openxmlformats.org/package/2006/relationships"><Relationship Id="rId2" Type="http://schemas.openxmlformats.org/officeDocument/2006/relationships/package" Target="../embeddings/Microsoft_Excel_Worksheet92.xlsx"/><Relationship Id="rId1" Type="http://schemas.openxmlformats.org/officeDocument/2006/relationships/themeOverride" Target="../theme/themeOverride93.xml"/></Relationships>
</file>

<file path=word/charts/_rels/chart94.xml.rels><?xml version="1.0" encoding="UTF-8" standalone="yes"?>
<Relationships xmlns="http://schemas.openxmlformats.org/package/2006/relationships"><Relationship Id="rId2" Type="http://schemas.openxmlformats.org/officeDocument/2006/relationships/package" Target="../embeddings/Microsoft_Excel_Worksheet93.xlsx"/><Relationship Id="rId1" Type="http://schemas.openxmlformats.org/officeDocument/2006/relationships/themeOverride" Target="../theme/themeOverride94.xml"/></Relationships>
</file>

<file path=word/charts/_rels/chart95.xml.rels><?xml version="1.0" encoding="UTF-8" standalone="yes"?>
<Relationships xmlns="http://schemas.openxmlformats.org/package/2006/relationships"><Relationship Id="rId2" Type="http://schemas.openxmlformats.org/officeDocument/2006/relationships/package" Target="../embeddings/Microsoft_Excel_Worksheet94.xlsx"/><Relationship Id="rId1" Type="http://schemas.openxmlformats.org/officeDocument/2006/relationships/themeOverride" Target="../theme/themeOverride95.xml"/></Relationships>
</file>

<file path=word/charts/_rels/chart96.xml.rels><?xml version="1.0" encoding="UTF-8" standalone="yes"?>
<Relationships xmlns="http://schemas.openxmlformats.org/package/2006/relationships"><Relationship Id="rId2" Type="http://schemas.openxmlformats.org/officeDocument/2006/relationships/package" Target="../embeddings/Microsoft_Excel_Worksheet95.xlsx"/><Relationship Id="rId1" Type="http://schemas.openxmlformats.org/officeDocument/2006/relationships/themeOverride" Target="../theme/themeOverride96.xml"/></Relationships>
</file>

<file path=word/charts/_rels/chart97.xml.rels><?xml version="1.0" encoding="UTF-8" standalone="yes"?>
<Relationships xmlns="http://schemas.openxmlformats.org/package/2006/relationships"><Relationship Id="rId2" Type="http://schemas.openxmlformats.org/officeDocument/2006/relationships/package" Target="../embeddings/Microsoft_Excel_Worksheet96.xlsx"/><Relationship Id="rId1" Type="http://schemas.openxmlformats.org/officeDocument/2006/relationships/themeOverride" Target="../theme/themeOverride97.xml"/></Relationships>
</file>

<file path=word/charts/_rels/chart98.xml.rels><?xml version="1.0" encoding="UTF-8" standalone="yes"?>
<Relationships xmlns="http://schemas.openxmlformats.org/package/2006/relationships"><Relationship Id="rId2" Type="http://schemas.openxmlformats.org/officeDocument/2006/relationships/package" Target="../embeddings/Microsoft_Excel_Worksheet97.xlsx"/><Relationship Id="rId1" Type="http://schemas.openxmlformats.org/officeDocument/2006/relationships/themeOverride" Target="../theme/themeOverride98.xml"/></Relationships>
</file>

<file path=word/charts/_rels/chart99.xml.rels><?xml version="1.0" encoding="UTF-8" standalone="yes"?>
<Relationships xmlns="http://schemas.openxmlformats.org/package/2006/relationships"><Relationship Id="rId2" Type="http://schemas.openxmlformats.org/officeDocument/2006/relationships/package" Target="../embeddings/Microsoft_Excel_Worksheet98.xlsx"/><Relationship Id="rId1" Type="http://schemas.openxmlformats.org/officeDocument/2006/relationships/themeOverride" Target="../theme/themeOverride9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5"/>
            <c:invertIfNegative val="0"/>
            <c:bubble3D val="0"/>
            <c:spPr>
              <a:solidFill>
                <a:srgbClr val="F9C623"/>
              </a:solidFill>
              <a:ln>
                <a:noFill/>
              </a:ln>
              <a:effectLst/>
            </c:spPr>
            <c:extLst>
              <c:ext xmlns:c16="http://schemas.microsoft.com/office/drawing/2014/chart" uri="{C3380CC4-5D6E-409C-BE32-E72D297353CC}">
                <c16:uniqueId val="{00000001-36F4-4E48-9972-DD41D26A7907}"/>
              </c:ext>
            </c:extLst>
          </c:dPt>
          <c:dLbls>
            <c:dLbl>
              <c:idx val="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E-574B-2744-81C4-AC0AC6D07AC2}"/>
                </c:ext>
              </c:extLst>
            </c:dLbl>
            <c:dLbl>
              <c:idx val="8"/>
              <c:spPr>
                <a:noFill/>
                <a:ln>
                  <a:noFill/>
                </a:ln>
                <a:effectLst/>
              </c:spPr>
              <c:txPr>
                <a:bodyPr rot="0" spcFirstLastPara="1" vertOverflow="ellipsis" vert="horz" wrap="none" lIns="38100" tIns="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F-574B-2744-81C4-AC0AC6D07AC2}"/>
                </c:ext>
              </c:extLst>
            </c:dLbl>
            <c:dLbl>
              <c:idx val="25"/>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36F4-4E48-9972-DD41D26A790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'1.1, 1.2 - ISCED02'!$D$3:$D$28</c:f>
              <c:strCache>
                <c:ptCount val="26"/>
                <c:pt idx="0">
                  <c:v>Belgium (Fl)</c:v>
                </c:pt>
                <c:pt idx="1">
                  <c:v>Bulgaria</c:v>
                </c:pt>
                <c:pt idx="2">
                  <c:v>Cyprus</c:v>
                </c:pt>
                <c:pt idx="3">
                  <c:v>Czech Republic</c:v>
                </c:pt>
                <c:pt idx="4">
                  <c:v>Estonia</c:v>
                </c:pt>
                <c:pt idx="5">
                  <c:v>France</c:v>
                </c:pt>
                <c:pt idx="6">
                  <c:v>Greece</c:v>
                </c:pt>
                <c:pt idx="7">
                  <c:v>Hungary</c:v>
                </c:pt>
                <c:pt idx="8">
                  <c:v>Iceland </c:v>
                </c:pt>
                <c:pt idx="9">
                  <c:v>Italy</c:v>
                </c:pt>
                <c:pt idx="10">
                  <c:v>Latvia</c:v>
                </c:pt>
                <c:pt idx="11">
                  <c:v>Lithuania</c:v>
                </c:pt>
                <c:pt idx="12">
                  <c:v>Luxembourg</c:v>
                </c:pt>
                <c:pt idx="13">
                  <c:v>Malta</c:v>
                </c:pt>
                <c:pt idx="14">
                  <c:v>Netherlands</c:v>
                </c:pt>
                <c:pt idx="15">
                  <c:v>Poland</c:v>
                </c:pt>
                <c:pt idx="16">
                  <c:v>Portugal</c:v>
                </c:pt>
                <c:pt idx="17">
                  <c:v>Slovakia</c:v>
                </c:pt>
                <c:pt idx="18">
                  <c:v>Slovenia</c:v>
                </c:pt>
                <c:pt idx="19">
                  <c:v>Spain</c:v>
                </c:pt>
                <c:pt idx="20">
                  <c:v>Sweden</c:v>
                </c:pt>
                <c:pt idx="21">
                  <c:v>Switzerland</c:v>
                </c:pt>
                <c:pt idx="22">
                  <c:v>UK (England)</c:v>
                </c:pt>
                <c:pt idx="23">
                  <c:v>UK (N. Ireland)</c:v>
                </c:pt>
                <c:pt idx="24">
                  <c:v>UK (Wales)</c:v>
                </c:pt>
                <c:pt idx="25">
                  <c:v>Total average (25)</c:v>
                </c:pt>
              </c:strCache>
            </c:strRef>
          </c:cat>
          <c:val>
            <c:numRef>
              <c:f>'1.1, 1.2 - ISCED02'!$E$3:$E$28</c:f>
              <c:numCache>
                <c:formatCode>0.00</c:formatCode>
                <c:ptCount val="26"/>
                <c:pt idx="0">
                  <c:v>99.270473654344698</c:v>
                </c:pt>
                <c:pt idx="1">
                  <c:v>99.953077606287593</c:v>
                </c:pt>
                <c:pt idx="2">
                  <c:v>99.855806863593287</c:v>
                </c:pt>
                <c:pt idx="3">
                  <c:v>99.030896468391873</c:v>
                </c:pt>
                <c:pt idx="4">
                  <c:v>99.746978851963746</c:v>
                </c:pt>
                <c:pt idx="5">
                  <c:v>99.149479645376388</c:v>
                </c:pt>
                <c:pt idx="6">
                  <c:v>99.596299411269968</c:v>
                </c:pt>
                <c:pt idx="7">
                  <c:v>80.464711940961365</c:v>
                </c:pt>
                <c:pt idx="8">
                  <c:v>100</c:v>
                </c:pt>
                <c:pt idx="9">
                  <c:v>99.981894112821408</c:v>
                </c:pt>
                <c:pt idx="10">
                  <c:v>95.341457561131705</c:v>
                </c:pt>
                <c:pt idx="11">
                  <c:v>88.480802943612858</c:v>
                </c:pt>
                <c:pt idx="12">
                  <c:v>99.715281812899477</c:v>
                </c:pt>
                <c:pt idx="13">
                  <c:v>100</c:v>
                </c:pt>
                <c:pt idx="14">
                  <c:v>98.943401592718999</c:v>
                </c:pt>
                <c:pt idx="15">
                  <c:v>99.522366535967421</c:v>
                </c:pt>
                <c:pt idx="16">
                  <c:v>100</c:v>
                </c:pt>
                <c:pt idx="17">
                  <c:v>98.822488470325865</c:v>
                </c:pt>
                <c:pt idx="18">
                  <c:v>100</c:v>
                </c:pt>
                <c:pt idx="19">
                  <c:v>99.885013705245996</c:v>
                </c:pt>
                <c:pt idx="20">
                  <c:v>100</c:v>
                </c:pt>
                <c:pt idx="21">
                  <c:v>98.908436023348472</c:v>
                </c:pt>
                <c:pt idx="22">
                  <c:v>99.70827565249688</c:v>
                </c:pt>
                <c:pt idx="23">
                  <c:v>99.03702473850241</c:v>
                </c:pt>
                <c:pt idx="24">
                  <c:v>99.644021208525473</c:v>
                </c:pt>
                <c:pt idx="25">
                  <c:v>98.7873185776307</c:v>
                </c:pt>
              </c:numCache>
            </c:numRef>
          </c:val>
          <c:extLst>
            <c:ext xmlns:c16="http://schemas.microsoft.com/office/drawing/2014/chart" uri="{C3380CC4-5D6E-409C-BE32-E72D297353CC}">
              <c16:uniqueId val="{00000002-36F4-4E48-9972-DD41D26A7907}"/>
            </c:ext>
          </c:extLst>
        </c:ser>
        <c:dLbls>
          <c:showLegendKey val="0"/>
          <c:showVal val="0"/>
          <c:showCatName val="0"/>
          <c:showSerName val="0"/>
          <c:showPercent val="0"/>
          <c:showBubbleSize val="0"/>
        </c:dLbls>
        <c:gapWidth val="20"/>
        <c:overlap val="-66"/>
        <c:axId val="643091152"/>
        <c:axId val="636381088"/>
      </c:barChart>
      <c:catAx>
        <c:axId val="643091152"/>
        <c:scaling>
          <c:orientation val="maxMin"/>
        </c:scaling>
        <c:delete val="1"/>
        <c:axPos val="l"/>
        <c:numFmt formatCode="General" sourceLinked="1"/>
        <c:majorTickMark val="none"/>
        <c:minorTickMark val="none"/>
        <c:tickLblPos val="nextTo"/>
        <c:crossAx val="636381088"/>
        <c:crosses val="autoZero"/>
        <c:auto val="0"/>
        <c:lblAlgn val="ctr"/>
        <c:lblOffset val="100"/>
        <c:noMultiLvlLbl val="0"/>
      </c:catAx>
      <c:valAx>
        <c:axId val="636381088"/>
        <c:scaling>
          <c:orientation val="minMax"/>
          <c:max val="100"/>
          <c:min val="75"/>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43091152"/>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81167979002618E-2"/>
          <c:y val="4.1969598832814689E-2"/>
          <c:w val="0.82387500000000002"/>
          <c:h val="0.91768375451644524"/>
        </c:manualLayout>
      </c:layout>
      <c:barChart>
        <c:barDir val="bar"/>
        <c:grouping val="clustered"/>
        <c:varyColors val="0"/>
        <c:ser>
          <c:idx val="0"/>
          <c:order val="0"/>
          <c:tx>
            <c:strRef>
              <c:f>Blad1!$E$2</c:f>
              <c:strCache>
                <c:ptCount val="1"/>
                <c:pt idx="0">
                  <c:v>Boys</c:v>
                </c:pt>
              </c:strCache>
            </c:strRef>
          </c:tx>
          <c:spPr>
            <a:solidFill>
              <a:srgbClr val="17255B"/>
            </a:solidFill>
            <a:ln>
              <a:noFill/>
            </a:ln>
            <a:effectLst/>
          </c:spPr>
          <c:invertIfNegative val="0"/>
          <c:dLbls>
            <c:dLbl>
              <c:idx val="1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8C2D-1E47-AA73-13A08E98BEF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Blad1!$D$3:$D$22</c:f>
              <c:strCache>
                <c:ptCount val="20"/>
                <c:pt idx="0">
                  <c:v>Belgium (Fl)</c:v>
                </c:pt>
                <c:pt idx="1">
                  <c:v>Bulgaria</c:v>
                </c:pt>
                <c:pt idx="2">
                  <c:v>Cyprus</c:v>
                </c:pt>
                <c:pt idx="3">
                  <c:v>Czech Republic</c:v>
                </c:pt>
                <c:pt idx="4">
                  <c:v>Estonia</c:v>
                </c:pt>
                <c:pt idx="5">
                  <c:v>France</c:v>
                </c:pt>
                <c:pt idx="6">
                  <c:v>Greece</c:v>
                </c:pt>
                <c:pt idx="7">
                  <c:v>Hungary</c:v>
                </c:pt>
                <c:pt idx="8">
                  <c:v>Italy</c:v>
                </c:pt>
                <c:pt idx="9">
                  <c:v>Lithuania</c:v>
                </c:pt>
                <c:pt idx="10">
                  <c:v>Malta</c:v>
                </c:pt>
                <c:pt idx="11">
                  <c:v>Poland</c:v>
                </c:pt>
                <c:pt idx="12">
                  <c:v>Portugal</c:v>
                </c:pt>
                <c:pt idx="13">
                  <c:v>Slovakia</c:v>
                </c:pt>
                <c:pt idx="14">
                  <c:v>Slovenia</c:v>
                </c:pt>
                <c:pt idx="15">
                  <c:v>Spain</c:v>
                </c:pt>
                <c:pt idx="16">
                  <c:v>UK (England)</c:v>
                </c:pt>
                <c:pt idx="17">
                  <c:v>UK (N. Ireland)</c:v>
                </c:pt>
                <c:pt idx="18">
                  <c:v>UK (Wales)</c:v>
                </c:pt>
                <c:pt idx="19">
                  <c:v>Total average (19)</c:v>
                </c:pt>
              </c:strCache>
            </c:strRef>
          </c:cat>
          <c:val>
            <c:numRef>
              <c:f>Blad1!$E$3:$E$22</c:f>
              <c:numCache>
                <c:formatCode>0.00</c:formatCode>
                <c:ptCount val="20"/>
                <c:pt idx="0">
                  <c:v>66.703848298940329</c:v>
                </c:pt>
                <c:pt idx="1">
                  <c:v>66.970618034447824</c:v>
                </c:pt>
                <c:pt idx="2">
                  <c:v>67.259786476868328</c:v>
                </c:pt>
                <c:pt idx="3">
                  <c:v>69.428854407395178</c:v>
                </c:pt>
                <c:pt idx="4">
                  <c:v>64.458724666337119</c:v>
                </c:pt>
                <c:pt idx="5">
                  <c:v>70.337149943760281</c:v>
                </c:pt>
                <c:pt idx="6">
                  <c:v>74.181818181818187</c:v>
                </c:pt>
                <c:pt idx="7">
                  <c:v>68.309560796497664</c:v>
                </c:pt>
                <c:pt idx="8">
                  <c:v>72.607980549199084</c:v>
                </c:pt>
                <c:pt idx="9">
                  <c:v>60.766012230447373</c:v>
                </c:pt>
                <c:pt idx="10">
                  <c:v>70.438799076212462</c:v>
                </c:pt>
                <c:pt idx="11">
                  <c:v>68.352434023761958</c:v>
                </c:pt>
                <c:pt idx="12">
                  <c:v>72.295938882187372</c:v>
                </c:pt>
                <c:pt idx="13">
                  <c:v>52.146549786468867</c:v>
                </c:pt>
                <c:pt idx="14">
                  <c:v>68.288119738072965</c:v>
                </c:pt>
                <c:pt idx="15">
                  <c:v>69.298775880308298</c:v>
                </c:pt>
                <c:pt idx="16">
                  <c:v>68.308409932775419</c:v>
                </c:pt>
                <c:pt idx="17">
                  <c:v>85.53</c:v>
                </c:pt>
                <c:pt idx="18">
                  <c:v>70.204841713221597</c:v>
                </c:pt>
                <c:pt idx="19">
                  <c:v>68.42</c:v>
                </c:pt>
              </c:numCache>
            </c:numRef>
          </c:val>
          <c:extLst>
            <c:ext xmlns:c16="http://schemas.microsoft.com/office/drawing/2014/chart" uri="{C3380CC4-5D6E-409C-BE32-E72D297353CC}">
              <c16:uniqueId val="{00000000-0DC2-4B3E-8B49-7294AB85AED7}"/>
            </c:ext>
          </c:extLst>
        </c:ser>
        <c:ser>
          <c:idx val="1"/>
          <c:order val="1"/>
          <c:tx>
            <c:strRef>
              <c:f>Blad1!$F$2</c:f>
              <c:strCache>
                <c:ptCount val="1"/>
                <c:pt idx="0">
                  <c:v>Girls</c:v>
                </c:pt>
              </c:strCache>
            </c:strRef>
          </c:tx>
          <c:spPr>
            <a:solidFill>
              <a:schemeClr val="accent4"/>
            </a:solidFill>
            <a:ln>
              <a:noFill/>
            </a:ln>
            <a:effectLst/>
          </c:spPr>
          <c:invertIfNegative val="0"/>
          <c:dPt>
            <c:idx val="18"/>
            <c:invertIfNegative val="0"/>
            <c:bubble3D val="0"/>
            <c:spPr>
              <a:solidFill>
                <a:srgbClr val="F9C623"/>
              </a:solidFill>
              <a:ln>
                <a:noFill/>
              </a:ln>
              <a:effectLst/>
            </c:spPr>
            <c:extLst>
              <c:ext xmlns:c16="http://schemas.microsoft.com/office/drawing/2014/chart" uri="{C3380CC4-5D6E-409C-BE32-E72D297353CC}">
                <c16:uniqueId val="{00000000-8C2D-1E47-AA73-13A08E98BEF2}"/>
              </c:ext>
            </c:extLst>
          </c:dPt>
          <c:dLbls>
            <c:dLbl>
              <c:idx val="1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2-8C2D-1E47-AA73-13A08E98BEF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Blad1!$D$3:$D$22</c:f>
              <c:strCache>
                <c:ptCount val="20"/>
                <c:pt idx="0">
                  <c:v>Belgium (Fl)</c:v>
                </c:pt>
                <c:pt idx="1">
                  <c:v>Bulgaria</c:v>
                </c:pt>
                <c:pt idx="2">
                  <c:v>Cyprus</c:v>
                </c:pt>
                <c:pt idx="3">
                  <c:v>Czech Republic</c:v>
                </c:pt>
                <c:pt idx="4">
                  <c:v>Estonia</c:v>
                </c:pt>
                <c:pt idx="5">
                  <c:v>France</c:v>
                </c:pt>
                <c:pt idx="6">
                  <c:v>Greece</c:v>
                </c:pt>
                <c:pt idx="7">
                  <c:v>Hungary</c:v>
                </c:pt>
                <c:pt idx="8">
                  <c:v>Italy</c:v>
                </c:pt>
                <c:pt idx="9">
                  <c:v>Lithuania</c:v>
                </c:pt>
                <c:pt idx="10">
                  <c:v>Malta</c:v>
                </c:pt>
                <c:pt idx="11">
                  <c:v>Poland</c:v>
                </c:pt>
                <c:pt idx="12">
                  <c:v>Portugal</c:v>
                </c:pt>
                <c:pt idx="13">
                  <c:v>Slovakia</c:v>
                </c:pt>
                <c:pt idx="14">
                  <c:v>Slovenia</c:v>
                </c:pt>
                <c:pt idx="15">
                  <c:v>Spain</c:v>
                </c:pt>
                <c:pt idx="16">
                  <c:v>UK (England)</c:v>
                </c:pt>
                <c:pt idx="17">
                  <c:v>UK (N. Ireland)</c:v>
                </c:pt>
                <c:pt idx="18">
                  <c:v>UK (Wales)</c:v>
                </c:pt>
                <c:pt idx="19">
                  <c:v>Total average (19)</c:v>
                </c:pt>
              </c:strCache>
            </c:strRef>
          </c:cat>
          <c:val>
            <c:numRef>
              <c:f>Blad1!$F$3:$F$22</c:f>
              <c:numCache>
                <c:formatCode>0.00</c:formatCode>
                <c:ptCount val="20"/>
                <c:pt idx="0">
                  <c:v>33.296151701059678</c:v>
                </c:pt>
                <c:pt idx="1">
                  <c:v>33.029381965552176</c:v>
                </c:pt>
                <c:pt idx="2">
                  <c:v>32.740213523131672</c:v>
                </c:pt>
                <c:pt idx="3">
                  <c:v>30.571145592604822</c:v>
                </c:pt>
                <c:pt idx="4">
                  <c:v>35.541275333662874</c:v>
                </c:pt>
                <c:pt idx="5">
                  <c:v>29.662850056239726</c:v>
                </c:pt>
                <c:pt idx="6">
                  <c:v>25.818181818181817</c:v>
                </c:pt>
                <c:pt idx="7">
                  <c:v>31.690439203502329</c:v>
                </c:pt>
                <c:pt idx="8">
                  <c:v>27.392019450800912</c:v>
                </c:pt>
                <c:pt idx="9">
                  <c:v>39.233987769552627</c:v>
                </c:pt>
                <c:pt idx="10">
                  <c:v>29.561200923787528</c:v>
                </c:pt>
                <c:pt idx="11">
                  <c:v>31.647565976238042</c:v>
                </c:pt>
                <c:pt idx="12">
                  <c:v>27.704061117812628</c:v>
                </c:pt>
                <c:pt idx="13">
                  <c:v>47.853450213531126</c:v>
                </c:pt>
                <c:pt idx="14">
                  <c:v>31.711880261927032</c:v>
                </c:pt>
                <c:pt idx="15">
                  <c:v>30.701224119691705</c:v>
                </c:pt>
                <c:pt idx="16">
                  <c:v>31.691590067224585</c:v>
                </c:pt>
                <c:pt idx="17">
                  <c:v>14.47</c:v>
                </c:pt>
                <c:pt idx="18">
                  <c:v>29.795158286778399</c:v>
                </c:pt>
                <c:pt idx="19">
                  <c:v>31.58</c:v>
                </c:pt>
              </c:numCache>
            </c:numRef>
          </c:val>
          <c:extLst>
            <c:ext xmlns:c16="http://schemas.microsoft.com/office/drawing/2014/chart" uri="{C3380CC4-5D6E-409C-BE32-E72D297353CC}">
              <c16:uniqueId val="{00000001-0DC2-4B3E-8B49-7294AB85AED7}"/>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Blad1!$O$2</c:f>
              <c:strCache>
                <c:ptCount val="1"/>
                <c:pt idx="0">
                  <c:v>Boys</c:v>
                </c:pt>
              </c:strCache>
            </c:strRef>
          </c:tx>
          <c:spPr>
            <a:solidFill>
              <a:srgbClr val="17255B"/>
            </a:solidFill>
            <a:ln>
              <a:noFill/>
            </a:ln>
            <a:effectLst/>
          </c:spPr>
          <c:invertIfNegative val="0"/>
          <c:dLbls>
            <c:dLbl>
              <c:idx val="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3B0-214E-9FEB-EAEB55DD4BCB}"/>
                </c:ext>
              </c:extLst>
            </c:dLbl>
            <c:dLbl>
              <c:idx val="1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43B0-214E-9FEB-EAEB55DD4BCB}"/>
                </c:ext>
              </c:extLst>
            </c:dLbl>
            <c:dLbl>
              <c:idx val="15"/>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43B0-214E-9FEB-EAEB55DD4BCB}"/>
                </c:ext>
              </c:extLst>
            </c:dLbl>
            <c:dLbl>
              <c:idx val="1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43B0-214E-9FEB-EAEB55DD4BC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Blad1!$N$3:$N$19</c:f>
              <c:strCache>
                <c:ptCount val="17"/>
                <c:pt idx="0">
                  <c:v>Austria</c:v>
                </c:pt>
                <c:pt idx="1">
                  <c:v>Belgium (Fl)</c:v>
                </c:pt>
                <c:pt idx="2">
                  <c:v>Bulgaria</c:v>
                </c:pt>
                <c:pt idx="3">
                  <c:v>Cyprus</c:v>
                </c:pt>
                <c:pt idx="4">
                  <c:v>Czech Republic</c:v>
                </c:pt>
                <c:pt idx="5">
                  <c:v>Estonia</c:v>
                </c:pt>
                <c:pt idx="6">
                  <c:v>France</c:v>
                </c:pt>
                <c:pt idx="7">
                  <c:v>Greece</c:v>
                </c:pt>
                <c:pt idx="8">
                  <c:v>Ireland</c:v>
                </c:pt>
                <c:pt idx="9">
                  <c:v>Latvia</c:v>
                </c:pt>
                <c:pt idx="10">
                  <c:v>Lithuania</c:v>
                </c:pt>
                <c:pt idx="11">
                  <c:v>Poland</c:v>
                </c:pt>
                <c:pt idx="12">
                  <c:v>Serbia</c:v>
                </c:pt>
                <c:pt idx="13">
                  <c:v>Slovakia</c:v>
                </c:pt>
                <c:pt idx="14">
                  <c:v>UK (England)</c:v>
                </c:pt>
                <c:pt idx="15">
                  <c:v>UK (N. Ireland)</c:v>
                </c:pt>
                <c:pt idx="16">
                  <c:v>Total average (16)</c:v>
                </c:pt>
              </c:strCache>
            </c:strRef>
          </c:cat>
          <c:val>
            <c:numRef>
              <c:f>Blad1!$O$3:$O$19</c:f>
              <c:numCache>
                <c:formatCode>0.00</c:formatCode>
                <c:ptCount val="17"/>
                <c:pt idx="0">
                  <c:v>1.8289514704354151</c:v>
                </c:pt>
                <c:pt idx="1">
                  <c:v>0.21889087925219278</c:v>
                </c:pt>
                <c:pt idx="2">
                  <c:v>0.35663411536547274</c:v>
                </c:pt>
                <c:pt idx="3">
                  <c:v>0.46188574405278693</c:v>
                </c:pt>
                <c:pt idx="4">
                  <c:v>1.2675838614932755</c:v>
                </c:pt>
                <c:pt idx="5">
                  <c:v>0.14465027296906352</c:v>
                </c:pt>
                <c:pt idx="6">
                  <c:v>0.17032000670011649</c:v>
                </c:pt>
                <c:pt idx="7">
                  <c:v>0.14887950944650971</c:v>
                </c:pt>
                <c:pt idx="8">
                  <c:v>1.0062714149648082</c:v>
                </c:pt>
                <c:pt idx="9">
                  <c:v>9.3323291528864732E-2</c:v>
                </c:pt>
                <c:pt idx="10">
                  <c:v>0.62151502787977697</c:v>
                </c:pt>
                <c:pt idx="11">
                  <c:v>1.1398327175082192</c:v>
                </c:pt>
                <c:pt idx="12">
                  <c:v>0.53178801991076907</c:v>
                </c:pt>
                <c:pt idx="13">
                  <c:v>1.1693934956437457</c:v>
                </c:pt>
                <c:pt idx="14">
                  <c:v>1.5571121191516315</c:v>
                </c:pt>
                <c:pt idx="15">
                  <c:v>1.4764617298500622</c:v>
                </c:pt>
                <c:pt idx="16">
                  <c:v>0.68792865361057021</c:v>
                </c:pt>
              </c:numCache>
            </c:numRef>
          </c:val>
          <c:extLst>
            <c:ext xmlns:c16="http://schemas.microsoft.com/office/drawing/2014/chart" uri="{C3380CC4-5D6E-409C-BE32-E72D297353CC}">
              <c16:uniqueId val="{00000000-344E-4239-91A8-0542E9836701}"/>
            </c:ext>
          </c:extLst>
        </c:ser>
        <c:ser>
          <c:idx val="1"/>
          <c:order val="1"/>
          <c:tx>
            <c:strRef>
              <c:f>Blad1!$P$2</c:f>
              <c:strCache>
                <c:ptCount val="1"/>
                <c:pt idx="0">
                  <c:v>Girls</c:v>
                </c:pt>
              </c:strCache>
            </c:strRef>
          </c:tx>
          <c:spPr>
            <a:solidFill>
              <a:srgbClr val="F9C624"/>
            </a:solidFill>
            <a:ln>
              <a:noFill/>
            </a:ln>
            <a:effectLst/>
          </c:spPr>
          <c:invertIfNegative val="0"/>
          <c:dLbls>
            <c:dLbl>
              <c:idx val="0"/>
              <c:layout>
                <c:manualLayout>
                  <c:x val="-0.10766045548654252"/>
                  <c:y val="7.6816900810981274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6C-B84E-9792-7CD630E1C1B3}"/>
                </c:ext>
              </c:extLst>
            </c:dLbl>
            <c:dLbl>
              <c:idx val="14"/>
              <c:layout>
                <c:manualLayout>
                  <c:x val="-0.1118012422360248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6C-B84E-9792-7CD630E1C1B3}"/>
                </c:ext>
              </c:extLst>
            </c:dLbl>
            <c:dLbl>
              <c:idx val="15"/>
              <c:layout>
                <c:manualLayout>
                  <c:x val="-0.11594202898550725"/>
                  <c:y val="1.2290704129757004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6C-B84E-9792-7CD630E1C1B3}"/>
                </c:ext>
              </c:extLst>
            </c:dLbl>
            <c:dLbl>
              <c:idx val="1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4-43B0-214E-9FEB-EAEB55DD4BC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Blad1!$N$3:$N$19</c:f>
              <c:strCache>
                <c:ptCount val="17"/>
                <c:pt idx="0">
                  <c:v>Austria</c:v>
                </c:pt>
                <c:pt idx="1">
                  <c:v>Belgium (Fl)</c:v>
                </c:pt>
                <c:pt idx="2">
                  <c:v>Bulgaria</c:v>
                </c:pt>
                <c:pt idx="3">
                  <c:v>Cyprus</c:v>
                </c:pt>
                <c:pt idx="4">
                  <c:v>Czech Republic</c:v>
                </c:pt>
                <c:pt idx="5">
                  <c:v>Estonia</c:v>
                </c:pt>
                <c:pt idx="6">
                  <c:v>France</c:v>
                </c:pt>
                <c:pt idx="7">
                  <c:v>Greece</c:v>
                </c:pt>
                <c:pt idx="8">
                  <c:v>Ireland</c:v>
                </c:pt>
                <c:pt idx="9">
                  <c:v>Latvia</c:v>
                </c:pt>
                <c:pt idx="10">
                  <c:v>Lithuania</c:v>
                </c:pt>
                <c:pt idx="11">
                  <c:v>Poland</c:v>
                </c:pt>
                <c:pt idx="12">
                  <c:v>Serbia</c:v>
                </c:pt>
                <c:pt idx="13">
                  <c:v>Slovakia</c:v>
                </c:pt>
                <c:pt idx="14">
                  <c:v>UK (England)</c:v>
                </c:pt>
                <c:pt idx="15">
                  <c:v>UK (N. Ireland)</c:v>
                </c:pt>
                <c:pt idx="16">
                  <c:v>Total average (16)</c:v>
                </c:pt>
              </c:strCache>
            </c:strRef>
          </c:cat>
          <c:val>
            <c:numRef>
              <c:f>Blad1!$P$3:$P$19</c:f>
              <c:numCache>
                <c:formatCode>0.00</c:formatCode>
                <c:ptCount val="17"/>
                <c:pt idx="0">
                  <c:v>1.3249506390938377</c:v>
                </c:pt>
                <c:pt idx="1">
                  <c:v>4.4617515246158368E-2</c:v>
                </c:pt>
                <c:pt idx="2">
                  <c:v>0.20869445826968955</c:v>
                </c:pt>
                <c:pt idx="3">
                  <c:v>0.31949991317937138</c:v>
                </c:pt>
                <c:pt idx="4">
                  <c:v>0.90508579378574749</c:v>
                </c:pt>
                <c:pt idx="5">
                  <c:v>6.5325929727964166E-2</c:v>
                </c:pt>
                <c:pt idx="6">
                  <c:v>0.11413039340343076</c:v>
                </c:pt>
                <c:pt idx="7">
                  <c:v>9.7655372393485249E-2</c:v>
                </c:pt>
                <c:pt idx="8">
                  <c:v>0.48303501849263386</c:v>
                </c:pt>
                <c:pt idx="9">
                  <c:v>8.6774288614558437E-2</c:v>
                </c:pt>
                <c:pt idx="10">
                  <c:v>0.42839657282741733</c:v>
                </c:pt>
                <c:pt idx="11">
                  <c:v>0.85356487118369384</c:v>
                </c:pt>
                <c:pt idx="12">
                  <c:v>0.36012997524839585</c:v>
                </c:pt>
                <c:pt idx="13">
                  <c:v>0.94921039601352697</c:v>
                </c:pt>
                <c:pt idx="14">
                  <c:v>0.57526616306038614</c:v>
                </c:pt>
                <c:pt idx="15">
                  <c:v>0.8773652851437177</c:v>
                </c:pt>
                <c:pt idx="16">
                  <c:v>0.40265730926263549</c:v>
                </c:pt>
              </c:numCache>
            </c:numRef>
          </c:val>
          <c:extLst>
            <c:ext xmlns:c16="http://schemas.microsoft.com/office/drawing/2014/chart" uri="{C3380CC4-5D6E-409C-BE32-E72D297353CC}">
              <c16:uniqueId val="{00000001-344E-4239-91A8-0542E9836701}"/>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Blad1!$R$2</c:f>
              <c:strCache>
                <c:ptCount val="1"/>
                <c:pt idx="0">
                  <c:v>Boys</c:v>
                </c:pt>
              </c:strCache>
            </c:strRef>
          </c:tx>
          <c:spPr>
            <a:solidFill>
              <a:srgbClr val="17255B"/>
            </a:solidFill>
            <a:ln>
              <a:noFill/>
            </a:ln>
            <a:effectLst/>
          </c:spPr>
          <c:invertIfNegative val="0"/>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AEF0-434F-BB5A-1759987F2D82}"/>
                </c:ext>
              </c:extLst>
            </c:dLbl>
            <c:dLbl>
              <c:idx val="14"/>
              <c:layout>
                <c:manualLayout>
                  <c:x val="-0.32324058919803605"/>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BF2-7348-B396-EFE6A2432190}"/>
                </c:ext>
              </c:extLst>
            </c:dLbl>
            <c:dLbl>
              <c:idx val="16"/>
              <c:layout>
                <c:manualLayout>
                  <c:x val="-0.40916530278232405"/>
                  <c:y val="0"/>
                </c:manualLayout>
              </c:layout>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AEF0-434F-BB5A-1759987F2D8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Blad1!$Q$3:$Q$19</c:f>
              <c:strCache>
                <c:ptCount val="17"/>
                <c:pt idx="0">
                  <c:v>Austria</c:v>
                </c:pt>
                <c:pt idx="1">
                  <c:v>Belgium (Fl)</c:v>
                </c:pt>
                <c:pt idx="2">
                  <c:v>Bulgaria</c:v>
                </c:pt>
                <c:pt idx="3">
                  <c:v>Cyprus</c:v>
                </c:pt>
                <c:pt idx="4">
                  <c:v>Czech Republic</c:v>
                </c:pt>
                <c:pt idx="5">
                  <c:v>Estonia</c:v>
                </c:pt>
                <c:pt idx="6">
                  <c:v>France</c:v>
                </c:pt>
                <c:pt idx="7">
                  <c:v>Greece</c:v>
                </c:pt>
                <c:pt idx="8">
                  <c:v>Ireland</c:v>
                </c:pt>
                <c:pt idx="9">
                  <c:v>Latvia</c:v>
                </c:pt>
                <c:pt idx="10">
                  <c:v>Lithuania</c:v>
                </c:pt>
                <c:pt idx="11">
                  <c:v>Poland</c:v>
                </c:pt>
                <c:pt idx="12">
                  <c:v>Serbia</c:v>
                </c:pt>
                <c:pt idx="13">
                  <c:v>Slovakia</c:v>
                </c:pt>
                <c:pt idx="14">
                  <c:v>UK (England)</c:v>
                </c:pt>
                <c:pt idx="15">
                  <c:v>UK (N. Ireland)</c:v>
                </c:pt>
                <c:pt idx="16">
                  <c:v>Total average (16)</c:v>
                </c:pt>
              </c:strCache>
            </c:strRef>
          </c:cat>
          <c:val>
            <c:numRef>
              <c:f>Blad1!$R$3:$R$19</c:f>
              <c:numCache>
                <c:formatCode>0.00</c:formatCode>
                <c:ptCount val="17"/>
                <c:pt idx="0">
                  <c:v>57.990115321252055</c:v>
                </c:pt>
                <c:pt idx="1">
                  <c:v>83.067896060352055</c:v>
                </c:pt>
                <c:pt idx="2">
                  <c:v>63.084395871281117</c:v>
                </c:pt>
                <c:pt idx="3">
                  <c:v>59.111111111111114</c:v>
                </c:pt>
                <c:pt idx="4">
                  <c:v>58.342226965492706</c:v>
                </c:pt>
                <c:pt idx="5">
                  <c:v>68.888888888888886</c:v>
                </c:pt>
                <c:pt idx="6">
                  <c:v>59.876873661670238</c:v>
                </c:pt>
                <c:pt idx="7">
                  <c:v>60.388821385176186</c:v>
                </c:pt>
                <c:pt idx="8">
                  <c:v>67.566445182724252</c:v>
                </c:pt>
                <c:pt idx="9">
                  <c:v>51.81818181818182</c:v>
                </c:pt>
                <c:pt idx="10">
                  <c:v>59.196891191709845</c:v>
                </c:pt>
                <c:pt idx="11">
                  <c:v>57.180400135639196</c:v>
                </c:pt>
                <c:pt idx="12">
                  <c:v>59.622972380534854</c:v>
                </c:pt>
                <c:pt idx="13">
                  <c:v>55.196419691695674</c:v>
                </c:pt>
                <c:pt idx="14">
                  <c:v>73.022321233564853</c:v>
                </c:pt>
                <c:pt idx="15">
                  <c:v>62.7260083449235</c:v>
                </c:pt>
                <c:pt idx="16">
                  <c:v>63.078810568786913</c:v>
                </c:pt>
              </c:numCache>
            </c:numRef>
          </c:val>
          <c:extLst>
            <c:ext xmlns:c16="http://schemas.microsoft.com/office/drawing/2014/chart" uri="{C3380CC4-5D6E-409C-BE32-E72D297353CC}">
              <c16:uniqueId val="{00000000-4FE2-45B6-ABFC-7630E694C156}"/>
            </c:ext>
          </c:extLst>
        </c:ser>
        <c:ser>
          <c:idx val="1"/>
          <c:order val="1"/>
          <c:tx>
            <c:strRef>
              <c:f>Blad1!$S$2</c:f>
              <c:strCache>
                <c:ptCount val="1"/>
                <c:pt idx="0">
                  <c:v>Girls</c:v>
                </c:pt>
              </c:strCache>
            </c:strRef>
          </c:tx>
          <c:spPr>
            <a:solidFill>
              <a:srgbClr val="F9C624"/>
            </a:solidFill>
            <a:ln>
              <a:noFill/>
            </a:ln>
            <a:effectLst/>
          </c:spPr>
          <c:invertIfNegative val="0"/>
          <c:dLbls>
            <c:dLbl>
              <c:idx val="1"/>
              <c:layout>
                <c:manualLayout>
                  <c:x val="-0.12684124386252046"/>
                  <c:y val="1.633968052366202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BF2-7348-B396-EFE6A2432190}"/>
                </c:ext>
              </c:extLst>
            </c:dLbl>
            <c:dLbl>
              <c:idx val="14"/>
              <c:layout>
                <c:manualLayout>
                  <c:x val="-0.13502454991816698"/>
                  <c:y val="1.3071744418929618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BF2-7348-B396-EFE6A2432190}"/>
                </c:ext>
              </c:extLst>
            </c:dLbl>
            <c:dLbl>
              <c:idx val="16"/>
              <c:layout>
                <c:manualLayout>
                  <c:x val="-0.13093289689034374"/>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EF0-434F-BB5A-1759987F2D8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Blad1!$Q$3:$Q$19</c:f>
              <c:strCache>
                <c:ptCount val="17"/>
                <c:pt idx="0">
                  <c:v>Austria</c:v>
                </c:pt>
                <c:pt idx="1">
                  <c:v>Belgium (Fl)</c:v>
                </c:pt>
                <c:pt idx="2">
                  <c:v>Bulgaria</c:v>
                </c:pt>
                <c:pt idx="3">
                  <c:v>Cyprus</c:v>
                </c:pt>
                <c:pt idx="4">
                  <c:v>Czech Republic</c:v>
                </c:pt>
                <c:pt idx="5">
                  <c:v>Estonia</c:v>
                </c:pt>
                <c:pt idx="6">
                  <c:v>France</c:v>
                </c:pt>
                <c:pt idx="7">
                  <c:v>Greece</c:v>
                </c:pt>
                <c:pt idx="8">
                  <c:v>Ireland</c:v>
                </c:pt>
                <c:pt idx="9">
                  <c:v>Latvia</c:v>
                </c:pt>
                <c:pt idx="10">
                  <c:v>Lithuania</c:v>
                </c:pt>
                <c:pt idx="11">
                  <c:v>Poland</c:v>
                </c:pt>
                <c:pt idx="12">
                  <c:v>Serbia</c:v>
                </c:pt>
                <c:pt idx="13">
                  <c:v>Slovakia</c:v>
                </c:pt>
                <c:pt idx="14">
                  <c:v>UK (England)</c:v>
                </c:pt>
                <c:pt idx="15">
                  <c:v>UK (N. Ireland)</c:v>
                </c:pt>
                <c:pt idx="16">
                  <c:v>Total average (16)</c:v>
                </c:pt>
              </c:strCache>
            </c:strRef>
          </c:cat>
          <c:val>
            <c:numRef>
              <c:f>Blad1!$S$3:$S$19</c:f>
              <c:numCache>
                <c:formatCode>0.00</c:formatCode>
                <c:ptCount val="17"/>
                <c:pt idx="0">
                  <c:v>42.009884678747937</c:v>
                </c:pt>
                <c:pt idx="1">
                  <c:v>16.932103939647945</c:v>
                </c:pt>
                <c:pt idx="2">
                  <c:v>36.915604128718883</c:v>
                </c:pt>
                <c:pt idx="3">
                  <c:v>40.888888888888893</c:v>
                </c:pt>
                <c:pt idx="4">
                  <c:v>41.657773034507294</c:v>
                </c:pt>
                <c:pt idx="5">
                  <c:v>31.111111111111111</c:v>
                </c:pt>
                <c:pt idx="6">
                  <c:v>40.123126338329762</c:v>
                </c:pt>
                <c:pt idx="7">
                  <c:v>39.611178614823814</c:v>
                </c:pt>
                <c:pt idx="8">
                  <c:v>32.433554817275748</c:v>
                </c:pt>
                <c:pt idx="9">
                  <c:v>48.18181818181818</c:v>
                </c:pt>
                <c:pt idx="10">
                  <c:v>40.803108808290155</c:v>
                </c:pt>
                <c:pt idx="11">
                  <c:v>42.819599864360804</c:v>
                </c:pt>
                <c:pt idx="12">
                  <c:v>40.377027619465146</c:v>
                </c:pt>
                <c:pt idx="13">
                  <c:v>44.803580308304326</c:v>
                </c:pt>
                <c:pt idx="14">
                  <c:v>26.977678766435155</c:v>
                </c:pt>
                <c:pt idx="15">
                  <c:v>37.273991655076493</c:v>
                </c:pt>
                <c:pt idx="16">
                  <c:v>36.92118943121308</c:v>
                </c:pt>
              </c:numCache>
            </c:numRef>
          </c:val>
          <c:extLst>
            <c:ext xmlns:c16="http://schemas.microsoft.com/office/drawing/2014/chart" uri="{C3380CC4-5D6E-409C-BE32-E72D297353CC}">
              <c16:uniqueId val="{00000001-4FE2-45B6-ABFC-7630E694C156}"/>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A8AB-4335-8662-0886450E2E31}"/>
              </c:ext>
            </c:extLst>
          </c:dPt>
          <c:dPt>
            <c:idx val="24"/>
            <c:invertIfNegative val="0"/>
            <c:bubble3D val="0"/>
            <c:spPr>
              <a:solidFill>
                <a:srgbClr val="F9C624"/>
              </a:solidFill>
              <a:ln>
                <a:noFill/>
              </a:ln>
              <a:effectLst/>
            </c:spPr>
            <c:extLst>
              <c:ext xmlns:c16="http://schemas.microsoft.com/office/drawing/2014/chart" uri="{C3380CC4-5D6E-409C-BE32-E72D297353CC}">
                <c16:uniqueId val="{00000003-A8AB-4335-8662-0886450E2E31}"/>
              </c:ext>
            </c:extLst>
          </c:dPt>
          <c:dPt>
            <c:idx val="27"/>
            <c:invertIfNegative val="0"/>
            <c:bubble3D val="0"/>
            <c:extLst>
              <c:ext xmlns:c16="http://schemas.microsoft.com/office/drawing/2014/chart" uri="{C3380CC4-5D6E-409C-BE32-E72D297353CC}">
                <c16:uniqueId val="{00000005-A8AB-4335-8662-0886450E2E31}"/>
              </c:ext>
            </c:extLst>
          </c:dPt>
          <c:dLbls>
            <c:dLbl>
              <c:idx val="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FE15-5E48-A2F7-4216CB448EBE}"/>
                </c:ext>
              </c:extLst>
            </c:dLbl>
            <c:dLbl>
              <c:idx val="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FE15-5E48-A2F7-4216CB448EBE}"/>
                </c:ext>
              </c:extLst>
            </c:dLbl>
            <c:dLbl>
              <c:idx val="1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FE15-5E48-A2F7-4216CB448EBE}"/>
                </c:ext>
              </c:extLst>
            </c:dLbl>
            <c:dLbl>
              <c:idx val="1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FE15-5E48-A2F7-4216CB448EBE}"/>
                </c:ext>
              </c:extLst>
            </c:dLbl>
            <c:dLbl>
              <c:idx val="1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FE15-5E48-A2F7-4216CB448EBE}"/>
                </c:ext>
              </c:extLst>
            </c:dLbl>
            <c:dLbl>
              <c:idx val="2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FE15-5E48-A2F7-4216CB448EBE}"/>
                </c:ext>
              </c:extLst>
            </c:dLbl>
            <c:dLbl>
              <c:idx val="24"/>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A8AB-4335-8662-0886450E2E3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'3c.1 - ISCED 3'!$F$3:$F$27</c:f>
              <c:strCache>
                <c:ptCount val="25"/>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Luxembourg</c:v>
                </c:pt>
                <c:pt idx="14">
                  <c:v>Poland</c:v>
                </c:pt>
                <c:pt idx="15">
                  <c:v>Portugal</c:v>
                </c:pt>
                <c:pt idx="16">
                  <c:v>Slovakia</c:v>
                </c:pt>
                <c:pt idx="17">
                  <c:v>Slovenia</c:v>
                </c:pt>
                <c:pt idx="18">
                  <c:v>Spain</c:v>
                </c:pt>
                <c:pt idx="19">
                  <c:v>Sweden</c:v>
                </c:pt>
                <c:pt idx="20">
                  <c:v>UK (England)</c:v>
                </c:pt>
                <c:pt idx="21">
                  <c:v>UK (N. Ireland)</c:v>
                </c:pt>
                <c:pt idx="22">
                  <c:v>UK (Scotland)</c:v>
                </c:pt>
                <c:pt idx="23">
                  <c:v>UK (Wales)</c:v>
                </c:pt>
                <c:pt idx="24">
                  <c:v>Total average (24)</c:v>
                </c:pt>
              </c:strCache>
            </c:strRef>
          </c:cat>
          <c:val>
            <c:numRef>
              <c:f>'3c.1 - ISCED 3'!$G$3:$G$27</c:f>
              <c:numCache>
                <c:formatCode>0.00</c:formatCode>
                <c:ptCount val="25"/>
                <c:pt idx="0">
                  <c:v>45.827755466309682</c:v>
                </c:pt>
                <c:pt idx="1">
                  <c:v>66.685283440379777</c:v>
                </c:pt>
                <c:pt idx="2">
                  <c:v>64.234527687296421</c:v>
                </c:pt>
                <c:pt idx="3">
                  <c:v>85.80952380952381</c:v>
                </c:pt>
                <c:pt idx="4">
                  <c:v>62.546633505063063</c:v>
                </c:pt>
                <c:pt idx="5">
                  <c:v>65.116279069767444</c:v>
                </c:pt>
                <c:pt idx="6">
                  <c:v>63.210567300204765</c:v>
                </c:pt>
                <c:pt idx="7">
                  <c:v>62.140468227424748</c:v>
                </c:pt>
                <c:pt idx="8">
                  <c:v>94.33729634522237</c:v>
                </c:pt>
                <c:pt idx="9">
                  <c:v>65.58128431606589</c:v>
                </c:pt>
                <c:pt idx="10">
                  <c:v>69.607471917203085</c:v>
                </c:pt>
                <c:pt idx="11">
                  <c:v>99.675329601140888</c:v>
                </c:pt>
                <c:pt idx="12">
                  <c:v>46.202090592334493</c:v>
                </c:pt>
                <c:pt idx="13">
                  <c:v>40.591397849462361</c:v>
                </c:pt>
                <c:pt idx="14">
                  <c:v>30.971120929279927</c:v>
                </c:pt>
                <c:pt idx="15">
                  <c:v>78.358950829701001</c:v>
                </c:pt>
                <c:pt idx="16">
                  <c:v>66.768569776088569</c:v>
                </c:pt>
                <c:pt idx="17">
                  <c:v>100</c:v>
                </c:pt>
                <c:pt idx="18">
                  <c:v>100</c:v>
                </c:pt>
                <c:pt idx="19">
                  <c:v>0.60810810810810811</c:v>
                </c:pt>
                <c:pt idx="20">
                  <c:v>44.414228481243171</c:v>
                </c:pt>
                <c:pt idx="21">
                  <c:v>47.154471544715449</c:v>
                </c:pt>
                <c:pt idx="22">
                  <c:v>90.033728647590038</c:v>
                </c:pt>
                <c:pt idx="23">
                  <c:v>25.294117647058822</c:v>
                </c:pt>
                <c:pt idx="24">
                  <c:v>70.573687411311568</c:v>
                </c:pt>
              </c:numCache>
            </c:numRef>
          </c:val>
          <c:extLst>
            <c:ext xmlns:c16="http://schemas.microsoft.com/office/drawing/2014/chart" uri="{C3380CC4-5D6E-409C-BE32-E72D297353CC}">
              <c16:uniqueId val="{00000006-A8AB-4335-8662-0886450E2E31}"/>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437677655438302E-2"/>
          <c:y val="4.3014515012546509E-2"/>
          <c:w val="0.82460580912863068"/>
          <c:h val="0.91735136172882237"/>
        </c:manualLayout>
      </c:layout>
      <c:barChart>
        <c:barDir val="bar"/>
        <c:grouping val="clustered"/>
        <c:varyColors val="0"/>
        <c:ser>
          <c:idx val="0"/>
          <c:order val="0"/>
          <c:tx>
            <c:strRef>
              <c:f>Blad1!$I$2</c:f>
              <c:strCache>
                <c:ptCount val="1"/>
                <c:pt idx="0">
                  <c:v>Boys</c:v>
                </c:pt>
              </c:strCache>
            </c:strRef>
          </c:tx>
          <c:spPr>
            <a:solidFill>
              <a:srgbClr val="17255B"/>
            </a:solidFill>
            <a:ln>
              <a:noFill/>
            </a:ln>
            <a:effectLst/>
          </c:spPr>
          <c:invertIfNegative val="0"/>
          <c:dLbls>
            <c:dLbl>
              <c:idx val="8"/>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3485934590126437"/>
                      <c:h val="2.4645507052003114E-2"/>
                    </c:manualLayout>
                  </c15:layout>
                </c:ext>
                <c:ext xmlns:c16="http://schemas.microsoft.com/office/drawing/2014/chart" uri="{C3380CC4-5D6E-409C-BE32-E72D297353CC}">
                  <c16:uniqueId val="{00000001-BB46-A54C-8136-94C486B8C4E3}"/>
                </c:ext>
              </c:extLst>
            </c:dLbl>
            <c:dLbl>
              <c:idx val="17"/>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1483451498023329"/>
                      <c:h val="2.4645507052003114E-2"/>
                    </c:manualLayout>
                  </c15:layout>
                </c:ext>
                <c:ext xmlns:c16="http://schemas.microsoft.com/office/drawing/2014/chart" uri="{C3380CC4-5D6E-409C-BE32-E72D297353CC}">
                  <c16:uniqueId val="{00000000-BB46-A54C-8136-94C486B8C4E3}"/>
                </c:ext>
              </c:extLst>
            </c:dLbl>
            <c:dLbl>
              <c:idx val="23"/>
              <c:layout>
                <c:manualLayout>
                  <c:x val="-0.43983402489626555"/>
                  <c:y val="0"/>
                </c:manualLayout>
              </c:layout>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99F-FC4E-AF30-098A6FF44F5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Blad1!$H$3:$H$26</c:f>
              <c:strCache>
                <c:ptCount val="24"/>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Poland</c:v>
                </c:pt>
                <c:pt idx="14">
                  <c:v>Portugal</c:v>
                </c:pt>
                <c:pt idx="15">
                  <c:v>Slovakia</c:v>
                </c:pt>
                <c:pt idx="16">
                  <c:v>Slovenia</c:v>
                </c:pt>
                <c:pt idx="17">
                  <c:v>Spain</c:v>
                </c:pt>
                <c:pt idx="18">
                  <c:v>Sweden</c:v>
                </c:pt>
                <c:pt idx="19">
                  <c:v>UK (England)</c:v>
                </c:pt>
                <c:pt idx="20">
                  <c:v>UK (N. Ireland)</c:v>
                </c:pt>
                <c:pt idx="21">
                  <c:v>UK (Scotland)</c:v>
                </c:pt>
                <c:pt idx="22">
                  <c:v>UK (Wales)</c:v>
                </c:pt>
                <c:pt idx="23">
                  <c:v>Total average (23)</c:v>
                </c:pt>
              </c:strCache>
            </c:strRef>
          </c:cat>
          <c:val>
            <c:numRef>
              <c:f>Blad1!$I$3:$I$26</c:f>
              <c:numCache>
                <c:formatCode>0.00</c:formatCode>
                <c:ptCount val="24"/>
                <c:pt idx="0">
                  <c:v>26.952253458277553</c:v>
                </c:pt>
                <c:pt idx="1">
                  <c:v>49.204132923764313</c:v>
                </c:pt>
                <c:pt idx="2">
                  <c:v>39.066232356134634</c:v>
                </c:pt>
                <c:pt idx="3">
                  <c:v>59.047619047619051</c:v>
                </c:pt>
                <c:pt idx="4">
                  <c:v>41.375022206430984</c:v>
                </c:pt>
                <c:pt idx="5">
                  <c:v>31.007751937984494</c:v>
                </c:pt>
                <c:pt idx="6">
                  <c:v>43.87563810457705</c:v>
                </c:pt>
                <c:pt idx="7">
                  <c:v>40.769230769230766</c:v>
                </c:pt>
                <c:pt idx="8">
                  <c:v>65.750770585645085</c:v>
                </c:pt>
                <c:pt idx="9">
                  <c:v>44.244449749343516</c:v>
                </c:pt>
                <c:pt idx="10">
                  <c:v>47.406285497917452</c:v>
                </c:pt>
                <c:pt idx="11">
                  <c:v>66.615083519184381</c:v>
                </c:pt>
                <c:pt idx="12">
                  <c:v>26.89895470383275</c:v>
                </c:pt>
                <c:pt idx="13">
                  <c:v>18.737747608040493</c:v>
                </c:pt>
                <c:pt idx="14">
                  <c:v>46.532079223063391</c:v>
                </c:pt>
                <c:pt idx="15">
                  <c:v>46.980087581591341</c:v>
                </c:pt>
                <c:pt idx="16">
                  <c:v>61.26269667396933</c:v>
                </c:pt>
                <c:pt idx="17">
                  <c:v>68.23146754696829</c:v>
                </c:pt>
                <c:pt idx="18">
                  <c:v>0.35472972972972977</c:v>
                </c:pt>
                <c:pt idx="19">
                  <c:v>32.944033021731215</c:v>
                </c:pt>
                <c:pt idx="20">
                  <c:v>32.742054693274206</c:v>
                </c:pt>
                <c:pt idx="21">
                  <c:v>50.957458383200958</c:v>
                </c:pt>
                <c:pt idx="22">
                  <c:v>18.088235294117645</c:v>
                </c:pt>
                <c:pt idx="23">
                  <c:v>47.078895337712865</c:v>
                </c:pt>
              </c:numCache>
            </c:numRef>
          </c:val>
          <c:extLst>
            <c:ext xmlns:c16="http://schemas.microsoft.com/office/drawing/2014/chart" uri="{C3380CC4-5D6E-409C-BE32-E72D297353CC}">
              <c16:uniqueId val="{00000000-C88A-4D3D-870D-B8BED6F3542A}"/>
            </c:ext>
          </c:extLst>
        </c:ser>
        <c:ser>
          <c:idx val="1"/>
          <c:order val="1"/>
          <c:tx>
            <c:strRef>
              <c:f>Blad1!$J$2</c:f>
              <c:strCache>
                <c:ptCount val="1"/>
                <c:pt idx="0">
                  <c:v>Girls</c:v>
                </c:pt>
              </c:strCache>
            </c:strRef>
          </c:tx>
          <c:spPr>
            <a:solidFill>
              <a:srgbClr val="F9C624"/>
            </a:solidFill>
            <a:ln>
              <a:noFill/>
            </a:ln>
            <a:effectLst/>
          </c:spPr>
          <c:invertIfNegative val="0"/>
          <c:dLbls>
            <c:dLbl>
              <c:idx val="23"/>
              <c:layout>
                <c:manualLayout>
                  <c:x val="-0.13278008298755187"/>
                  <c:y val="-1.717032967032967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99F-FC4E-AF30-098A6FF44F5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Blad1!$H$3:$H$26</c:f>
              <c:strCache>
                <c:ptCount val="24"/>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Poland</c:v>
                </c:pt>
                <c:pt idx="14">
                  <c:v>Portugal</c:v>
                </c:pt>
                <c:pt idx="15">
                  <c:v>Slovakia</c:v>
                </c:pt>
                <c:pt idx="16">
                  <c:v>Slovenia</c:v>
                </c:pt>
                <c:pt idx="17">
                  <c:v>Spain</c:v>
                </c:pt>
                <c:pt idx="18">
                  <c:v>Sweden</c:v>
                </c:pt>
                <c:pt idx="19">
                  <c:v>UK (England)</c:v>
                </c:pt>
                <c:pt idx="20">
                  <c:v>UK (N. Ireland)</c:v>
                </c:pt>
                <c:pt idx="21">
                  <c:v>UK (Scotland)</c:v>
                </c:pt>
                <c:pt idx="22">
                  <c:v>UK (Wales)</c:v>
                </c:pt>
                <c:pt idx="23">
                  <c:v>Total average (23)</c:v>
                </c:pt>
              </c:strCache>
            </c:strRef>
          </c:cat>
          <c:val>
            <c:numRef>
              <c:f>Blad1!$J$3:$J$26</c:f>
              <c:numCache>
                <c:formatCode>0.00</c:formatCode>
                <c:ptCount val="24"/>
                <c:pt idx="0">
                  <c:v>18.875502008032129</c:v>
                </c:pt>
                <c:pt idx="1">
                  <c:v>17.481150516615472</c:v>
                </c:pt>
                <c:pt idx="2">
                  <c:v>25.168295331161783</c:v>
                </c:pt>
                <c:pt idx="3">
                  <c:v>26.761904761904766</c:v>
                </c:pt>
                <c:pt idx="4">
                  <c:v>21.171611298632083</c:v>
                </c:pt>
                <c:pt idx="5">
                  <c:v>34.108527131782942</c:v>
                </c:pt>
                <c:pt idx="6">
                  <c:v>19.334929195627723</c:v>
                </c:pt>
                <c:pt idx="7">
                  <c:v>21.371237458193981</c:v>
                </c:pt>
                <c:pt idx="8">
                  <c:v>28.586525759577281</c:v>
                </c:pt>
                <c:pt idx="9">
                  <c:v>21.336834566722366</c:v>
                </c:pt>
                <c:pt idx="10">
                  <c:v>22.201186419285623</c:v>
                </c:pt>
                <c:pt idx="11">
                  <c:v>33.060246081956521</c:v>
                </c:pt>
                <c:pt idx="12">
                  <c:v>19.303135888501743</c:v>
                </c:pt>
                <c:pt idx="13">
                  <c:v>12.23337332123943</c:v>
                </c:pt>
                <c:pt idx="14">
                  <c:v>31.826871606637607</c:v>
                </c:pt>
                <c:pt idx="15">
                  <c:v>19.788482194497231</c:v>
                </c:pt>
                <c:pt idx="16">
                  <c:v>38.73730332603067</c:v>
                </c:pt>
                <c:pt idx="17">
                  <c:v>31.7685324530317</c:v>
                </c:pt>
                <c:pt idx="18">
                  <c:v>0.2533783783783784</c:v>
                </c:pt>
                <c:pt idx="19">
                  <c:v>11.47019545951196</c:v>
                </c:pt>
                <c:pt idx="20">
                  <c:v>14.412416851441243</c:v>
                </c:pt>
                <c:pt idx="21">
                  <c:v>39.076270264389073</c:v>
                </c:pt>
                <c:pt idx="22">
                  <c:v>7.2058823529411757</c:v>
                </c:pt>
                <c:pt idx="23">
                  <c:v>23.527126614058176</c:v>
                </c:pt>
              </c:numCache>
            </c:numRef>
          </c:val>
          <c:extLst>
            <c:ext xmlns:c16="http://schemas.microsoft.com/office/drawing/2014/chart" uri="{C3380CC4-5D6E-409C-BE32-E72D297353CC}">
              <c16:uniqueId val="{00000001-C88A-4D3D-870D-B8BED6F3542A}"/>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266999233791424E-2"/>
          <c:y val="4.3173896670929919E-2"/>
          <c:w val="0.82496894409937893"/>
          <c:h val="0.91532172868740391"/>
        </c:manualLayout>
      </c:layout>
      <c:barChart>
        <c:barDir val="bar"/>
        <c:grouping val="clustered"/>
        <c:varyColors val="0"/>
        <c:ser>
          <c:idx val="0"/>
          <c:order val="0"/>
          <c:tx>
            <c:strRef>
              <c:f>Blad1!$L$2</c:f>
              <c:strCache>
                <c:ptCount val="1"/>
                <c:pt idx="0">
                  <c:v>Boys</c:v>
                </c:pt>
              </c:strCache>
            </c:strRef>
          </c:tx>
          <c:spPr>
            <a:solidFill>
              <a:srgbClr val="17255B"/>
            </a:solidFill>
            <a:ln>
              <a:noFill/>
            </a:ln>
            <a:effectLst/>
          </c:spPr>
          <c:invertIfNegative val="0"/>
          <c:dLbls>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DFEE-724A-9B65-A492AA59C89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Blad1!$K$3:$K$26</c:f>
              <c:strCache>
                <c:ptCount val="24"/>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Poland</c:v>
                </c:pt>
                <c:pt idx="14">
                  <c:v>Portugal</c:v>
                </c:pt>
                <c:pt idx="15">
                  <c:v>Slovakia</c:v>
                </c:pt>
                <c:pt idx="16">
                  <c:v>Slovenia</c:v>
                </c:pt>
                <c:pt idx="17">
                  <c:v>Spain</c:v>
                </c:pt>
                <c:pt idx="18">
                  <c:v>Sweden</c:v>
                </c:pt>
                <c:pt idx="19">
                  <c:v>UK (England)</c:v>
                </c:pt>
                <c:pt idx="20">
                  <c:v>UK (N. Ireland)</c:v>
                </c:pt>
                <c:pt idx="21">
                  <c:v>UK (Scotland)</c:v>
                </c:pt>
                <c:pt idx="22">
                  <c:v>UK (Wales)</c:v>
                </c:pt>
                <c:pt idx="23">
                  <c:v>Total average (23)</c:v>
                </c:pt>
              </c:strCache>
            </c:strRef>
          </c:cat>
          <c:val>
            <c:numRef>
              <c:f>Blad1!$L$3:$L$26</c:f>
              <c:numCache>
                <c:formatCode>0.00</c:formatCode>
                <c:ptCount val="24"/>
                <c:pt idx="0">
                  <c:v>58.812074001947423</c:v>
                </c:pt>
                <c:pt idx="1">
                  <c:v>73.785594639865991</c:v>
                </c:pt>
                <c:pt idx="2">
                  <c:v>60.81812035158891</c:v>
                </c:pt>
                <c:pt idx="3">
                  <c:v>68.812430632630409</c:v>
                </c:pt>
                <c:pt idx="4">
                  <c:v>66.150678122559114</c:v>
                </c:pt>
                <c:pt idx="5">
                  <c:v>47.619047619047613</c:v>
                </c:pt>
                <c:pt idx="6">
                  <c:v>69.411872062782322</c:v>
                </c:pt>
                <c:pt idx="7">
                  <c:v>65.608180839612487</c:v>
                </c:pt>
                <c:pt idx="8">
                  <c:v>69.697535474234513</c:v>
                </c:pt>
                <c:pt idx="9">
                  <c:v>67.465055329062324</c:v>
                </c:pt>
                <c:pt idx="10">
                  <c:v>68.105167724388025</c:v>
                </c:pt>
                <c:pt idx="11">
                  <c:v>66.832067459169849</c:v>
                </c:pt>
                <c:pt idx="12">
                  <c:v>58.220211161387638</c:v>
                </c:pt>
                <c:pt idx="13">
                  <c:v>60.50070854983467</c:v>
                </c:pt>
                <c:pt idx="14">
                  <c:v>59.383234117302628</c:v>
                </c:pt>
                <c:pt idx="15">
                  <c:v>70.362578888751386</c:v>
                </c:pt>
                <c:pt idx="16">
                  <c:v>61.26269667396933</c:v>
                </c:pt>
                <c:pt idx="17">
                  <c:v>68.23146754696829</c:v>
                </c:pt>
                <c:pt idx="18">
                  <c:v>58.333333333333336</c:v>
                </c:pt>
                <c:pt idx="19">
                  <c:v>74.174502514760547</c:v>
                </c:pt>
                <c:pt idx="20">
                  <c:v>69.435736677115983</c:v>
                </c:pt>
                <c:pt idx="21">
                  <c:v>56.598187311178251</c:v>
                </c:pt>
                <c:pt idx="22">
                  <c:v>71.511627906976756</c:v>
                </c:pt>
                <c:pt idx="23">
                  <c:v>66.678300287008256</c:v>
                </c:pt>
              </c:numCache>
            </c:numRef>
          </c:val>
          <c:extLst>
            <c:ext xmlns:c16="http://schemas.microsoft.com/office/drawing/2014/chart" uri="{C3380CC4-5D6E-409C-BE32-E72D297353CC}">
              <c16:uniqueId val="{00000000-5B2B-4E51-A63C-BB996D60D636}"/>
            </c:ext>
          </c:extLst>
        </c:ser>
        <c:ser>
          <c:idx val="1"/>
          <c:order val="1"/>
          <c:tx>
            <c:strRef>
              <c:f>Blad1!$M$2</c:f>
              <c:strCache>
                <c:ptCount val="1"/>
                <c:pt idx="0">
                  <c:v>Girls</c:v>
                </c:pt>
              </c:strCache>
            </c:strRef>
          </c:tx>
          <c:spPr>
            <a:solidFill>
              <a:srgbClr val="F9C624"/>
            </a:solidFill>
            <a:ln>
              <a:noFill/>
            </a:ln>
            <a:effectLst/>
          </c:spPr>
          <c:invertIfNegative val="0"/>
          <c:dLbls>
            <c:dLbl>
              <c:idx val="2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DFEE-724A-9B65-A492AA59C89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Blad1!$K$3:$K$26</c:f>
              <c:strCache>
                <c:ptCount val="24"/>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Poland</c:v>
                </c:pt>
                <c:pt idx="14">
                  <c:v>Portugal</c:v>
                </c:pt>
                <c:pt idx="15">
                  <c:v>Slovakia</c:v>
                </c:pt>
                <c:pt idx="16">
                  <c:v>Slovenia</c:v>
                </c:pt>
                <c:pt idx="17">
                  <c:v>Spain</c:v>
                </c:pt>
                <c:pt idx="18">
                  <c:v>Sweden</c:v>
                </c:pt>
                <c:pt idx="19">
                  <c:v>UK (England)</c:v>
                </c:pt>
                <c:pt idx="20">
                  <c:v>UK (N. Ireland)</c:v>
                </c:pt>
                <c:pt idx="21">
                  <c:v>UK (Scotland)</c:v>
                </c:pt>
                <c:pt idx="22">
                  <c:v>UK (Wales)</c:v>
                </c:pt>
                <c:pt idx="23">
                  <c:v>Total average (23)</c:v>
                </c:pt>
              </c:strCache>
            </c:strRef>
          </c:cat>
          <c:val>
            <c:numRef>
              <c:f>Blad1!$M$3:$M$26</c:f>
              <c:numCache>
                <c:formatCode>0.00</c:formatCode>
                <c:ptCount val="24"/>
                <c:pt idx="0">
                  <c:v>41.187925998052584</c:v>
                </c:pt>
                <c:pt idx="1">
                  <c:v>26.214405360134002</c:v>
                </c:pt>
                <c:pt idx="2">
                  <c:v>39.18187964841109</c:v>
                </c:pt>
                <c:pt idx="3">
                  <c:v>31.187569367369587</c:v>
                </c:pt>
                <c:pt idx="4">
                  <c:v>33.849321877440886</c:v>
                </c:pt>
                <c:pt idx="5">
                  <c:v>52.380952380952387</c:v>
                </c:pt>
                <c:pt idx="6">
                  <c:v>30.588127937217685</c:v>
                </c:pt>
                <c:pt idx="7">
                  <c:v>34.391819160387513</c:v>
                </c:pt>
                <c:pt idx="8">
                  <c:v>30.302464525765497</c:v>
                </c:pt>
                <c:pt idx="9">
                  <c:v>32.534944670937683</c:v>
                </c:pt>
                <c:pt idx="10">
                  <c:v>31.894832275611968</c:v>
                </c:pt>
                <c:pt idx="11">
                  <c:v>33.167932540830151</c:v>
                </c:pt>
                <c:pt idx="12">
                  <c:v>41.779788838612369</c:v>
                </c:pt>
                <c:pt idx="13">
                  <c:v>39.49929145016533</c:v>
                </c:pt>
                <c:pt idx="14">
                  <c:v>40.616765882697372</c:v>
                </c:pt>
                <c:pt idx="15">
                  <c:v>29.637421111248607</c:v>
                </c:pt>
                <c:pt idx="16">
                  <c:v>38.73730332603067</c:v>
                </c:pt>
                <c:pt idx="17">
                  <c:v>31.7685324530317</c:v>
                </c:pt>
                <c:pt idx="18">
                  <c:v>41.666666666666671</c:v>
                </c:pt>
                <c:pt idx="19">
                  <c:v>25.825497485239453</c:v>
                </c:pt>
                <c:pt idx="20">
                  <c:v>30.56426332288401</c:v>
                </c:pt>
                <c:pt idx="21">
                  <c:v>43.401812688821749</c:v>
                </c:pt>
                <c:pt idx="22">
                  <c:v>28.488372093023255</c:v>
                </c:pt>
                <c:pt idx="23">
                  <c:v>33.321699712991744</c:v>
                </c:pt>
              </c:numCache>
            </c:numRef>
          </c:val>
          <c:extLst>
            <c:ext xmlns:c16="http://schemas.microsoft.com/office/drawing/2014/chart" uri="{C3380CC4-5D6E-409C-BE32-E72D297353CC}">
              <c16:uniqueId val="{00000001-5B2B-4E51-A63C-BB996D60D636}"/>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6"/>
            <c:invertIfNegative val="0"/>
            <c:bubble3D val="0"/>
            <c:spPr>
              <a:solidFill>
                <a:srgbClr val="F9C624"/>
              </a:solidFill>
              <a:ln>
                <a:noFill/>
              </a:ln>
              <a:effectLst/>
            </c:spPr>
            <c:extLst>
              <c:ext xmlns:c16="http://schemas.microsoft.com/office/drawing/2014/chart" uri="{C3380CC4-5D6E-409C-BE32-E72D297353CC}">
                <c16:uniqueId val="{00000001-B356-40E1-BCA7-7921AA3A5A66}"/>
              </c:ext>
            </c:extLst>
          </c:dPt>
          <c:dPt>
            <c:idx val="20"/>
            <c:invertIfNegative val="0"/>
            <c:bubble3D val="0"/>
            <c:extLst>
              <c:ext xmlns:c16="http://schemas.microsoft.com/office/drawing/2014/chart" uri="{C3380CC4-5D6E-409C-BE32-E72D297353CC}">
                <c16:uniqueId val="{00000003-B356-40E1-BCA7-7921AA3A5A66}"/>
              </c:ext>
            </c:extLst>
          </c:dPt>
          <c:dPt>
            <c:idx val="27"/>
            <c:invertIfNegative val="0"/>
            <c:bubble3D val="0"/>
            <c:extLst>
              <c:ext xmlns:c16="http://schemas.microsoft.com/office/drawing/2014/chart" uri="{C3380CC4-5D6E-409C-BE32-E72D297353CC}">
                <c16:uniqueId val="{00000005-B356-40E1-BCA7-7921AA3A5A66}"/>
              </c:ext>
            </c:extLst>
          </c:dPt>
          <c:dLbls>
            <c:dLbl>
              <c:idx val="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AE3E-5D4C-89F5-1A6DCAFF17C2}"/>
                </c:ext>
              </c:extLst>
            </c:dLbl>
            <c:dLbl>
              <c:idx val="1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AE3E-5D4C-89F5-1A6DCAFF17C2}"/>
                </c:ext>
              </c:extLst>
            </c:dLbl>
            <c:dLbl>
              <c:idx val="1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B356-40E1-BCA7-7921AA3A5A6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'3c.2 - ISCED 3'!$F$3:$F$19</c:f>
              <c:strCache>
                <c:ptCount val="17"/>
                <c:pt idx="0">
                  <c:v>Bulgaria</c:v>
                </c:pt>
                <c:pt idx="1">
                  <c:v>Cyprus</c:v>
                </c:pt>
                <c:pt idx="2">
                  <c:v>Czech Republic</c:v>
                </c:pt>
                <c:pt idx="3">
                  <c:v>Estonia</c:v>
                </c:pt>
                <c:pt idx="4">
                  <c:v>France</c:v>
                </c:pt>
                <c:pt idx="5">
                  <c:v>Greece</c:v>
                </c:pt>
                <c:pt idx="6">
                  <c:v>Hungary</c:v>
                </c:pt>
                <c:pt idx="7">
                  <c:v>Ireland</c:v>
                </c:pt>
                <c:pt idx="8">
                  <c:v>Latvia</c:v>
                </c:pt>
                <c:pt idx="9">
                  <c:v>Lithuania</c:v>
                </c:pt>
                <c:pt idx="10">
                  <c:v>Luxembourg</c:v>
                </c:pt>
                <c:pt idx="11">
                  <c:v>Poland</c:v>
                </c:pt>
                <c:pt idx="12">
                  <c:v>Portugal</c:v>
                </c:pt>
                <c:pt idx="13">
                  <c:v>Slovakia</c:v>
                </c:pt>
                <c:pt idx="14">
                  <c:v>UK (England)</c:v>
                </c:pt>
                <c:pt idx="15">
                  <c:v>UK (N. Ireland)</c:v>
                </c:pt>
                <c:pt idx="16">
                  <c:v>Total average (16)</c:v>
                </c:pt>
              </c:strCache>
            </c:strRef>
          </c:cat>
          <c:val>
            <c:numRef>
              <c:f>'3c.2 - ISCED 3'!$G$3:$G$19</c:f>
              <c:numCache>
                <c:formatCode>0.00</c:formatCode>
                <c:ptCount val="17"/>
                <c:pt idx="0">
                  <c:v>10.206297502714442</c:v>
                </c:pt>
                <c:pt idx="1">
                  <c:v>7.9523809523809526</c:v>
                </c:pt>
                <c:pt idx="2">
                  <c:v>19.634926274649139</c:v>
                </c:pt>
                <c:pt idx="3">
                  <c:v>1.5503875968992249</c:v>
                </c:pt>
                <c:pt idx="4">
                  <c:v>16.298615128109155</c:v>
                </c:pt>
                <c:pt idx="5">
                  <c:v>0.50198150594451785</c:v>
                </c:pt>
                <c:pt idx="6">
                  <c:v>34.418715683934117</c:v>
                </c:pt>
                <c:pt idx="7">
                  <c:v>8.7340653792755276</c:v>
                </c:pt>
                <c:pt idx="8">
                  <c:v>18.918918918918919</c:v>
                </c:pt>
                <c:pt idx="9">
                  <c:v>13.379790940766551</c:v>
                </c:pt>
                <c:pt idx="10">
                  <c:v>27.1505376344086</c:v>
                </c:pt>
                <c:pt idx="11">
                  <c:v>0.5910407584047751</c:v>
                </c:pt>
                <c:pt idx="12">
                  <c:v>21.641049170298999</c:v>
                </c:pt>
                <c:pt idx="13">
                  <c:v>0.80145418491283149</c:v>
                </c:pt>
                <c:pt idx="14">
                  <c:v>3.0715066164865847</c:v>
                </c:pt>
                <c:pt idx="15">
                  <c:v>0.51736881005173685</c:v>
                </c:pt>
                <c:pt idx="16">
                  <c:v>10.544996030448793</c:v>
                </c:pt>
              </c:numCache>
            </c:numRef>
          </c:val>
          <c:extLst>
            <c:ext xmlns:c16="http://schemas.microsoft.com/office/drawing/2014/chart" uri="{C3380CC4-5D6E-409C-BE32-E72D297353CC}">
              <c16:uniqueId val="{00000006-B356-40E1-BCA7-7921AA3A5A66}"/>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3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Blad1!$I$2</c:f>
              <c:strCache>
                <c:ptCount val="1"/>
                <c:pt idx="0">
                  <c:v>Boys</c:v>
                </c:pt>
              </c:strCache>
            </c:strRef>
          </c:tx>
          <c:spPr>
            <a:solidFill>
              <a:srgbClr val="17255B"/>
            </a:solidFill>
            <a:ln>
              <a:noFill/>
            </a:ln>
            <a:effectLst/>
          </c:spPr>
          <c:invertIfNegative val="0"/>
          <c:dLbls>
            <c:dLbl>
              <c:idx val="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A8F3-7243-9CF7-C73A7437EBE9}"/>
                </c:ext>
              </c:extLst>
            </c:dLbl>
            <c:dLbl>
              <c:idx val="15"/>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A8F3-7243-9CF7-C73A7437EBE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Blad1!$H$3:$H$18</c:f>
              <c:strCache>
                <c:ptCount val="16"/>
                <c:pt idx="0">
                  <c:v>Bulgaria</c:v>
                </c:pt>
                <c:pt idx="1">
                  <c:v>Cyprus</c:v>
                </c:pt>
                <c:pt idx="2">
                  <c:v>Czech Republic</c:v>
                </c:pt>
                <c:pt idx="3">
                  <c:v>Estonia</c:v>
                </c:pt>
                <c:pt idx="4">
                  <c:v>France</c:v>
                </c:pt>
                <c:pt idx="5">
                  <c:v>Greece</c:v>
                </c:pt>
                <c:pt idx="6">
                  <c:v>Hungary</c:v>
                </c:pt>
                <c:pt idx="7">
                  <c:v>Ireland</c:v>
                </c:pt>
                <c:pt idx="8">
                  <c:v>Latvia</c:v>
                </c:pt>
                <c:pt idx="9">
                  <c:v>Lithuania</c:v>
                </c:pt>
                <c:pt idx="10">
                  <c:v>Poland</c:v>
                </c:pt>
                <c:pt idx="11">
                  <c:v>Portugal</c:v>
                </c:pt>
                <c:pt idx="12">
                  <c:v>Slovakia</c:v>
                </c:pt>
                <c:pt idx="13">
                  <c:v>UK (England)</c:v>
                </c:pt>
                <c:pt idx="14">
                  <c:v>UK (N. Ireland)</c:v>
                </c:pt>
                <c:pt idx="15">
                  <c:v>Total average (15)</c:v>
                </c:pt>
              </c:strCache>
            </c:strRef>
          </c:cat>
          <c:val>
            <c:numRef>
              <c:f>Blad1!$I$3:$I$18</c:f>
              <c:numCache>
                <c:formatCode>0.00</c:formatCode>
                <c:ptCount val="16"/>
                <c:pt idx="0">
                  <c:v>6.6015200868621058</c:v>
                </c:pt>
                <c:pt idx="1">
                  <c:v>4.0952380952380958</c:v>
                </c:pt>
                <c:pt idx="2">
                  <c:v>12.01812044768165</c:v>
                </c:pt>
                <c:pt idx="3">
                  <c:v>0</c:v>
                </c:pt>
                <c:pt idx="4">
                  <c:v>9.7077137704583336</c:v>
                </c:pt>
                <c:pt idx="5">
                  <c:v>0.24658740642888596</c:v>
                </c:pt>
                <c:pt idx="6">
                  <c:v>20.210074003342086</c:v>
                </c:pt>
                <c:pt idx="7">
                  <c:v>6.8029786696958219</c:v>
                </c:pt>
                <c:pt idx="8">
                  <c:v>9.9099099099099099</c:v>
                </c:pt>
                <c:pt idx="9">
                  <c:v>7.8745644599303137</c:v>
                </c:pt>
                <c:pt idx="10">
                  <c:v>0.38915059835561927</c:v>
                </c:pt>
                <c:pt idx="11">
                  <c:v>12.701689990058881</c:v>
                </c:pt>
                <c:pt idx="12">
                  <c:v>0.41312071387259358</c:v>
                </c:pt>
                <c:pt idx="13">
                  <c:v>2.221682651450771</c:v>
                </c:pt>
                <c:pt idx="14">
                  <c:v>0.22172949002217296</c:v>
                </c:pt>
                <c:pt idx="15">
                  <c:v>6.3918075580796971</c:v>
                </c:pt>
              </c:numCache>
            </c:numRef>
          </c:val>
          <c:extLst>
            <c:ext xmlns:c16="http://schemas.microsoft.com/office/drawing/2014/chart" uri="{C3380CC4-5D6E-409C-BE32-E72D297353CC}">
              <c16:uniqueId val="{00000000-1EE8-4017-9D79-F4277E0A1C4F}"/>
            </c:ext>
          </c:extLst>
        </c:ser>
        <c:ser>
          <c:idx val="1"/>
          <c:order val="1"/>
          <c:tx>
            <c:strRef>
              <c:f>Blad1!$J$2</c:f>
              <c:strCache>
                <c:ptCount val="1"/>
                <c:pt idx="0">
                  <c:v>Girls</c:v>
                </c:pt>
              </c:strCache>
            </c:strRef>
          </c:tx>
          <c:spPr>
            <a:solidFill>
              <a:srgbClr val="F9C624"/>
            </a:solidFill>
            <a:ln>
              <a:noFill/>
            </a:ln>
            <a:effectLst/>
          </c:spPr>
          <c:invertIfNegative val="0"/>
          <c:dLbls>
            <c:dLbl>
              <c:idx val="6"/>
              <c:layout>
                <c:manualLayout>
                  <c:x val="-0.1286307053941908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82-364C-B0C3-CEE049D134DD}"/>
                </c:ext>
              </c:extLst>
            </c:dLbl>
            <c:dLbl>
              <c:idx val="15"/>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2-A8F3-7243-9CF7-C73A7437EBE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Blad1!$H$3:$H$18</c:f>
              <c:strCache>
                <c:ptCount val="16"/>
                <c:pt idx="0">
                  <c:v>Bulgaria</c:v>
                </c:pt>
                <c:pt idx="1">
                  <c:v>Cyprus</c:v>
                </c:pt>
                <c:pt idx="2">
                  <c:v>Czech Republic</c:v>
                </c:pt>
                <c:pt idx="3">
                  <c:v>Estonia</c:v>
                </c:pt>
                <c:pt idx="4">
                  <c:v>France</c:v>
                </c:pt>
                <c:pt idx="5">
                  <c:v>Greece</c:v>
                </c:pt>
                <c:pt idx="6">
                  <c:v>Hungary</c:v>
                </c:pt>
                <c:pt idx="7">
                  <c:v>Ireland</c:v>
                </c:pt>
                <c:pt idx="8">
                  <c:v>Latvia</c:v>
                </c:pt>
                <c:pt idx="9">
                  <c:v>Lithuania</c:v>
                </c:pt>
                <c:pt idx="10">
                  <c:v>Poland</c:v>
                </c:pt>
                <c:pt idx="11">
                  <c:v>Portugal</c:v>
                </c:pt>
                <c:pt idx="12">
                  <c:v>Slovakia</c:v>
                </c:pt>
                <c:pt idx="13">
                  <c:v>UK (England)</c:v>
                </c:pt>
                <c:pt idx="14">
                  <c:v>UK (N. Ireland)</c:v>
                </c:pt>
                <c:pt idx="15">
                  <c:v>Total average (15)</c:v>
                </c:pt>
              </c:strCache>
            </c:strRef>
          </c:cat>
          <c:val>
            <c:numRef>
              <c:f>Blad1!$J$3:$J$18</c:f>
              <c:numCache>
                <c:formatCode>0.00</c:formatCode>
                <c:ptCount val="16"/>
                <c:pt idx="0">
                  <c:v>3.6047774158523347</c:v>
                </c:pt>
                <c:pt idx="1">
                  <c:v>3.8571428571428568</c:v>
                </c:pt>
                <c:pt idx="2">
                  <c:v>7.6168058269674903</c:v>
                </c:pt>
                <c:pt idx="3">
                  <c:v>1.5503875968992249</c:v>
                </c:pt>
                <c:pt idx="4">
                  <c:v>6.5909013576508215</c:v>
                </c:pt>
                <c:pt idx="5">
                  <c:v>0.25539409951563186</c:v>
                </c:pt>
                <c:pt idx="6">
                  <c:v>14.208641680592027</c:v>
                </c:pt>
                <c:pt idx="7">
                  <c:v>1.9310867095797046</c:v>
                </c:pt>
                <c:pt idx="8">
                  <c:v>9.0090090090090094</c:v>
                </c:pt>
                <c:pt idx="9">
                  <c:v>5.505226480836237</c:v>
                </c:pt>
                <c:pt idx="10">
                  <c:v>0.20189016004915589</c:v>
                </c:pt>
                <c:pt idx="11">
                  <c:v>8.9393591802401176</c:v>
                </c:pt>
                <c:pt idx="12">
                  <c:v>0.38833347104023797</c:v>
                </c:pt>
                <c:pt idx="13">
                  <c:v>0.84982396503581403</c:v>
                </c:pt>
                <c:pt idx="14">
                  <c:v>0.29563932002956395</c:v>
                </c:pt>
                <c:pt idx="15">
                  <c:v>4.1242900850494486</c:v>
                </c:pt>
              </c:numCache>
            </c:numRef>
          </c:val>
          <c:extLst>
            <c:ext xmlns:c16="http://schemas.microsoft.com/office/drawing/2014/chart" uri="{C3380CC4-5D6E-409C-BE32-E72D297353CC}">
              <c16:uniqueId val="{00000001-1EE8-4017-9D79-F4277E0A1C4F}"/>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22"/>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Blad1!$L$2</c:f>
              <c:strCache>
                <c:ptCount val="1"/>
                <c:pt idx="0">
                  <c:v>Boys</c:v>
                </c:pt>
              </c:strCache>
            </c:strRef>
          </c:tx>
          <c:spPr>
            <a:solidFill>
              <a:srgbClr val="17255B"/>
            </a:solidFill>
            <a:ln>
              <a:noFill/>
            </a:ln>
            <a:effectLst/>
          </c:spPr>
          <c:invertIfNegative val="0"/>
          <c:dLbls>
            <c:dLbl>
              <c:idx val="13"/>
              <c:layout>
                <c:manualLayout>
                  <c:x val="-0.33750000000000008"/>
                  <c:y val="1.2700465221717208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01F9-564E-ADD2-F680B243B2D8}"/>
                </c:ext>
              </c:extLst>
            </c:dLbl>
            <c:dLbl>
              <c:idx val="15"/>
              <c:layout>
                <c:manualLayout>
                  <c:x val="-0.43333333333333335"/>
                  <c:y val="1.3637020705515665E-7"/>
                </c:manualLayout>
              </c:layout>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B49D-6349-978E-0142785450A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Blad1!$K$3:$K$18</c:f>
              <c:strCache>
                <c:ptCount val="16"/>
                <c:pt idx="0">
                  <c:v>Bulgaria</c:v>
                </c:pt>
                <c:pt idx="1">
                  <c:v>Cyprus</c:v>
                </c:pt>
                <c:pt idx="2">
                  <c:v>Czech Republic</c:v>
                </c:pt>
                <c:pt idx="3">
                  <c:v>Estonia</c:v>
                </c:pt>
                <c:pt idx="4">
                  <c:v>France</c:v>
                </c:pt>
                <c:pt idx="5">
                  <c:v>Greece</c:v>
                </c:pt>
                <c:pt idx="6">
                  <c:v>Hungary</c:v>
                </c:pt>
                <c:pt idx="7">
                  <c:v>Ireland</c:v>
                </c:pt>
                <c:pt idx="8">
                  <c:v>Latvia</c:v>
                </c:pt>
                <c:pt idx="9">
                  <c:v>Lithuania</c:v>
                </c:pt>
                <c:pt idx="10">
                  <c:v>Poland</c:v>
                </c:pt>
                <c:pt idx="11">
                  <c:v>Portugal</c:v>
                </c:pt>
                <c:pt idx="12">
                  <c:v>Slovakia</c:v>
                </c:pt>
                <c:pt idx="13">
                  <c:v>UK (England)</c:v>
                </c:pt>
                <c:pt idx="14">
                  <c:v>UK (N. Ireland)</c:v>
                </c:pt>
                <c:pt idx="15">
                  <c:v>Total average (15)</c:v>
                </c:pt>
              </c:strCache>
            </c:strRef>
          </c:cat>
          <c:val>
            <c:numRef>
              <c:f>Blad1!$L$3:$L$18</c:f>
              <c:numCache>
                <c:formatCode>0.00</c:formatCode>
                <c:ptCount val="16"/>
                <c:pt idx="0">
                  <c:v>64.680851063829792</c:v>
                </c:pt>
                <c:pt idx="1">
                  <c:v>51.49700598802395</c:v>
                </c:pt>
                <c:pt idx="2">
                  <c:v>61.207871522280023</c:v>
                </c:pt>
                <c:pt idx="3">
                  <c:v>0</c:v>
                </c:pt>
                <c:pt idx="4">
                  <c:v>59.561586638830896</c:v>
                </c:pt>
                <c:pt idx="5">
                  <c:v>49.122807017543856</c:v>
                </c:pt>
                <c:pt idx="6">
                  <c:v>58.718268830628382</c:v>
                </c:pt>
                <c:pt idx="7">
                  <c:v>77.890173410404628</c:v>
                </c:pt>
                <c:pt idx="8">
                  <c:v>52.380952380952387</c:v>
                </c:pt>
                <c:pt idx="9">
                  <c:v>58.854166666666664</c:v>
                </c:pt>
                <c:pt idx="10">
                  <c:v>65.841584158415841</c:v>
                </c:pt>
                <c:pt idx="11">
                  <c:v>58.692579505300358</c:v>
                </c:pt>
                <c:pt idx="12">
                  <c:v>51.546391752577314</c:v>
                </c:pt>
                <c:pt idx="13">
                  <c:v>72.332015810276687</c:v>
                </c:pt>
                <c:pt idx="14">
                  <c:v>42.857142857142854</c:v>
                </c:pt>
                <c:pt idx="15">
                  <c:v>60.78117353974821</c:v>
                </c:pt>
              </c:numCache>
            </c:numRef>
          </c:val>
          <c:extLst>
            <c:ext xmlns:c16="http://schemas.microsoft.com/office/drawing/2014/chart" uri="{C3380CC4-5D6E-409C-BE32-E72D297353CC}">
              <c16:uniqueId val="{00000000-A8E9-4774-82E8-15D4BC9A34BA}"/>
            </c:ext>
          </c:extLst>
        </c:ser>
        <c:ser>
          <c:idx val="1"/>
          <c:order val="1"/>
          <c:tx>
            <c:strRef>
              <c:f>Blad1!$M$2</c:f>
              <c:strCache>
                <c:ptCount val="1"/>
                <c:pt idx="0">
                  <c:v>Girls</c:v>
                </c:pt>
              </c:strCache>
            </c:strRef>
          </c:tx>
          <c:spPr>
            <a:solidFill>
              <a:srgbClr val="F9C624"/>
            </a:solidFill>
            <a:ln>
              <a:noFill/>
            </a:ln>
            <a:effectLst/>
          </c:spPr>
          <c:invertIfNegative val="0"/>
          <c:dLbls>
            <c:dLbl>
              <c:idx val="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9D-6349-978E-0142785450A6}"/>
                </c:ext>
              </c:extLst>
            </c:dLbl>
            <c:dLbl>
              <c:idx val="13"/>
              <c:layout>
                <c:manualLayout>
                  <c:x val="-0.12916666666666668"/>
                  <c:y val="1.36370206928152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80-D646-A131-F4A4713AA4F2}"/>
                </c:ext>
              </c:extLst>
            </c:dLbl>
            <c:dLbl>
              <c:idx val="15"/>
              <c:layout>
                <c:manualLayout>
                  <c:x val="-0.14166666666666666"/>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49D-6349-978E-0142785450A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Blad1!$K$3:$K$18</c:f>
              <c:strCache>
                <c:ptCount val="16"/>
                <c:pt idx="0">
                  <c:v>Bulgaria</c:v>
                </c:pt>
                <c:pt idx="1">
                  <c:v>Cyprus</c:v>
                </c:pt>
                <c:pt idx="2">
                  <c:v>Czech Republic</c:v>
                </c:pt>
                <c:pt idx="3">
                  <c:v>Estonia</c:v>
                </c:pt>
                <c:pt idx="4">
                  <c:v>France</c:v>
                </c:pt>
                <c:pt idx="5">
                  <c:v>Greece</c:v>
                </c:pt>
                <c:pt idx="6">
                  <c:v>Hungary</c:v>
                </c:pt>
                <c:pt idx="7">
                  <c:v>Ireland</c:v>
                </c:pt>
                <c:pt idx="8">
                  <c:v>Latvia</c:v>
                </c:pt>
                <c:pt idx="9">
                  <c:v>Lithuania</c:v>
                </c:pt>
                <c:pt idx="10">
                  <c:v>Poland</c:v>
                </c:pt>
                <c:pt idx="11">
                  <c:v>Portugal</c:v>
                </c:pt>
                <c:pt idx="12">
                  <c:v>Slovakia</c:v>
                </c:pt>
                <c:pt idx="13">
                  <c:v>UK (England)</c:v>
                </c:pt>
                <c:pt idx="14">
                  <c:v>UK (N. Ireland)</c:v>
                </c:pt>
                <c:pt idx="15">
                  <c:v>Total average (15)</c:v>
                </c:pt>
              </c:strCache>
            </c:strRef>
          </c:cat>
          <c:val>
            <c:numRef>
              <c:f>Blad1!$M$3:$M$18</c:f>
              <c:numCache>
                <c:formatCode>0.00</c:formatCode>
                <c:ptCount val="16"/>
                <c:pt idx="0">
                  <c:v>35.319148936170215</c:v>
                </c:pt>
                <c:pt idx="1">
                  <c:v>48.50299401197605</c:v>
                </c:pt>
                <c:pt idx="2">
                  <c:v>38.79212847771997</c:v>
                </c:pt>
                <c:pt idx="3">
                  <c:v>100</c:v>
                </c:pt>
                <c:pt idx="4">
                  <c:v>40.438413361169104</c:v>
                </c:pt>
                <c:pt idx="5">
                  <c:v>50.877192982456144</c:v>
                </c:pt>
                <c:pt idx="6">
                  <c:v>41.281731169371625</c:v>
                </c:pt>
                <c:pt idx="7">
                  <c:v>22.109826589595375</c:v>
                </c:pt>
                <c:pt idx="8">
                  <c:v>47.619047619047613</c:v>
                </c:pt>
                <c:pt idx="9">
                  <c:v>41.145833333333329</c:v>
                </c:pt>
                <c:pt idx="10">
                  <c:v>34.158415841584159</c:v>
                </c:pt>
                <c:pt idx="11">
                  <c:v>41.307420494699649</c:v>
                </c:pt>
                <c:pt idx="12">
                  <c:v>48.453608247422679</c:v>
                </c:pt>
                <c:pt idx="13">
                  <c:v>27.66798418972332</c:v>
                </c:pt>
                <c:pt idx="14">
                  <c:v>57.142857142857139</c:v>
                </c:pt>
                <c:pt idx="15">
                  <c:v>39.21882646025179</c:v>
                </c:pt>
              </c:numCache>
            </c:numRef>
          </c:val>
          <c:extLst>
            <c:ext xmlns:c16="http://schemas.microsoft.com/office/drawing/2014/chart" uri="{C3380CC4-5D6E-409C-BE32-E72D297353CC}">
              <c16:uniqueId val="{00000001-A8E9-4774-82E8-15D4BC9A34BA}"/>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BE39-4836-902F-B806C0796F8D}"/>
              </c:ext>
            </c:extLst>
          </c:dPt>
          <c:dPt>
            <c:idx val="21"/>
            <c:invertIfNegative val="0"/>
            <c:bubble3D val="0"/>
            <c:spPr>
              <a:solidFill>
                <a:srgbClr val="F9C624"/>
              </a:solidFill>
              <a:ln>
                <a:noFill/>
              </a:ln>
              <a:effectLst/>
            </c:spPr>
            <c:extLst>
              <c:ext xmlns:c16="http://schemas.microsoft.com/office/drawing/2014/chart" uri="{C3380CC4-5D6E-409C-BE32-E72D297353CC}">
                <c16:uniqueId val="{00000003-BE39-4836-902F-B806C0796F8D}"/>
              </c:ext>
            </c:extLst>
          </c:dPt>
          <c:dPt>
            <c:idx val="27"/>
            <c:invertIfNegative val="0"/>
            <c:bubble3D val="0"/>
            <c:extLst>
              <c:ext xmlns:c16="http://schemas.microsoft.com/office/drawing/2014/chart" uri="{C3380CC4-5D6E-409C-BE32-E72D297353CC}">
                <c16:uniqueId val="{00000005-BE39-4836-902F-B806C0796F8D}"/>
              </c:ext>
            </c:extLst>
          </c:dPt>
          <c:dLbls>
            <c:dLbl>
              <c:idx val="1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DCEE-514E-BC68-65B948E1BC6E}"/>
                </c:ext>
              </c:extLst>
            </c:dLbl>
            <c:dLbl>
              <c:idx val="2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BE39-4836-902F-B806C0796F8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'3c.3 - ISCED 3'!$F$3:$F$24</c:f>
              <c:strCache>
                <c:ptCount val="22"/>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Luxembourg</c:v>
                </c:pt>
                <c:pt idx="14">
                  <c:v>Poland</c:v>
                </c:pt>
                <c:pt idx="15">
                  <c:v>Slovakia</c:v>
                </c:pt>
                <c:pt idx="16">
                  <c:v>Sweden</c:v>
                </c:pt>
                <c:pt idx="17">
                  <c:v>UK (England)</c:v>
                </c:pt>
                <c:pt idx="18">
                  <c:v>UK (N. Ireland)</c:v>
                </c:pt>
                <c:pt idx="19">
                  <c:v>UK (Scotland)</c:v>
                </c:pt>
                <c:pt idx="20">
                  <c:v>UK (Wales)</c:v>
                </c:pt>
                <c:pt idx="21">
                  <c:v>Total average (21)</c:v>
                </c:pt>
              </c:strCache>
            </c:strRef>
          </c:cat>
          <c:val>
            <c:numRef>
              <c:f>'3c.3 - ISCED 3'!$G$3:$G$24</c:f>
              <c:numCache>
                <c:formatCode>0.00</c:formatCode>
                <c:ptCount val="22"/>
                <c:pt idx="0">
                  <c:v>54.172244533690318</c:v>
                </c:pt>
                <c:pt idx="1">
                  <c:v>33.314716559620216</c:v>
                </c:pt>
                <c:pt idx="2">
                  <c:v>25.559174809989145</c:v>
                </c:pt>
                <c:pt idx="3">
                  <c:v>2.7619047619047619</c:v>
                </c:pt>
                <c:pt idx="4">
                  <c:v>17.818440220287794</c:v>
                </c:pt>
                <c:pt idx="5">
                  <c:v>33.333333333333329</c:v>
                </c:pt>
                <c:pt idx="6">
                  <c:v>9.1258634182857534</c:v>
                </c:pt>
                <c:pt idx="7">
                  <c:v>37.859531772575252</c:v>
                </c:pt>
                <c:pt idx="8">
                  <c:v>3.1219726992514309</c:v>
                </c:pt>
                <c:pt idx="9">
                  <c:v>21.658462703521394</c:v>
                </c:pt>
                <c:pt idx="10">
                  <c:v>0.32467039885910215</c:v>
                </c:pt>
                <c:pt idx="11">
                  <c:v>80.180180180180187</c:v>
                </c:pt>
                <c:pt idx="12">
                  <c:v>40.418118466898953</c:v>
                </c:pt>
                <c:pt idx="13">
                  <c:v>32.258064516129032</c:v>
                </c:pt>
                <c:pt idx="14">
                  <c:v>68.437838312315307</c:v>
                </c:pt>
                <c:pt idx="15">
                  <c:v>32.429976038998596</c:v>
                </c:pt>
                <c:pt idx="16">
                  <c:v>99.391891891891888</c:v>
                </c:pt>
                <c:pt idx="17">
                  <c:v>52.514264902270249</c:v>
                </c:pt>
                <c:pt idx="18">
                  <c:v>52.328159645232816</c:v>
                </c:pt>
                <c:pt idx="19">
                  <c:v>7.8718311391578712</c:v>
                </c:pt>
                <c:pt idx="20">
                  <c:v>68.455882352941174</c:v>
                </c:pt>
                <c:pt idx="21">
                  <c:v>25.972655484054975</c:v>
                </c:pt>
              </c:numCache>
            </c:numRef>
          </c:val>
          <c:extLst>
            <c:ext xmlns:c16="http://schemas.microsoft.com/office/drawing/2014/chart" uri="{C3380CC4-5D6E-409C-BE32-E72D297353CC}">
              <c16:uniqueId val="{00000006-BE39-4836-902F-B806C0796F8D}"/>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609065758672051E-2"/>
          <c:y val="4.3226043556737273E-2"/>
          <c:w val="0.82424116424116423"/>
          <c:h val="0.91521945142069894"/>
        </c:manualLayout>
      </c:layout>
      <c:barChart>
        <c:barDir val="bar"/>
        <c:grouping val="clustered"/>
        <c:varyColors val="0"/>
        <c:ser>
          <c:idx val="0"/>
          <c:order val="0"/>
          <c:tx>
            <c:strRef>
              <c:f>Blad1!$I$2</c:f>
              <c:strCache>
                <c:ptCount val="1"/>
                <c:pt idx="0">
                  <c:v>Boys</c:v>
                </c:pt>
              </c:strCache>
            </c:strRef>
          </c:tx>
          <c:spPr>
            <a:solidFill>
              <a:srgbClr val="17255B"/>
            </a:solidFill>
            <a:ln>
              <a:noFill/>
            </a:ln>
            <a:effectLst/>
          </c:spPr>
          <c:invertIfNegative val="0"/>
          <c:dLbls>
            <c:dLbl>
              <c:idx val="15"/>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2FF-E241-A033-0EE3A333CE68}"/>
                </c:ext>
              </c:extLst>
            </c:dLbl>
            <c:dLbl>
              <c:idx val="1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62FF-E241-A033-0EE3A333CE68}"/>
                </c:ext>
              </c:extLst>
            </c:dLbl>
            <c:dLbl>
              <c:idx val="2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62FF-E241-A033-0EE3A333CE6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Blad1!$H$3:$H$23</c:f>
              <c:strCache>
                <c:ptCount val="21"/>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Poland</c:v>
                </c:pt>
                <c:pt idx="14">
                  <c:v>Slovakia</c:v>
                </c:pt>
                <c:pt idx="15">
                  <c:v>Sweden</c:v>
                </c:pt>
                <c:pt idx="16">
                  <c:v>UK (England)</c:v>
                </c:pt>
                <c:pt idx="17">
                  <c:v>UK (N. Ireland)</c:v>
                </c:pt>
                <c:pt idx="18">
                  <c:v>UK (Scotland)</c:v>
                </c:pt>
                <c:pt idx="19">
                  <c:v>UK (Wales)</c:v>
                </c:pt>
                <c:pt idx="20">
                  <c:v>Total average (20)</c:v>
                </c:pt>
              </c:strCache>
            </c:strRef>
          </c:cat>
          <c:val>
            <c:numRef>
              <c:f>Blad1!$I$3:$I$23</c:f>
              <c:numCache>
                <c:formatCode>0.00</c:formatCode>
                <c:ptCount val="21"/>
                <c:pt idx="0">
                  <c:v>31.414547077197678</c:v>
                </c:pt>
                <c:pt idx="1">
                  <c:v>27.673834124546214</c:v>
                </c:pt>
                <c:pt idx="2">
                  <c:v>15.960912052117262</c:v>
                </c:pt>
                <c:pt idx="3">
                  <c:v>2.2380952380952381</c:v>
                </c:pt>
                <c:pt idx="4">
                  <c:v>9.8330076390122567</c:v>
                </c:pt>
                <c:pt idx="5">
                  <c:v>24.031007751937985</c:v>
                </c:pt>
                <c:pt idx="6">
                  <c:v>5.5156691279049985</c:v>
                </c:pt>
                <c:pt idx="7">
                  <c:v>20.936454849498329</c:v>
                </c:pt>
                <c:pt idx="8">
                  <c:v>1.9418758256274771</c:v>
                </c:pt>
                <c:pt idx="9">
                  <c:v>13.732172157011233</c:v>
                </c:pt>
                <c:pt idx="10">
                  <c:v>0.21391834691183834</c:v>
                </c:pt>
                <c:pt idx="11">
                  <c:v>41.441441441441441</c:v>
                </c:pt>
                <c:pt idx="12">
                  <c:v>23.972125435540072</c:v>
                </c:pt>
                <c:pt idx="13">
                  <c:v>39.08183866342862</c:v>
                </c:pt>
                <c:pt idx="14">
                  <c:v>17.929438982070561</c:v>
                </c:pt>
                <c:pt idx="15">
                  <c:v>59.375</c:v>
                </c:pt>
                <c:pt idx="16">
                  <c:v>38.368337987131234</c:v>
                </c:pt>
                <c:pt idx="17">
                  <c:v>32.963784183296383</c:v>
                </c:pt>
                <c:pt idx="18">
                  <c:v>5.2170601675552177</c:v>
                </c:pt>
                <c:pt idx="19">
                  <c:v>48.014705882352942</c:v>
                </c:pt>
                <c:pt idx="20">
                  <c:v>16.396725724056932</c:v>
                </c:pt>
              </c:numCache>
            </c:numRef>
          </c:val>
          <c:extLst>
            <c:ext xmlns:c16="http://schemas.microsoft.com/office/drawing/2014/chart" uri="{C3380CC4-5D6E-409C-BE32-E72D297353CC}">
              <c16:uniqueId val="{00000000-2BBD-4DF6-A96A-9507634D5829}"/>
            </c:ext>
          </c:extLst>
        </c:ser>
        <c:ser>
          <c:idx val="1"/>
          <c:order val="1"/>
          <c:tx>
            <c:strRef>
              <c:f>Blad1!$J$2</c:f>
              <c:strCache>
                <c:ptCount val="1"/>
                <c:pt idx="0">
                  <c:v>Girls</c:v>
                </c:pt>
              </c:strCache>
            </c:strRef>
          </c:tx>
          <c:spPr>
            <a:solidFill>
              <a:srgbClr val="F9C624"/>
            </a:solidFill>
            <a:ln>
              <a:noFill/>
            </a:ln>
            <a:effectLst/>
          </c:spPr>
          <c:invertIfNegative val="0"/>
          <c:dLbls>
            <c:dLbl>
              <c:idx val="15"/>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2FF-E241-A033-0EE3A333CE68}"/>
                </c:ext>
              </c:extLst>
            </c:dLbl>
            <c:dLbl>
              <c:idx val="19"/>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2FF-E241-A033-0EE3A333CE68}"/>
                </c:ext>
              </c:extLst>
            </c:dLbl>
            <c:dLbl>
              <c:idx val="2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5-62FF-E241-A033-0EE3A333CE6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Blad1!$H$3:$H$23</c:f>
              <c:strCache>
                <c:ptCount val="21"/>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Poland</c:v>
                </c:pt>
                <c:pt idx="14">
                  <c:v>Slovakia</c:v>
                </c:pt>
                <c:pt idx="15">
                  <c:v>Sweden</c:v>
                </c:pt>
                <c:pt idx="16">
                  <c:v>UK (England)</c:v>
                </c:pt>
                <c:pt idx="17">
                  <c:v>UK (N. Ireland)</c:v>
                </c:pt>
                <c:pt idx="18">
                  <c:v>UK (Scotland)</c:v>
                </c:pt>
                <c:pt idx="19">
                  <c:v>UK (Wales)</c:v>
                </c:pt>
                <c:pt idx="20">
                  <c:v>Total average (20)</c:v>
                </c:pt>
              </c:strCache>
            </c:strRef>
          </c:cat>
          <c:val>
            <c:numRef>
              <c:f>Blad1!$J$3:$J$23</c:f>
              <c:numCache>
                <c:formatCode>0.00</c:formatCode>
                <c:ptCount val="21"/>
                <c:pt idx="0">
                  <c:v>22.757697456492636</c:v>
                </c:pt>
                <c:pt idx="1">
                  <c:v>5.6408824350740012</c:v>
                </c:pt>
                <c:pt idx="2">
                  <c:v>9.5982627578718791</c:v>
                </c:pt>
                <c:pt idx="3">
                  <c:v>0.52380952380952384</c:v>
                </c:pt>
                <c:pt idx="4">
                  <c:v>7.9854325812755382</c:v>
                </c:pt>
                <c:pt idx="5">
                  <c:v>9.3023255813953494</c:v>
                </c:pt>
                <c:pt idx="6">
                  <c:v>3.6101942903807549</c:v>
                </c:pt>
                <c:pt idx="7">
                  <c:v>16.923076923076923</c:v>
                </c:pt>
                <c:pt idx="8">
                  <c:v>1.1800968736239541</c:v>
                </c:pt>
                <c:pt idx="9">
                  <c:v>7.9262905465101605</c:v>
                </c:pt>
                <c:pt idx="10">
                  <c:v>0.11075205194726381</c:v>
                </c:pt>
                <c:pt idx="11">
                  <c:v>38.738738738738739</c:v>
                </c:pt>
                <c:pt idx="12">
                  <c:v>16.445993031358885</c:v>
                </c:pt>
                <c:pt idx="13">
                  <c:v>29.355999648886677</c:v>
                </c:pt>
                <c:pt idx="14">
                  <c:v>14.500537056928033</c:v>
                </c:pt>
                <c:pt idx="15">
                  <c:v>40.016891891891895</c:v>
                </c:pt>
                <c:pt idx="16">
                  <c:v>14.145926915139007</c:v>
                </c:pt>
                <c:pt idx="17">
                  <c:v>19.364375461936437</c:v>
                </c:pt>
                <c:pt idx="18">
                  <c:v>2.6547709716026544</c:v>
                </c:pt>
                <c:pt idx="19">
                  <c:v>20.441176470588236</c:v>
                </c:pt>
                <c:pt idx="20">
                  <c:v>9.5675828118362301</c:v>
                </c:pt>
              </c:numCache>
            </c:numRef>
          </c:val>
          <c:extLst>
            <c:ext xmlns:c16="http://schemas.microsoft.com/office/drawing/2014/chart" uri="{C3380CC4-5D6E-409C-BE32-E72D297353CC}">
              <c16:uniqueId val="{00000001-2BBD-4DF6-A96A-9507634D5829}"/>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6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a:outerShdw blurRad="50800" dist="50800" dir="5400000" sx="1000" sy="1000" algn="ctr" rotWithShape="0">
                <a:srgbClr val="000000">
                  <a:alpha val="43137"/>
                </a:srgbClr>
              </a:outerShdw>
            </a:effectLst>
          </c:spPr>
          <c:invertIfNegative val="0"/>
          <c:dPt>
            <c:idx val="2"/>
            <c:invertIfNegative val="0"/>
            <c:bubble3D val="0"/>
            <c:spPr>
              <a:solidFill>
                <a:srgbClr val="17255B"/>
              </a:solidFill>
              <a:ln w="3175">
                <a:noFill/>
              </a:ln>
              <a:effectLst>
                <a:outerShdw blurRad="50800" dist="50800" dir="5400000" sx="1000" sy="1000" algn="ctr" rotWithShape="0">
                  <a:srgbClr val="000000">
                    <a:alpha val="43137"/>
                  </a:srgbClr>
                </a:outerShdw>
              </a:effectLst>
            </c:spPr>
            <c:extLst>
              <c:ext xmlns:c16="http://schemas.microsoft.com/office/drawing/2014/chart" uri="{C3380CC4-5D6E-409C-BE32-E72D297353CC}">
                <c16:uniqueId val="{00000006-C821-4142-A773-0F15E5C75068}"/>
              </c:ext>
            </c:extLst>
          </c:dPt>
          <c:dPt>
            <c:idx val="16"/>
            <c:invertIfNegative val="0"/>
            <c:bubble3D val="0"/>
            <c:spPr>
              <a:solidFill>
                <a:srgbClr val="F9C623"/>
              </a:solidFill>
              <a:ln>
                <a:noFill/>
              </a:ln>
              <a:effectLst>
                <a:outerShdw blurRad="50800" dist="50800" dir="5400000" sx="1000" sy="1000" algn="ctr" rotWithShape="0">
                  <a:srgbClr val="000000">
                    <a:alpha val="43137"/>
                  </a:srgbClr>
                </a:outerShdw>
              </a:effectLst>
            </c:spPr>
            <c:extLst>
              <c:ext xmlns:c16="http://schemas.microsoft.com/office/drawing/2014/chart" uri="{C3380CC4-5D6E-409C-BE32-E72D297353CC}">
                <c16:uniqueId val="{00000001-0B45-4C2F-A289-279B55612657}"/>
              </c:ext>
            </c:extLst>
          </c:dPt>
          <c:dPt>
            <c:idx val="20"/>
            <c:invertIfNegative val="0"/>
            <c:bubble3D val="0"/>
            <c:extLst>
              <c:ext xmlns:c16="http://schemas.microsoft.com/office/drawing/2014/chart" uri="{C3380CC4-5D6E-409C-BE32-E72D297353CC}">
                <c16:uniqueId val="{00000003-0B45-4C2F-A289-279B55612657}"/>
              </c:ext>
            </c:extLst>
          </c:dPt>
          <c:dPt>
            <c:idx val="27"/>
            <c:invertIfNegative val="0"/>
            <c:bubble3D val="0"/>
            <c:extLst>
              <c:ext xmlns:c16="http://schemas.microsoft.com/office/drawing/2014/chart" uri="{C3380CC4-5D6E-409C-BE32-E72D297353CC}">
                <c16:uniqueId val="{00000005-0B45-4C2F-A289-279B55612657}"/>
              </c:ext>
            </c:extLst>
          </c:dPt>
          <c:dLbls>
            <c:dLbl>
              <c:idx val="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C821-4142-A773-0F15E5C75068}"/>
                </c:ext>
              </c:extLst>
            </c:dLbl>
            <c:dLbl>
              <c:idx val="3"/>
              <c:layout>
                <c:manualLayout>
                  <c:x val="-0.25833333333333336"/>
                  <c:y val="1.6819443276427858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C821-4142-A773-0F15E5C75068}"/>
                </c:ext>
              </c:extLst>
            </c:dLbl>
            <c:dLbl>
              <c:idx val="1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0B45-4C2F-A289-279B5561265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'3b.2 - ISCED 02'!$F$3:$F$19</c:f>
              <c:strCache>
                <c:ptCount val="17"/>
                <c:pt idx="0">
                  <c:v>Bulgaria</c:v>
                </c:pt>
                <c:pt idx="1">
                  <c:v>Cyprus</c:v>
                </c:pt>
                <c:pt idx="2">
                  <c:v>Czech Republic</c:v>
                </c:pt>
                <c:pt idx="3">
                  <c:v>Estonia</c:v>
                </c:pt>
                <c:pt idx="4">
                  <c:v>France</c:v>
                </c:pt>
                <c:pt idx="5">
                  <c:v>Greece</c:v>
                </c:pt>
                <c:pt idx="6">
                  <c:v>Hungary</c:v>
                </c:pt>
                <c:pt idx="7">
                  <c:v>Lithuania</c:v>
                </c:pt>
                <c:pt idx="8">
                  <c:v>Luxembourg</c:v>
                </c:pt>
                <c:pt idx="9">
                  <c:v>Poland</c:v>
                </c:pt>
                <c:pt idx="10">
                  <c:v>Serbia</c:v>
                </c:pt>
                <c:pt idx="11">
                  <c:v>Slovakia</c:v>
                </c:pt>
                <c:pt idx="12">
                  <c:v>Slovenia</c:v>
                </c:pt>
                <c:pt idx="13">
                  <c:v>Spain</c:v>
                </c:pt>
                <c:pt idx="14">
                  <c:v>Switzerland</c:v>
                </c:pt>
                <c:pt idx="15">
                  <c:v>UK (England)</c:v>
                </c:pt>
                <c:pt idx="16">
                  <c:v>Total average (16)</c:v>
                </c:pt>
              </c:strCache>
            </c:strRef>
          </c:cat>
          <c:val>
            <c:numRef>
              <c:f>'3b.2 - ISCED 02'!$G$3:$G$19</c:f>
              <c:numCache>
                <c:formatCode>0.00</c:formatCode>
                <c:ptCount val="17"/>
                <c:pt idx="0">
                  <c:v>0.23126036901111058</c:v>
                </c:pt>
                <c:pt idx="1">
                  <c:v>0.43257940922012111</c:v>
                </c:pt>
                <c:pt idx="2">
                  <c:v>2.3069617066672472</c:v>
                </c:pt>
                <c:pt idx="3">
                  <c:v>2.1148036253776437</c:v>
                </c:pt>
                <c:pt idx="4">
                  <c:v>0.22435339290580986</c:v>
                </c:pt>
                <c:pt idx="5">
                  <c:v>1.5475189234650969E-2</c:v>
                </c:pt>
                <c:pt idx="6">
                  <c:v>0.48348436313927812</c:v>
                </c:pt>
                <c:pt idx="7">
                  <c:v>0.82355660868057567</c:v>
                </c:pt>
                <c:pt idx="8">
                  <c:v>0.38930854154561301</c:v>
                </c:pt>
                <c:pt idx="9">
                  <c:v>9.6610616799879354E-2</c:v>
                </c:pt>
                <c:pt idx="10">
                  <c:v>0.22204464073299132</c:v>
                </c:pt>
                <c:pt idx="11">
                  <c:v>0.20483731190419915</c:v>
                </c:pt>
                <c:pt idx="12">
                  <c:v>0.13911753112754757</c:v>
                </c:pt>
                <c:pt idx="13">
                  <c:v>3.9514710902956565E-2</c:v>
                </c:pt>
                <c:pt idx="14">
                  <c:v>2.6058556471787269E-2</c:v>
                </c:pt>
                <c:pt idx="15">
                  <c:v>1.4653746159300401E-2</c:v>
                </c:pt>
                <c:pt idx="16">
                  <c:v>0.26865230213897456</c:v>
                </c:pt>
              </c:numCache>
            </c:numRef>
          </c:val>
          <c:extLst>
            <c:ext xmlns:c16="http://schemas.microsoft.com/office/drawing/2014/chart" uri="{C3380CC4-5D6E-409C-BE32-E72D297353CC}">
              <c16:uniqueId val="{00000006-0B45-4C2F-A289-279B55612657}"/>
            </c:ext>
          </c:extLst>
        </c:ser>
        <c:dLbls>
          <c:showLegendKey val="0"/>
          <c:showVal val="0"/>
          <c:showCatName val="0"/>
          <c:showSerName val="0"/>
          <c:showPercent val="0"/>
          <c:showBubbleSize val="0"/>
        </c:dLbls>
        <c:gapWidth val="20"/>
        <c:overlap val="-66"/>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3"/>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2962876939302154E-2"/>
          <c:w val="0.81667364717708157"/>
          <c:h val="0.9174505797819692"/>
        </c:manualLayout>
      </c:layout>
      <c:barChart>
        <c:barDir val="bar"/>
        <c:grouping val="clustered"/>
        <c:varyColors val="0"/>
        <c:ser>
          <c:idx val="0"/>
          <c:order val="0"/>
          <c:tx>
            <c:strRef>
              <c:f>Blad1!$L$2</c:f>
              <c:strCache>
                <c:ptCount val="1"/>
                <c:pt idx="0">
                  <c:v>Boys</c:v>
                </c:pt>
              </c:strCache>
            </c:strRef>
          </c:tx>
          <c:spPr>
            <a:solidFill>
              <a:srgbClr val="17255B"/>
            </a:solidFill>
            <a:ln>
              <a:noFill/>
            </a:ln>
            <a:effectLst/>
          </c:spPr>
          <c:invertIfNegative val="0"/>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50D8-2D45-A120-845701198A23}"/>
                </c:ext>
              </c:extLst>
            </c:dLbl>
            <c:dLbl>
              <c:idx val="16"/>
              <c:layout>
                <c:manualLayout>
                  <c:x val="-0.3314238952536824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37B0-414D-AB23-4B3A13769FE2}"/>
                </c:ext>
              </c:extLst>
            </c:dLbl>
            <c:dLbl>
              <c:idx val="20"/>
              <c:layout>
                <c:manualLayout>
                  <c:x val="-0.40507364975450083"/>
                  <c:y val="0"/>
                </c:manualLayout>
              </c:layout>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50D8-2D45-A120-845701198A2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Blad1!$K$3:$K$23</c:f>
              <c:strCache>
                <c:ptCount val="21"/>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Poland</c:v>
                </c:pt>
                <c:pt idx="14">
                  <c:v>Slovakia</c:v>
                </c:pt>
                <c:pt idx="15">
                  <c:v>Sweden</c:v>
                </c:pt>
                <c:pt idx="16">
                  <c:v>UK (England)</c:v>
                </c:pt>
                <c:pt idx="17">
                  <c:v>UK (N. Ireland)</c:v>
                </c:pt>
                <c:pt idx="18">
                  <c:v>UK (Scotland)</c:v>
                </c:pt>
                <c:pt idx="19">
                  <c:v>UK (Wales)</c:v>
                </c:pt>
                <c:pt idx="20">
                  <c:v>Total average (20)</c:v>
                </c:pt>
              </c:strCache>
            </c:strRef>
          </c:cat>
          <c:val>
            <c:numRef>
              <c:f>Blad1!$L$3:$L$23</c:f>
              <c:numCache>
                <c:formatCode>0.00</c:formatCode>
                <c:ptCount val="21"/>
                <c:pt idx="0">
                  <c:v>57.990115321252055</c:v>
                </c:pt>
                <c:pt idx="1">
                  <c:v>83.067896060352055</c:v>
                </c:pt>
                <c:pt idx="2">
                  <c:v>62.446898895497029</c:v>
                </c:pt>
                <c:pt idx="3">
                  <c:v>81.034482758620683</c:v>
                </c:pt>
                <c:pt idx="4">
                  <c:v>55.184446660019937</c:v>
                </c:pt>
                <c:pt idx="5">
                  <c:v>72.093023255813947</c:v>
                </c:pt>
                <c:pt idx="6">
                  <c:v>60.439970171513792</c:v>
                </c:pt>
                <c:pt idx="7">
                  <c:v>55.300353356890461</c:v>
                </c:pt>
                <c:pt idx="8">
                  <c:v>62.200282087447114</c:v>
                </c:pt>
                <c:pt idx="9">
                  <c:v>63.403263403263402</c:v>
                </c:pt>
                <c:pt idx="10">
                  <c:v>65.887850467289724</c:v>
                </c:pt>
                <c:pt idx="11">
                  <c:v>51.68539325842697</c:v>
                </c:pt>
                <c:pt idx="12">
                  <c:v>59.310344827586206</c:v>
                </c:pt>
                <c:pt idx="13">
                  <c:v>57.105600684053016</c:v>
                </c:pt>
                <c:pt idx="14">
                  <c:v>55.286624203821653</c:v>
                </c:pt>
                <c:pt idx="15">
                  <c:v>59.738273283480623</c:v>
                </c:pt>
                <c:pt idx="16">
                  <c:v>73.062696504531161</c:v>
                </c:pt>
                <c:pt idx="17">
                  <c:v>62.994350282485875</c:v>
                </c:pt>
                <c:pt idx="18">
                  <c:v>66.275051831375265</c:v>
                </c:pt>
                <c:pt idx="19">
                  <c:v>70.139634801288935</c:v>
                </c:pt>
                <c:pt idx="20">
                  <c:v>63.151020183688054</c:v>
                </c:pt>
              </c:numCache>
            </c:numRef>
          </c:val>
          <c:extLst>
            <c:ext xmlns:c16="http://schemas.microsoft.com/office/drawing/2014/chart" uri="{C3380CC4-5D6E-409C-BE32-E72D297353CC}">
              <c16:uniqueId val="{00000000-2E99-4255-BA6B-2FCB7F19355A}"/>
            </c:ext>
          </c:extLst>
        </c:ser>
        <c:ser>
          <c:idx val="1"/>
          <c:order val="1"/>
          <c:tx>
            <c:strRef>
              <c:f>Blad1!$M$2</c:f>
              <c:strCache>
                <c:ptCount val="1"/>
                <c:pt idx="0">
                  <c:v>Girls</c:v>
                </c:pt>
              </c:strCache>
            </c:strRef>
          </c:tx>
          <c:spPr>
            <a:solidFill>
              <a:srgbClr val="F9C624"/>
            </a:solidFill>
            <a:ln>
              <a:noFill/>
            </a:ln>
            <a:effectLst/>
          </c:spPr>
          <c:invertIfNegative val="0"/>
          <c:dLbls>
            <c:dLbl>
              <c:idx val="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D8-2D45-A120-845701198A23}"/>
                </c:ext>
              </c:extLst>
            </c:dLbl>
            <c:dLbl>
              <c:idx val="16"/>
              <c:layout>
                <c:manualLayout>
                  <c:x val="-0.13093289689034374"/>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B0-414D-AB23-4B3A13769FE2}"/>
                </c:ext>
              </c:extLst>
            </c:dLbl>
            <c:dLbl>
              <c:idx val="20"/>
              <c:layout>
                <c:manualLayout>
                  <c:x val="-0.13502454991816695"/>
                  <c:y val="1.2576313872439574E-1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D8-2D45-A120-845701198A2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Blad1!$K$3:$K$23</c:f>
              <c:strCache>
                <c:ptCount val="21"/>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Poland</c:v>
                </c:pt>
                <c:pt idx="14">
                  <c:v>Slovakia</c:v>
                </c:pt>
                <c:pt idx="15">
                  <c:v>Sweden</c:v>
                </c:pt>
                <c:pt idx="16">
                  <c:v>UK (England)</c:v>
                </c:pt>
                <c:pt idx="17">
                  <c:v>UK (N. Ireland)</c:v>
                </c:pt>
                <c:pt idx="18">
                  <c:v>UK (Scotland)</c:v>
                </c:pt>
                <c:pt idx="19">
                  <c:v>UK (Wales)</c:v>
                </c:pt>
                <c:pt idx="20">
                  <c:v>Total average (20)</c:v>
                </c:pt>
              </c:strCache>
            </c:strRef>
          </c:cat>
          <c:val>
            <c:numRef>
              <c:f>Blad1!$M$3:$M$23</c:f>
              <c:numCache>
                <c:formatCode>0.00</c:formatCode>
                <c:ptCount val="21"/>
                <c:pt idx="0">
                  <c:v>42.009884678747937</c:v>
                </c:pt>
                <c:pt idx="1">
                  <c:v>16.932103939647945</c:v>
                </c:pt>
                <c:pt idx="2">
                  <c:v>37.553101104502971</c:v>
                </c:pt>
                <c:pt idx="3">
                  <c:v>18.96551724137931</c:v>
                </c:pt>
                <c:pt idx="4">
                  <c:v>44.815553339980056</c:v>
                </c:pt>
                <c:pt idx="5">
                  <c:v>27.906976744186046</c:v>
                </c:pt>
                <c:pt idx="6">
                  <c:v>39.560029828486201</c:v>
                </c:pt>
                <c:pt idx="7">
                  <c:v>44.699646643109539</c:v>
                </c:pt>
                <c:pt idx="8">
                  <c:v>37.799717912552893</c:v>
                </c:pt>
                <c:pt idx="9">
                  <c:v>36.596736596736598</c:v>
                </c:pt>
                <c:pt idx="10">
                  <c:v>34.112149532710276</c:v>
                </c:pt>
                <c:pt idx="11">
                  <c:v>48.314606741573037</c:v>
                </c:pt>
                <c:pt idx="12">
                  <c:v>40.689655172413794</c:v>
                </c:pt>
                <c:pt idx="13">
                  <c:v>42.894399315946984</c:v>
                </c:pt>
                <c:pt idx="14">
                  <c:v>44.713375796178347</c:v>
                </c:pt>
                <c:pt idx="15">
                  <c:v>40.261726716519377</c:v>
                </c:pt>
                <c:pt idx="16">
                  <c:v>26.937303495468832</c:v>
                </c:pt>
                <c:pt idx="17">
                  <c:v>37.005649717514125</c:v>
                </c:pt>
                <c:pt idx="18">
                  <c:v>33.724948168624742</c:v>
                </c:pt>
                <c:pt idx="19">
                  <c:v>29.860365198711065</c:v>
                </c:pt>
                <c:pt idx="20">
                  <c:v>36.848979816311939</c:v>
                </c:pt>
              </c:numCache>
            </c:numRef>
          </c:val>
          <c:extLst>
            <c:ext xmlns:c16="http://schemas.microsoft.com/office/drawing/2014/chart" uri="{C3380CC4-5D6E-409C-BE32-E72D297353CC}">
              <c16:uniqueId val="{00000001-2E99-4255-BA6B-2FCB7F19355A}"/>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4"/>
            <c:invertIfNegative val="0"/>
            <c:bubble3D val="0"/>
            <c:spPr>
              <a:solidFill>
                <a:srgbClr val="F9C624"/>
              </a:solidFill>
              <a:ln>
                <a:noFill/>
              </a:ln>
              <a:effectLst/>
            </c:spPr>
            <c:extLst>
              <c:ext xmlns:c16="http://schemas.microsoft.com/office/drawing/2014/chart" uri="{C3380CC4-5D6E-409C-BE32-E72D297353CC}">
                <c16:uniqueId val="{00000001-4266-4009-9DFD-0324FBD02201}"/>
              </c:ext>
            </c:extLst>
          </c:dPt>
          <c:dPt>
            <c:idx val="20"/>
            <c:invertIfNegative val="0"/>
            <c:bubble3D val="0"/>
            <c:extLst>
              <c:ext xmlns:c16="http://schemas.microsoft.com/office/drawing/2014/chart" uri="{C3380CC4-5D6E-409C-BE32-E72D297353CC}">
                <c16:uniqueId val="{00000003-4266-4009-9DFD-0324FBD02201}"/>
              </c:ext>
            </c:extLst>
          </c:dPt>
          <c:dPt>
            <c:idx val="27"/>
            <c:invertIfNegative val="0"/>
            <c:bubble3D val="0"/>
            <c:extLst>
              <c:ext xmlns:c16="http://schemas.microsoft.com/office/drawing/2014/chart" uri="{C3380CC4-5D6E-409C-BE32-E72D297353CC}">
                <c16:uniqueId val="{00000005-4266-4009-9DFD-0324FBD02201}"/>
              </c:ext>
            </c:extLst>
          </c:dPt>
          <c:dLbls>
            <c:dLbl>
              <c:idx val="0"/>
              <c:layout>
                <c:manualLayout>
                  <c:x val="-0.2864157119476268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8B08-9E4C-B89F-1041337B7016}"/>
                </c:ext>
              </c:extLst>
            </c:dLbl>
            <c:dLbl>
              <c:idx val="3"/>
              <c:layout>
                <c:manualLayout>
                  <c:x val="-0.28232405891980361"/>
                  <c:y val="3.2350664456588656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8B08-9E4C-B89F-1041337B7016}"/>
                </c:ext>
              </c:extLst>
            </c:dLbl>
            <c:dLbl>
              <c:idx val="6"/>
              <c:layout>
                <c:manualLayout>
                  <c:x val="-0.2618657937806874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8B08-9E4C-B89F-1041337B7016}"/>
                </c:ext>
              </c:extLst>
            </c:dLbl>
            <c:dLbl>
              <c:idx val="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F959-8445-B7D2-2DEF5120572D}"/>
                </c:ext>
              </c:extLst>
            </c:dLbl>
            <c:dLbl>
              <c:idx val="8"/>
              <c:layout>
                <c:manualLayout>
                  <c:x val="-0.31096563011456629"/>
                  <c:y val="3.5292041644609143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8B08-9E4C-B89F-1041337B7016}"/>
                </c:ext>
              </c:extLst>
            </c:dLbl>
            <c:dLbl>
              <c:idx val="9"/>
              <c:layout>
                <c:manualLayout>
                  <c:x val="-0.37234042553191488"/>
                  <c:y val="1.7646020822304571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8B08-9E4C-B89F-1041337B7016}"/>
                </c:ext>
              </c:extLst>
            </c:dLbl>
            <c:dLbl>
              <c:idx val="10"/>
              <c:layout>
                <c:manualLayout>
                  <c:x val="-0.27414075286415712"/>
                  <c:y val="1.3894504597432054E-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8B08-9E4C-B89F-1041337B7016}"/>
                </c:ext>
              </c:extLst>
            </c:dLbl>
            <c:dLbl>
              <c:idx val="11"/>
              <c:layout>
                <c:manualLayout>
                  <c:x val="-0.28232405891980361"/>
                  <c:y val="1.7646020822305864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8B08-9E4C-B89F-1041337B7016}"/>
                </c:ext>
              </c:extLst>
            </c:dLbl>
            <c:dLbl>
              <c:idx val="12"/>
              <c:layout>
                <c:manualLayout>
                  <c:x val="-0.36824877250409166"/>
                  <c:y val="1.7646020822305864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8B08-9E4C-B89F-1041337B7016}"/>
                </c:ext>
              </c:extLst>
            </c:dLbl>
            <c:dLbl>
              <c:idx val="13"/>
              <c:layout>
                <c:manualLayout>
                  <c:x val="-0.39689034369885434"/>
                  <c:y val="1.7646020822304571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E-8B08-9E4C-B89F-1041337B7016}"/>
                </c:ext>
              </c:extLst>
            </c:dLbl>
            <c:dLbl>
              <c:idx val="14"/>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4266-4009-9DFD-0324FBD0220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'3c.5 - ISCED 3'!$L$3:$L$17</c:f>
              <c:strCache>
                <c:ptCount val="15"/>
                <c:pt idx="0">
                  <c:v>Bulgaria</c:v>
                </c:pt>
                <c:pt idx="1">
                  <c:v>Cyprus</c:v>
                </c:pt>
                <c:pt idx="2">
                  <c:v>Czech Republic</c:v>
                </c:pt>
                <c:pt idx="3">
                  <c:v>Estonia</c:v>
                </c:pt>
                <c:pt idx="4">
                  <c:v>France</c:v>
                </c:pt>
                <c:pt idx="5">
                  <c:v>Greece</c:v>
                </c:pt>
                <c:pt idx="6">
                  <c:v>Ireland</c:v>
                </c:pt>
                <c:pt idx="7">
                  <c:v>Latvia</c:v>
                </c:pt>
                <c:pt idx="8">
                  <c:v>Lithuania</c:v>
                </c:pt>
                <c:pt idx="9">
                  <c:v>Luxembourg</c:v>
                </c:pt>
                <c:pt idx="10">
                  <c:v>Poland</c:v>
                </c:pt>
                <c:pt idx="11">
                  <c:v>Slovakia</c:v>
                </c:pt>
                <c:pt idx="12">
                  <c:v>UK (England)</c:v>
                </c:pt>
                <c:pt idx="13">
                  <c:v>UK (N. Ireland)</c:v>
                </c:pt>
                <c:pt idx="14">
                  <c:v>Total average (14)</c:v>
                </c:pt>
              </c:strCache>
            </c:strRef>
          </c:cat>
          <c:val>
            <c:numRef>
              <c:f>'3c.5 - ISCED 3'!$M$3:$M$17</c:f>
              <c:numCache>
                <c:formatCode>0.00</c:formatCode>
                <c:ptCount val="15"/>
                <c:pt idx="0">
                  <c:v>35.765472312703587</c:v>
                </c:pt>
                <c:pt idx="1">
                  <c:v>10.714285714285714</c:v>
                </c:pt>
                <c:pt idx="2">
                  <c:v>37.453366494936937</c:v>
                </c:pt>
                <c:pt idx="3">
                  <c:v>34.883720930232556</c:v>
                </c:pt>
                <c:pt idx="4">
                  <c:v>25.424478546394909</c:v>
                </c:pt>
                <c:pt idx="5">
                  <c:v>3.623954205195949</c:v>
                </c:pt>
                <c:pt idx="6">
                  <c:v>30.392528082796922</c:v>
                </c:pt>
                <c:pt idx="7">
                  <c:v>99.099099099099092</c:v>
                </c:pt>
                <c:pt idx="8">
                  <c:v>53.7979094076655</c:v>
                </c:pt>
                <c:pt idx="9">
                  <c:v>59.408602150537639</c:v>
                </c:pt>
                <c:pt idx="10">
                  <c:v>69.028879070720066</c:v>
                </c:pt>
                <c:pt idx="11">
                  <c:v>33.231430223911431</c:v>
                </c:pt>
                <c:pt idx="12">
                  <c:v>55.585771518756829</c:v>
                </c:pt>
                <c:pt idx="13">
                  <c:v>52.845528455284551</c:v>
                </c:pt>
                <c:pt idx="14">
                  <c:v>40.741110889022139</c:v>
                </c:pt>
              </c:numCache>
            </c:numRef>
          </c:val>
          <c:extLst>
            <c:ext xmlns:c16="http://schemas.microsoft.com/office/drawing/2014/chart" uri="{C3380CC4-5D6E-409C-BE32-E72D297353CC}">
              <c16:uniqueId val="{00000006-4266-4009-9DFD-0324FBD02201}"/>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Blad1!$O$2</c:f>
              <c:strCache>
                <c:ptCount val="1"/>
                <c:pt idx="0">
                  <c:v>Boys</c:v>
                </c:pt>
              </c:strCache>
            </c:strRef>
          </c:tx>
          <c:spPr>
            <a:solidFill>
              <a:srgbClr val="17255B"/>
            </a:solidFill>
            <a:ln>
              <a:noFill/>
            </a:ln>
            <a:effectLst/>
          </c:spPr>
          <c:invertIfNegative val="0"/>
          <c:dLbls>
            <c:dLbl>
              <c:idx val="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B9CF-9E46-8A3C-1F0565B18C73}"/>
                </c:ext>
              </c:extLst>
            </c:dLbl>
            <c:dLbl>
              <c:idx val="11"/>
              <c:layout>
                <c:manualLayout>
                  <c:x val="-0.34782608695652173"/>
                  <c:y val="1.2685086696107103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B6E5-3C45-85FF-E4DB3E7CD980}"/>
                </c:ext>
              </c:extLst>
            </c:dLbl>
            <c:dLbl>
              <c:idx val="1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B9CF-9E46-8A3C-1F0565B18C7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Blad1!$N$3:$N$16</c:f>
              <c:strCache>
                <c:ptCount val="14"/>
                <c:pt idx="0">
                  <c:v>Bulgaria</c:v>
                </c:pt>
                <c:pt idx="1">
                  <c:v>Cyprus</c:v>
                </c:pt>
                <c:pt idx="2">
                  <c:v>Czech Republic</c:v>
                </c:pt>
                <c:pt idx="3">
                  <c:v>Estonia</c:v>
                </c:pt>
                <c:pt idx="4">
                  <c:v>France</c:v>
                </c:pt>
                <c:pt idx="5">
                  <c:v>Greece</c:v>
                </c:pt>
                <c:pt idx="6">
                  <c:v>Ireland</c:v>
                </c:pt>
                <c:pt idx="7">
                  <c:v>Latvia</c:v>
                </c:pt>
                <c:pt idx="8">
                  <c:v>Lithuania</c:v>
                </c:pt>
                <c:pt idx="9">
                  <c:v>Poland</c:v>
                </c:pt>
                <c:pt idx="10">
                  <c:v>Slovakia</c:v>
                </c:pt>
                <c:pt idx="11">
                  <c:v>UK (England)</c:v>
                </c:pt>
                <c:pt idx="12">
                  <c:v>UK (N. Ireland)</c:v>
                </c:pt>
                <c:pt idx="13">
                  <c:v>Total average (13)</c:v>
                </c:pt>
              </c:strCache>
            </c:strRef>
          </c:cat>
          <c:val>
            <c:numRef>
              <c:f>Blad1!$O$3:$O$16</c:f>
              <c:numCache>
                <c:formatCode>0.00</c:formatCode>
                <c:ptCount val="14"/>
                <c:pt idx="0">
                  <c:v>22.562432138979371</c:v>
                </c:pt>
                <c:pt idx="1">
                  <c:v>6.3333333333333339</c:v>
                </c:pt>
                <c:pt idx="2">
                  <c:v>21.851128086693908</c:v>
                </c:pt>
                <c:pt idx="3">
                  <c:v>24.031007751937985</c:v>
                </c:pt>
                <c:pt idx="4">
                  <c:v>15.223382898363333</c:v>
                </c:pt>
                <c:pt idx="5">
                  <c:v>2.1884632320563631</c:v>
                </c:pt>
                <c:pt idx="6">
                  <c:v>20.535150826707056</c:v>
                </c:pt>
                <c:pt idx="7">
                  <c:v>51.351351351351347</c:v>
                </c:pt>
                <c:pt idx="8">
                  <c:v>31.84668989547038</c:v>
                </c:pt>
                <c:pt idx="9">
                  <c:v>39.47098926178424</c:v>
                </c:pt>
                <c:pt idx="10">
                  <c:v>18.342559695943155</c:v>
                </c:pt>
                <c:pt idx="11">
                  <c:v>40.590020638582011</c:v>
                </c:pt>
                <c:pt idx="12">
                  <c:v>33.185513673318553</c:v>
                </c:pt>
                <c:pt idx="13">
                  <c:v>25.654849334579605</c:v>
                </c:pt>
              </c:numCache>
            </c:numRef>
          </c:val>
          <c:extLst>
            <c:ext xmlns:c16="http://schemas.microsoft.com/office/drawing/2014/chart" uri="{C3380CC4-5D6E-409C-BE32-E72D297353CC}">
              <c16:uniqueId val="{00000000-21D3-4117-AA68-0D91C12981B2}"/>
            </c:ext>
          </c:extLst>
        </c:ser>
        <c:ser>
          <c:idx val="1"/>
          <c:order val="1"/>
          <c:tx>
            <c:strRef>
              <c:f>Blad1!$P$2</c:f>
              <c:strCache>
                <c:ptCount val="1"/>
                <c:pt idx="0">
                  <c:v>Girls</c:v>
                </c:pt>
              </c:strCache>
            </c:strRef>
          </c:tx>
          <c:spPr>
            <a:solidFill>
              <a:srgbClr val="F9C624"/>
            </a:solidFill>
            <a:ln>
              <a:noFill/>
            </a:ln>
            <a:effectLst/>
          </c:spPr>
          <c:invertIfNegative val="0"/>
          <c:dLbls>
            <c:dLbl>
              <c:idx val="7"/>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CF-9E46-8A3C-1F0565B18C73}"/>
                </c:ext>
              </c:extLst>
            </c:dLbl>
            <c:dLbl>
              <c:idx val="11"/>
              <c:layout>
                <c:manualLayout>
                  <c:x val="-0.13250517598343689"/>
                  <c:y val="1.2685086696107103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E5-3C45-85FF-E4DB3E7CD980}"/>
                </c:ext>
              </c:extLst>
            </c:dLbl>
            <c:dLbl>
              <c:idx val="1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B9CF-9E46-8A3C-1F0565B18C7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Blad1!$N$3:$N$16</c:f>
              <c:strCache>
                <c:ptCount val="14"/>
                <c:pt idx="0">
                  <c:v>Bulgaria</c:v>
                </c:pt>
                <c:pt idx="1">
                  <c:v>Cyprus</c:v>
                </c:pt>
                <c:pt idx="2">
                  <c:v>Czech Republic</c:v>
                </c:pt>
                <c:pt idx="3">
                  <c:v>Estonia</c:v>
                </c:pt>
                <c:pt idx="4">
                  <c:v>France</c:v>
                </c:pt>
                <c:pt idx="5">
                  <c:v>Greece</c:v>
                </c:pt>
                <c:pt idx="6">
                  <c:v>Ireland</c:v>
                </c:pt>
                <c:pt idx="7">
                  <c:v>Latvia</c:v>
                </c:pt>
                <c:pt idx="8">
                  <c:v>Lithuania</c:v>
                </c:pt>
                <c:pt idx="9">
                  <c:v>Poland</c:v>
                </c:pt>
                <c:pt idx="10">
                  <c:v>Slovakia</c:v>
                </c:pt>
                <c:pt idx="11">
                  <c:v>UK (England)</c:v>
                </c:pt>
                <c:pt idx="12">
                  <c:v>UK (N. Ireland)</c:v>
                </c:pt>
                <c:pt idx="13">
                  <c:v>Total average (13)</c:v>
                </c:pt>
              </c:strCache>
            </c:strRef>
          </c:cat>
          <c:val>
            <c:numRef>
              <c:f>Blad1!$P$3:$P$16</c:f>
              <c:numCache>
                <c:formatCode>0.00</c:formatCode>
                <c:ptCount val="14"/>
                <c:pt idx="0">
                  <c:v>13.203040173724212</c:v>
                </c:pt>
                <c:pt idx="1">
                  <c:v>4.3809523809523814</c:v>
                </c:pt>
                <c:pt idx="2">
                  <c:v>15.602238408243027</c:v>
                </c:pt>
                <c:pt idx="3">
                  <c:v>10.852713178294573</c:v>
                </c:pt>
                <c:pt idx="4">
                  <c:v>10.201095648031576</c:v>
                </c:pt>
                <c:pt idx="5">
                  <c:v>1.4354909731395862</c:v>
                </c:pt>
                <c:pt idx="6">
                  <c:v>9.8573772560898654</c:v>
                </c:pt>
                <c:pt idx="7">
                  <c:v>47.747747747747752</c:v>
                </c:pt>
                <c:pt idx="8">
                  <c:v>21.951219512195124</c:v>
                </c:pt>
                <c:pt idx="9">
                  <c:v>29.557889808935833</c:v>
                </c:pt>
                <c:pt idx="10">
                  <c:v>14.888870527968272</c:v>
                </c:pt>
                <c:pt idx="11">
                  <c:v>14.995750880174821</c:v>
                </c:pt>
                <c:pt idx="12">
                  <c:v>19.660014781966002</c:v>
                </c:pt>
                <c:pt idx="13">
                  <c:v>15.047625406151244</c:v>
                </c:pt>
              </c:numCache>
            </c:numRef>
          </c:val>
          <c:extLst>
            <c:ext xmlns:c16="http://schemas.microsoft.com/office/drawing/2014/chart" uri="{C3380CC4-5D6E-409C-BE32-E72D297353CC}">
              <c16:uniqueId val="{00000001-21D3-4117-AA68-0D91C12981B2}"/>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5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Blad1!$R$2</c:f>
              <c:strCache>
                <c:ptCount val="1"/>
                <c:pt idx="0">
                  <c:v>Boys</c:v>
                </c:pt>
              </c:strCache>
            </c:strRef>
          </c:tx>
          <c:spPr>
            <a:solidFill>
              <a:srgbClr val="17255B"/>
            </a:solidFill>
            <a:ln>
              <a:noFill/>
            </a:ln>
            <a:effectLst/>
          </c:spPr>
          <c:invertIfNegative val="0"/>
          <c:dLbls>
            <c:dLbl>
              <c:idx val="1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4170-C548-ADFB-C7AD9871E2A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Blad1!$Q$3:$Q$16</c:f>
              <c:strCache>
                <c:ptCount val="14"/>
                <c:pt idx="0">
                  <c:v>Bulgaria</c:v>
                </c:pt>
                <c:pt idx="1">
                  <c:v>Cyprus</c:v>
                </c:pt>
                <c:pt idx="2">
                  <c:v>Czech Republic</c:v>
                </c:pt>
                <c:pt idx="3">
                  <c:v>Estonia</c:v>
                </c:pt>
                <c:pt idx="4">
                  <c:v>France</c:v>
                </c:pt>
                <c:pt idx="5">
                  <c:v>Greece</c:v>
                </c:pt>
                <c:pt idx="6">
                  <c:v>Ireland</c:v>
                </c:pt>
                <c:pt idx="7">
                  <c:v>Latvia</c:v>
                </c:pt>
                <c:pt idx="8">
                  <c:v>Lithuania</c:v>
                </c:pt>
                <c:pt idx="9">
                  <c:v>Poland</c:v>
                </c:pt>
                <c:pt idx="10">
                  <c:v>Slovakia</c:v>
                </c:pt>
                <c:pt idx="11">
                  <c:v>UK (England)</c:v>
                </c:pt>
                <c:pt idx="12">
                  <c:v>UK (N. Ireland)</c:v>
                </c:pt>
                <c:pt idx="13">
                  <c:v>Total average (13)</c:v>
                </c:pt>
              </c:strCache>
            </c:strRef>
          </c:cat>
          <c:val>
            <c:numRef>
              <c:f>Blad1!$R$3:$R$16</c:f>
              <c:numCache>
                <c:formatCode>0.00</c:formatCode>
                <c:ptCount val="14"/>
                <c:pt idx="0">
                  <c:v>63.084395871281117</c:v>
                </c:pt>
                <c:pt idx="1">
                  <c:v>59.111111111111114</c:v>
                </c:pt>
                <c:pt idx="2">
                  <c:v>58.342226965492706</c:v>
                </c:pt>
                <c:pt idx="3">
                  <c:v>68.888888888888886</c:v>
                </c:pt>
                <c:pt idx="4">
                  <c:v>59.876873661670238</c:v>
                </c:pt>
                <c:pt idx="5">
                  <c:v>60.388821385176186</c:v>
                </c:pt>
                <c:pt idx="6">
                  <c:v>67.566445182724252</c:v>
                </c:pt>
                <c:pt idx="7">
                  <c:v>51.81818181818182</c:v>
                </c:pt>
                <c:pt idx="8">
                  <c:v>59.196891191709845</c:v>
                </c:pt>
                <c:pt idx="9">
                  <c:v>57.180400135639196</c:v>
                </c:pt>
                <c:pt idx="10">
                  <c:v>55.196419691695674</c:v>
                </c:pt>
                <c:pt idx="11">
                  <c:v>73.022321233564853</c:v>
                </c:pt>
                <c:pt idx="12">
                  <c:v>62.7972027972028</c:v>
                </c:pt>
                <c:pt idx="13">
                  <c:v>63.030195333324222</c:v>
                </c:pt>
              </c:numCache>
            </c:numRef>
          </c:val>
          <c:extLst>
            <c:ext xmlns:c16="http://schemas.microsoft.com/office/drawing/2014/chart" uri="{C3380CC4-5D6E-409C-BE32-E72D297353CC}">
              <c16:uniqueId val="{00000000-5FD2-4B98-B996-E38D0AE04AA2}"/>
            </c:ext>
          </c:extLst>
        </c:ser>
        <c:ser>
          <c:idx val="1"/>
          <c:order val="1"/>
          <c:tx>
            <c:strRef>
              <c:f>Blad1!$S$2</c:f>
              <c:strCache>
                <c:ptCount val="1"/>
                <c:pt idx="0">
                  <c:v>Girls</c:v>
                </c:pt>
              </c:strCache>
            </c:strRef>
          </c:tx>
          <c:spPr>
            <a:solidFill>
              <a:srgbClr val="F9C624"/>
            </a:solidFill>
            <a:ln>
              <a:noFill/>
            </a:ln>
            <a:effectLst/>
          </c:spPr>
          <c:invertIfNegative val="0"/>
          <c:dLbls>
            <c:dLbl>
              <c:idx val="1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0-4170-C548-ADFB-C7AD9871E2A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Blad1!$Q$3:$Q$16</c:f>
              <c:strCache>
                <c:ptCount val="14"/>
                <c:pt idx="0">
                  <c:v>Bulgaria</c:v>
                </c:pt>
                <c:pt idx="1">
                  <c:v>Cyprus</c:v>
                </c:pt>
                <c:pt idx="2">
                  <c:v>Czech Republic</c:v>
                </c:pt>
                <c:pt idx="3">
                  <c:v>Estonia</c:v>
                </c:pt>
                <c:pt idx="4">
                  <c:v>France</c:v>
                </c:pt>
                <c:pt idx="5">
                  <c:v>Greece</c:v>
                </c:pt>
                <c:pt idx="6">
                  <c:v>Ireland</c:v>
                </c:pt>
                <c:pt idx="7">
                  <c:v>Latvia</c:v>
                </c:pt>
                <c:pt idx="8">
                  <c:v>Lithuania</c:v>
                </c:pt>
                <c:pt idx="9">
                  <c:v>Poland</c:v>
                </c:pt>
                <c:pt idx="10">
                  <c:v>Slovakia</c:v>
                </c:pt>
                <c:pt idx="11">
                  <c:v>UK (England)</c:v>
                </c:pt>
                <c:pt idx="12">
                  <c:v>UK (N. Ireland)</c:v>
                </c:pt>
                <c:pt idx="13">
                  <c:v>Total average (13)</c:v>
                </c:pt>
              </c:strCache>
            </c:strRef>
          </c:cat>
          <c:val>
            <c:numRef>
              <c:f>Blad1!$S$3:$S$16</c:f>
              <c:numCache>
                <c:formatCode>0.00</c:formatCode>
                <c:ptCount val="14"/>
                <c:pt idx="0">
                  <c:v>36.915604128718883</c:v>
                </c:pt>
                <c:pt idx="1">
                  <c:v>40.888888888888893</c:v>
                </c:pt>
                <c:pt idx="2">
                  <c:v>41.657773034507294</c:v>
                </c:pt>
                <c:pt idx="3">
                  <c:v>31.111111111111111</c:v>
                </c:pt>
                <c:pt idx="4">
                  <c:v>40.123126338329762</c:v>
                </c:pt>
                <c:pt idx="5">
                  <c:v>39.611178614823814</c:v>
                </c:pt>
                <c:pt idx="6">
                  <c:v>32.433554817275748</c:v>
                </c:pt>
                <c:pt idx="7">
                  <c:v>48.18181818181818</c:v>
                </c:pt>
                <c:pt idx="8">
                  <c:v>40.803108808290155</c:v>
                </c:pt>
                <c:pt idx="9">
                  <c:v>42.819599864360804</c:v>
                </c:pt>
                <c:pt idx="10">
                  <c:v>44.803580308304326</c:v>
                </c:pt>
                <c:pt idx="11">
                  <c:v>26.977678766435155</c:v>
                </c:pt>
                <c:pt idx="12">
                  <c:v>37.202797202797207</c:v>
                </c:pt>
                <c:pt idx="13">
                  <c:v>36.969804666675785</c:v>
                </c:pt>
              </c:numCache>
            </c:numRef>
          </c:val>
          <c:extLst>
            <c:ext xmlns:c16="http://schemas.microsoft.com/office/drawing/2014/chart" uri="{C3380CC4-5D6E-409C-BE32-E72D297353CC}">
              <c16:uniqueId val="{00000001-5FD2-4B98-B996-E38D0AE04AA2}"/>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7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Blad1!$B$2</c:f>
              <c:strCache>
                <c:ptCount val="1"/>
                <c:pt idx="0">
                  <c:v>Boys</c:v>
                </c:pt>
              </c:strCache>
            </c:strRef>
          </c:tx>
          <c:spPr>
            <a:solidFill>
              <a:srgbClr val="17255B"/>
            </a:solidFill>
            <a:ln>
              <a:noFill/>
            </a:ln>
            <a:effectLst/>
          </c:spPr>
          <c:invertIfNegative val="0"/>
          <c:dLbls>
            <c:dLbl>
              <c:idx val="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030E-BC4C-867E-7BD6343E3F7B}"/>
                </c:ext>
              </c:extLst>
            </c:dLbl>
            <c:dLbl>
              <c:idx val="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030E-BC4C-867E-7BD6343E3F7B}"/>
                </c:ext>
              </c:extLst>
            </c:dLbl>
            <c:dLbl>
              <c:idx val="7"/>
              <c:layout>
                <c:manualLayout>
                  <c:x val="-0.30169704588309237"/>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52EC-6845-9AE2-FA22F3442D43}"/>
                </c:ext>
              </c:extLst>
            </c:dLbl>
            <c:dLbl>
              <c:idx val="15"/>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030E-BC4C-867E-7BD6343E3F7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Blad1!$A$3:$A$18</c:f>
              <c:strCache>
                <c:ptCount val="16"/>
                <c:pt idx="0">
                  <c:v>Bulgaria</c:v>
                </c:pt>
                <c:pt idx="1">
                  <c:v>Cyprus</c:v>
                </c:pt>
                <c:pt idx="2">
                  <c:v>Czech Republic</c:v>
                </c:pt>
                <c:pt idx="3">
                  <c:v>Estonia</c:v>
                </c:pt>
                <c:pt idx="4">
                  <c:v>France</c:v>
                </c:pt>
                <c:pt idx="5">
                  <c:v>Greece</c:v>
                </c:pt>
                <c:pt idx="6">
                  <c:v>Hungary</c:v>
                </c:pt>
                <c:pt idx="7">
                  <c:v>Lithuania</c:v>
                </c:pt>
                <c:pt idx="8">
                  <c:v>Poland</c:v>
                </c:pt>
                <c:pt idx="9">
                  <c:v>Serbia</c:v>
                </c:pt>
                <c:pt idx="10">
                  <c:v>Slovakia</c:v>
                </c:pt>
                <c:pt idx="11">
                  <c:v>Slovenia</c:v>
                </c:pt>
                <c:pt idx="12">
                  <c:v>Spain</c:v>
                </c:pt>
                <c:pt idx="13">
                  <c:v>Switzerland</c:v>
                </c:pt>
                <c:pt idx="14">
                  <c:v>UK (England)</c:v>
                </c:pt>
                <c:pt idx="15">
                  <c:v>Total average (15)</c:v>
                </c:pt>
              </c:strCache>
            </c:strRef>
          </c:cat>
          <c:val>
            <c:numRef>
              <c:f>Blad1!$B$3:$B$18</c:f>
              <c:numCache>
                <c:formatCode>0.00</c:formatCode>
                <c:ptCount val="16"/>
                <c:pt idx="0">
                  <c:v>0.14579458046352622</c:v>
                </c:pt>
                <c:pt idx="1">
                  <c:v>0.32958431178675895</c:v>
                </c:pt>
                <c:pt idx="2">
                  <c:v>1.5065872370071818</c:v>
                </c:pt>
                <c:pt idx="3">
                  <c:v>1.5370090634441087</c:v>
                </c:pt>
                <c:pt idx="4">
                  <c:v>0.14684878362665346</c:v>
                </c:pt>
                <c:pt idx="5">
                  <c:v>1.2783851976450798E-2</c:v>
                </c:pt>
                <c:pt idx="6">
                  <c:v>0.34300617033138364</c:v>
                </c:pt>
                <c:pt idx="7">
                  <c:v>0.56830222119478324</c:v>
                </c:pt>
                <c:pt idx="8">
                  <c:v>6.9983788267229688E-2</c:v>
                </c:pt>
                <c:pt idx="9">
                  <c:v>0.13176275384155528</c:v>
                </c:pt>
                <c:pt idx="10">
                  <c:v>0.14484058445296924</c:v>
                </c:pt>
                <c:pt idx="11">
                  <c:v>5.1009761413434121E-2</c:v>
                </c:pt>
                <c:pt idx="12">
                  <c:v>2.6570236641643208E-2</c:v>
                </c:pt>
                <c:pt idx="13">
                  <c:v>1.389789678495321E-2</c:v>
                </c:pt>
                <c:pt idx="14">
                  <c:v>1.0602019110645913E-2</c:v>
                </c:pt>
                <c:pt idx="15">
                  <c:v>0.17791903946305679</c:v>
                </c:pt>
              </c:numCache>
            </c:numRef>
          </c:val>
          <c:extLst>
            <c:ext xmlns:c16="http://schemas.microsoft.com/office/drawing/2014/chart" uri="{C3380CC4-5D6E-409C-BE32-E72D297353CC}">
              <c16:uniqueId val="{00000000-9DFD-4BE1-A9B4-0DB246C0ADD8}"/>
            </c:ext>
          </c:extLst>
        </c:ser>
        <c:ser>
          <c:idx val="1"/>
          <c:order val="1"/>
          <c:tx>
            <c:strRef>
              <c:f>Blad1!$C$2</c:f>
              <c:strCache>
                <c:ptCount val="1"/>
                <c:pt idx="0">
                  <c:v>Girls</c:v>
                </c:pt>
              </c:strCache>
            </c:strRef>
          </c:tx>
          <c:spPr>
            <a:solidFill>
              <a:srgbClr val="F9C623"/>
            </a:solidFill>
            <a:ln>
              <a:noFill/>
            </a:ln>
            <a:effectLst/>
          </c:spPr>
          <c:invertIfNegative val="0"/>
          <c:dLbls>
            <c:dLbl>
              <c:idx val="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F41-0A45-A608-FE2AC27875E1}"/>
                </c:ext>
              </c:extLst>
            </c:dLbl>
            <c:dLbl>
              <c:idx val="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F41-0A45-A608-FE2AC27875E1}"/>
                </c:ext>
              </c:extLst>
            </c:dLbl>
            <c:dLbl>
              <c:idx val="7"/>
              <c:layout>
                <c:manualLayout>
                  <c:x val="-0.12570710245128849"/>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EC-6845-9AE2-FA22F3442D43}"/>
                </c:ext>
              </c:extLst>
            </c:dLbl>
            <c:dLbl>
              <c:idx val="15"/>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030E-BC4C-867E-7BD6343E3F7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Blad1!$A$3:$A$18</c:f>
              <c:strCache>
                <c:ptCount val="16"/>
                <c:pt idx="0">
                  <c:v>Bulgaria</c:v>
                </c:pt>
                <c:pt idx="1">
                  <c:v>Cyprus</c:v>
                </c:pt>
                <c:pt idx="2">
                  <c:v>Czech Republic</c:v>
                </c:pt>
                <c:pt idx="3">
                  <c:v>Estonia</c:v>
                </c:pt>
                <c:pt idx="4">
                  <c:v>France</c:v>
                </c:pt>
                <c:pt idx="5">
                  <c:v>Greece</c:v>
                </c:pt>
                <c:pt idx="6">
                  <c:v>Hungary</c:v>
                </c:pt>
                <c:pt idx="7">
                  <c:v>Lithuania</c:v>
                </c:pt>
                <c:pt idx="8">
                  <c:v>Poland</c:v>
                </c:pt>
                <c:pt idx="9">
                  <c:v>Serbia</c:v>
                </c:pt>
                <c:pt idx="10">
                  <c:v>Slovakia</c:v>
                </c:pt>
                <c:pt idx="11">
                  <c:v>Slovenia</c:v>
                </c:pt>
                <c:pt idx="12">
                  <c:v>Spain</c:v>
                </c:pt>
                <c:pt idx="13">
                  <c:v>Switzerland</c:v>
                </c:pt>
                <c:pt idx="14">
                  <c:v>UK (England)</c:v>
                </c:pt>
                <c:pt idx="15">
                  <c:v>Total average (15)</c:v>
                </c:pt>
              </c:strCache>
            </c:strRef>
          </c:cat>
          <c:val>
            <c:numRef>
              <c:f>Blad1!$C$3:$C$18</c:f>
              <c:numCache>
                <c:formatCode>0.00</c:formatCode>
                <c:ptCount val="16"/>
                <c:pt idx="0">
                  <c:v>8.546578854758434E-2</c:v>
                </c:pt>
                <c:pt idx="1">
                  <c:v>0.10299509743336217</c:v>
                </c:pt>
                <c:pt idx="2">
                  <c:v>0.80037446966006542</c:v>
                </c:pt>
                <c:pt idx="3">
                  <c:v>0.57779456193353473</c:v>
                </c:pt>
                <c:pt idx="4">
                  <c:v>7.7504609279156381E-2</c:v>
                </c:pt>
                <c:pt idx="5">
                  <c:v>2.6913372582001685E-3</c:v>
                </c:pt>
                <c:pt idx="6">
                  <c:v>0.1404781928078945</c:v>
                </c:pt>
                <c:pt idx="7">
                  <c:v>0.25525438748579243</c:v>
                </c:pt>
                <c:pt idx="8">
                  <c:v>2.6626828532649676E-2</c:v>
                </c:pt>
                <c:pt idx="9">
                  <c:v>9.0281886891436028E-2</c:v>
                </c:pt>
                <c:pt idx="10">
                  <c:v>5.9996727451229935E-2</c:v>
                </c:pt>
                <c:pt idx="11">
                  <c:v>8.8107769714113465E-2</c:v>
                </c:pt>
                <c:pt idx="12">
                  <c:v>1.2944474261313357E-2</c:v>
                </c:pt>
                <c:pt idx="13">
                  <c:v>1.2160659686834059E-2</c:v>
                </c:pt>
                <c:pt idx="14">
                  <c:v>4.0517270486544891E-3</c:v>
                </c:pt>
                <c:pt idx="15">
                  <c:v>8.9843069587722355E-2</c:v>
                </c:pt>
              </c:numCache>
            </c:numRef>
          </c:val>
          <c:extLst>
            <c:ext xmlns:c16="http://schemas.microsoft.com/office/drawing/2014/chart" uri="{C3380CC4-5D6E-409C-BE32-E72D297353CC}">
              <c16:uniqueId val="{00000001-9DFD-4BE1-A9B4-0DB246C0ADD8}"/>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6"/>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Blad1!$E$2</c:f>
              <c:strCache>
                <c:ptCount val="1"/>
                <c:pt idx="0">
                  <c:v>Boys</c:v>
                </c:pt>
              </c:strCache>
            </c:strRef>
          </c:tx>
          <c:spPr>
            <a:solidFill>
              <a:srgbClr val="17255B"/>
            </a:solidFill>
            <a:ln>
              <a:noFill/>
            </a:ln>
            <a:effectLst/>
          </c:spPr>
          <c:invertIfNegative val="0"/>
          <c:dLbls>
            <c:dLbl>
              <c:idx val="15"/>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96C0-4746-BFF5-D075270E2E9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Blad1!$D$3:$D$18</c:f>
              <c:strCache>
                <c:ptCount val="16"/>
                <c:pt idx="0">
                  <c:v>Bulgaria</c:v>
                </c:pt>
                <c:pt idx="1">
                  <c:v>Cyprus</c:v>
                </c:pt>
                <c:pt idx="2">
                  <c:v>Czech Republic</c:v>
                </c:pt>
                <c:pt idx="3">
                  <c:v>Estonia</c:v>
                </c:pt>
                <c:pt idx="4">
                  <c:v>France</c:v>
                </c:pt>
                <c:pt idx="5">
                  <c:v>Greece</c:v>
                </c:pt>
                <c:pt idx="6">
                  <c:v>Hungary</c:v>
                </c:pt>
                <c:pt idx="7">
                  <c:v>Lithuania</c:v>
                </c:pt>
                <c:pt idx="8">
                  <c:v>Poland</c:v>
                </c:pt>
                <c:pt idx="9">
                  <c:v>Serbia</c:v>
                </c:pt>
                <c:pt idx="10">
                  <c:v>Slovakia</c:v>
                </c:pt>
                <c:pt idx="11">
                  <c:v>Slovenia</c:v>
                </c:pt>
                <c:pt idx="12">
                  <c:v>Spain</c:v>
                </c:pt>
                <c:pt idx="13">
                  <c:v>Switzerland</c:v>
                </c:pt>
                <c:pt idx="14">
                  <c:v>UK (England)</c:v>
                </c:pt>
                <c:pt idx="15">
                  <c:v>Total average (15)</c:v>
                </c:pt>
              </c:strCache>
            </c:strRef>
          </c:cat>
          <c:val>
            <c:numRef>
              <c:f>Blad1!$E$3:$E$18</c:f>
              <c:numCache>
                <c:formatCode>0.00</c:formatCode>
                <c:ptCount val="16"/>
                <c:pt idx="0">
                  <c:v>63.04347826086957</c:v>
                </c:pt>
                <c:pt idx="1">
                  <c:v>76.19047619047619</c:v>
                </c:pt>
                <c:pt idx="2">
                  <c:v>65.306122448979593</c:v>
                </c:pt>
                <c:pt idx="3">
                  <c:v>72.678571428571431</c:v>
                </c:pt>
                <c:pt idx="4">
                  <c:v>65.454229028889671</c:v>
                </c:pt>
                <c:pt idx="5">
                  <c:v>82.608695652173907</c:v>
                </c:pt>
                <c:pt idx="6">
                  <c:v>70.944625407166129</c:v>
                </c:pt>
                <c:pt idx="7">
                  <c:v>69.005847953216374</c:v>
                </c:pt>
                <c:pt idx="8">
                  <c:v>72.439024390243901</c:v>
                </c:pt>
                <c:pt idx="9">
                  <c:v>59.340659340659343</c:v>
                </c:pt>
                <c:pt idx="10">
                  <c:v>70.710059171597635</c:v>
                </c:pt>
                <c:pt idx="11">
                  <c:v>36.666666666666664</c:v>
                </c:pt>
                <c:pt idx="12">
                  <c:v>67.241379310344826</c:v>
                </c:pt>
                <c:pt idx="13">
                  <c:v>53.333333333333336</c:v>
                </c:pt>
                <c:pt idx="14">
                  <c:v>72.350230414746548</c:v>
                </c:pt>
                <c:pt idx="15">
                  <c:v>66.45</c:v>
                </c:pt>
              </c:numCache>
            </c:numRef>
          </c:val>
          <c:extLst>
            <c:ext xmlns:c16="http://schemas.microsoft.com/office/drawing/2014/chart" uri="{C3380CC4-5D6E-409C-BE32-E72D297353CC}">
              <c16:uniqueId val="{00000000-5976-445E-B1B0-0757C1DB4A8A}"/>
            </c:ext>
          </c:extLst>
        </c:ser>
        <c:ser>
          <c:idx val="1"/>
          <c:order val="1"/>
          <c:tx>
            <c:strRef>
              <c:f>Blad1!$F$2</c:f>
              <c:strCache>
                <c:ptCount val="1"/>
                <c:pt idx="0">
                  <c:v>Girls</c:v>
                </c:pt>
              </c:strCache>
            </c:strRef>
          </c:tx>
          <c:spPr>
            <a:solidFill>
              <a:srgbClr val="F9C623"/>
            </a:solidFill>
            <a:ln>
              <a:noFill/>
            </a:ln>
            <a:effectLst/>
          </c:spPr>
          <c:invertIfNegative val="0"/>
          <c:dLbls>
            <c:dLbl>
              <c:idx val="15"/>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96C0-4746-BFF5-D075270E2E9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Blad1!$D$3:$D$18</c:f>
              <c:strCache>
                <c:ptCount val="16"/>
                <c:pt idx="0">
                  <c:v>Bulgaria</c:v>
                </c:pt>
                <c:pt idx="1">
                  <c:v>Cyprus</c:v>
                </c:pt>
                <c:pt idx="2">
                  <c:v>Czech Republic</c:v>
                </c:pt>
                <c:pt idx="3">
                  <c:v>Estonia</c:v>
                </c:pt>
                <c:pt idx="4">
                  <c:v>France</c:v>
                </c:pt>
                <c:pt idx="5">
                  <c:v>Greece</c:v>
                </c:pt>
                <c:pt idx="6">
                  <c:v>Hungary</c:v>
                </c:pt>
                <c:pt idx="7">
                  <c:v>Lithuania</c:v>
                </c:pt>
                <c:pt idx="8">
                  <c:v>Poland</c:v>
                </c:pt>
                <c:pt idx="9">
                  <c:v>Serbia</c:v>
                </c:pt>
                <c:pt idx="10">
                  <c:v>Slovakia</c:v>
                </c:pt>
                <c:pt idx="11">
                  <c:v>Slovenia</c:v>
                </c:pt>
                <c:pt idx="12">
                  <c:v>Spain</c:v>
                </c:pt>
                <c:pt idx="13">
                  <c:v>Switzerland</c:v>
                </c:pt>
                <c:pt idx="14">
                  <c:v>UK (England)</c:v>
                </c:pt>
                <c:pt idx="15">
                  <c:v>Total average (15)</c:v>
                </c:pt>
              </c:strCache>
            </c:strRef>
          </c:cat>
          <c:val>
            <c:numRef>
              <c:f>Blad1!$F$3:$F$18</c:f>
              <c:numCache>
                <c:formatCode>0.00</c:formatCode>
                <c:ptCount val="16"/>
                <c:pt idx="0">
                  <c:v>36.95652173913043</c:v>
                </c:pt>
                <c:pt idx="1">
                  <c:v>23.809523809523807</c:v>
                </c:pt>
                <c:pt idx="2">
                  <c:v>34.693877551020407</c:v>
                </c:pt>
                <c:pt idx="3">
                  <c:v>27.321428571428569</c:v>
                </c:pt>
                <c:pt idx="4">
                  <c:v>34.545770971110343</c:v>
                </c:pt>
                <c:pt idx="5">
                  <c:v>17.391304347826086</c:v>
                </c:pt>
                <c:pt idx="6">
                  <c:v>29.055374592833878</c:v>
                </c:pt>
                <c:pt idx="7">
                  <c:v>30.994152046783626</c:v>
                </c:pt>
                <c:pt idx="8">
                  <c:v>27.560975609756099</c:v>
                </c:pt>
                <c:pt idx="9">
                  <c:v>40.659340659340657</c:v>
                </c:pt>
                <c:pt idx="10">
                  <c:v>29.289940828402365</c:v>
                </c:pt>
                <c:pt idx="11">
                  <c:v>63.333333333333329</c:v>
                </c:pt>
                <c:pt idx="12">
                  <c:v>32.758620689655174</c:v>
                </c:pt>
                <c:pt idx="13">
                  <c:v>46.666666666666664</c:v>
                </c:pt>
                <c:pt idx="14">
                  <c:v>27.649769585253459</c:v>
                </c:pt>
                <c:pt idx="15">
                  <c:v>33.549999999999997</c:v>
                </c:pt>
              </c:numCache>
            </c:numRef>
          </c:val>
          <c:extLst>
            <c:ext xmlns:c16="http://schemas.microsoft.com/office/drawing/2014/chart" uri="{C3380CC4-5D6E-409C-BE32-E72D297353CC}">
              <c16:uniqueId val="{00000001-5976-445E-B1B0-0757C1DB4A8A}"/>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8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9"/>
            <c:invertIfNegative val="0"/>
            <c:bubble3D val="0"/>
            <c:spPr>
              <a:solidFill>
                <a:srgbClr val="F9C623"/>
              </a:solidFill>
              <a:ln>
                <a:noFill/>
              </a:ln>
              <a:effectLst/>
            </c:spPr>
            <c:extLst>
              <c:ext xmlns:c16="http://schemas.microsoft.com/office/drawing/2014/chart" uri="{C3380CC4-5D6E-409C-BE32-E72D297353CC}">
                <c16:uniqueId val="{00000001-5F0D-4CC7-AB2B-BBFDF1AF3DCD}"/>
              </c:ext>
            </c:extLst>
          </c:dPt>
          <c:dPt>
            <c:idx val="20"/>
            <c:invertIfNegative val="0"/>
            <c:bubble3D val="0"/>
            <c:extLst>
              <c:ext xmlns:c16="http://schemas.microsoft.com/office/drawing/2014/chart" uri="{C3380CC4-5D6E-409C-BE32-E72D297353CC}">
                <c16:uniqueId val="{00000003-5F0D-4CC7-AB2B-BBFDF1AF3DCD}"/>
              </c:ext>
            </c:extLst>
          </c:dPt>
          <c:dPt>
            <c:idx val="27"/>
            <c:invertIfNegative val="0"/>
            <c:bubble3D val="0"/>
            <c:extLst>
              <c:ext xmlns:c16="http://schemas.microsoft.com/office/drawing/2014/chart" uri="{C3380CC4-5D6E-409C-BE32-E72D297353CC}">
                <c16:uniqueId val="{00000005-5F0D-4CC7-AB2B-BBFDF1AF3DCD}"/>
              </c:ext>
            </c:extLst>
          </c:dPt>
          <c:dLbls>
            <c:dLbl>
              <c:idx val="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A9DB-4543-8C48-2325A48443F2}"/>
                </c:ext>
              </c:extLst>
            </c:dLbl>
            <c:dLbl>
              <c:idx val="1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5F0D-4CC7-AB2B-BBFDF1AF3DC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'3b.3 - ISCED 02'!$F$3:$F$22</c:f>
              <c:strCache>
                <c:ptCount val="20"/>
                <c:pt idx="0">
                  <c:v>Belgium (Fl)</c:v>
                </c:pt>
                <c:pt idx="1">
                  <c:v>Bulgaria</c:v>
                </c:pt>
                <c:pt idx="2">
                  <c:v>Cyprus</c:v>
                </c:pt>
                <c:pt idx="3">
                  <c:v>Czech Republic</c:v>
                </c:pt>
                <c:pt idx="4">
                  <c:v>Estonia</c:v>
                </c:pt>
                <c:pt idx="5">
                  <c:v>France</c:v>
                </c:pt>
                <c:pt idx="6">
                  <c:v>Greece</c:v>
                </c:pt>
                <c:pt idx="7">
                  <c:v>Italy</c:v>
                </c:pt>
                <c:pt idx="8">
                  <c:v>Latvia</c:v>
                </c:pt>
                <c:pt idx="9">
                  <c:v>Lithuania</c:v>
                </c:pt>
                <c:pt idx="10">
                  <c:v>Luxembourg</c:v>
                </c:pt>
                <c:pt idx="11">
                  <c:v>Netherlands</c:v>
                </c:pt>
                <c:pt idx="12">
                  <c:v>Poland</c:v>
                </c:pt>
                <c:pt idx="13">
                  <c:v>Slovakia</c:v>
                </c:pt>
                <c:pt idx="14">
                  <c:v>Spain</c:v>
                </c:pt>
                <c:pt idx="15">
                  <c:v>Switzerland</c:v>
                </c:pt>
                <c:pt idx="16">
                  <c:v>UK (England)</c:v>
                </c:pt>
                <c:pt idx="17">
                  <c:v>UK (N. Ireland)</c:v>
                </c:pt>
                <c:pt idx="18">
                  <c:v>UK (Wales)</c:v>
                </c:pt>
                <c:pt idx="19">
                  <c:v>Total average (19)</c:v>
                </c:pt>
              </c:strCache>
            </c:strRef>
          </c:cat>
          <c:val>
            <c:numRef>
              <c:f>'3b.3 - ISCED 02'!$G$3:$G$22</c:f>
              <c:numCache>
                <c:formatCode>0.00</c:formatCode>
                <c:ptCount val="20"/>
                <c:pt idx="0">
                  <c:v>0.72952634565529417</c:v>
                </c:pt>
                <c:pt idx="1">
                  <c:v>4.6922393712399244E-2</c:v>
                </c:pt>
                <c:pt idx="2">
                  <c:v>0.14419313640670703</c:v>
                </c:pt>
                <c:pt idx="3">
                  <c:v>1.0439430348915373</c:v>
                </c:pt>
                <c:pt idx="4">
                  <c:v>0.2511329305135952</c:v>
                </c:pt>
                <c:pt idx="5">
                  <c:v>0.85052035462360864</c:v>
                </c:pt>
                <c:pt idx="6">
                  <c:v>0.40370058873002523</c:v>
                </c:pt>
                <c:pt idx="7">
                  <c:v>1.1192730255859231E-2</c:v>
                </c:pt>
                <c:pt idx="8">
                  <c:v>4.4572144742806863</c:v>
                </c:pt>
                <c:pt idx="9">
                  <c:v>0.8486004353772949</c:v>
                </c:pt>
                <c:pt idx="10">
                  <c:v>0.28471818710052293</c:v>
                </c:pt>
                <c:pt idx="11">
                  <c:v>1.0565984072810013</c:v>
                </c:pt>
                <c:pt idx="12">
                  <c:v>0.47480583622379735</c:v>
                </c:pt>
                <c:pt idx="13">
                  <c:v>1.177511529674139</c:v>
                </c:pt>
                <c:pt idx="14">
                  <c:v>0.11498629475400579</c:v>
                </c:pt>
                <c:pt idx="15">
                  <c:v>1.0915639766515333</c:v>
                </c:pt>
                <c:pt idx="16">
                  <c:v>0.2129182564067934</c:v>
                </c:pt>
                <c:pt idx="17">
                  <c:v>0.36941723393657644</c:v>
                </c:pt>
                <c:pt idx="18">
                  <c:v>0.32293434669630655</c:v>
                </c:pt>
                <c:pt idx="19">
                  <c:v>0.51148888199520715</c:v>
                </c:pt>
              </c:numCache>
            </c:numRef>
          </c:val>
          <c:extLst>
            <c:ext xmlns:c16="http://schemas.microsoft.com/office/drawing/2014/chart" uri="{C3380CC4-5D6E-409C-BE32-E72D297353CC}">
              <c16:uniqueId val="{00000006-5F0D-4CC7-AB2B-BBFDF1AF3DCD}"/>
            </c:ext>
          </c:extLst>
        </c:ser>
        <c:dLbls>
          <c:showLegendKey val="0"/>
          <c:showVal val="0"/>
          <c:showCatName val="0"/>
          <c:showSerName val="0"/>
          <c:showPercent val="0"/>
          <c:showBubbleSize val="0"/>
        </c:dLbls>
        <c:gapWidth val="20"/>
        <c:overlap val="-66"/>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5"/>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Blad1!$B$2</c:f>
              <c:strCache>
                <c:ptCount val="1"/>
                <c:pt idx="0">
                  <c:v>Boys</c:v>
                </c:pt>
              </c:strCache>
            </c:strRef>
          </c:tx>
          <c:spPr>
            <a:solidFill>
              <a:srgbClr val="17255B"/>
            </a:solidFill>
            <a:ln>
              <a:noFill/>
            </a:ln>
            <a:effectLst/>
          </c:spPr>
          <c:invertIfNegative val="0"/>
          <c:dLbls>
            <c:dLbl>
              <c:idx val="0"/>
              <c:layout>
                <c:manualLayout>
                  <c:x val="-0.32595068951107403"/>
                  <c:y val="7.7695887216260333E-18"/>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CA25-1343-8021-BC2F75FD0AD1}"/>
                </c:ext>
              </c:extLst>
            </c:dLbl>
            <c:dLbl>
              <c:idx val="3"/>
              <c:layout>
                <c:manualLayout>
                  <c:x val="-0.36356038445465944"/>
                  <c:y val="0"/>
                </c:manualLayout>
              </c:layout>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33387537798895073"/>
                      <c:h val="1.7551353292230232E-2"/>
                    </c:manualLayout>
                  </c15:layout>
                </c:ext>
                <c:ext xmlns:c16="http://schemas.microsoft.com/office/drawing/2014/chart" uri="{C3380CC4-5D6E-409C-BE32-E72D297353CC}">
                  <c16:uniqueId val="{00000003-CA25-1343-8021-BC2F75FD0AD1}"/>
                </c:ext>
              </c:extLst>
            </c:dLbl>
            <c:dLbl>
              <c:idx val="5"/>
              <c:layout>
                <c:manualLayout>
                  <c:x val="-0.2549101546176348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CA25-1343-8021-BC2F75FD0AD1}"/>
                </c:ext>
              </c:extLst>
            </c:dLbl>
            <c:dLbl>
              <c:idx val="6"/>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CA25-1343-8021-BC2F75FD0AD1}"/>
                </c:ext>
              </c:extLst>
            </c:dLbl>
            <c:dLbl>
              <c:idx val="8"/>
              <c:layout>
                <c:manualLayout>
                  <c:x val="-0.3008775595486836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CA25-1343-8021-BC2F75FD0AD1}"/>
                </c:ext>
              </c:extLst>
            </c:dLbl>
            <c:dLbl>
              <c:idx val="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CA25-1343-8021-BC2F75FD0AD1}"/>
                </c:ext>
              </c:extLst>
            </c:dLbl>
            <c:dLbl>
              <c:idx val="10"/>
              <c:layout>
                <c:manualLayout>
                  <c:x val="-0.25491015461763483"/>
                  <c:y val="6.2156709773008266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CA25-1343-8021-BC2F75FD0AD1}"/>
                </c:ext>
              </c:extLst>
            </c:dLbl>
            <c:dLbl>
              <c:idx val="11"/>
              <c:layout>
                <c:manualLayout>
                  <c:x val="-0.2841621395737568"/>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CA25-1343-8021-BC2F75FD0AD1}"/>
                </c:ext>
              </c:extLst>
            </c:dLbl>
            <c:dLbl>
              <c:idx val="1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CA25-1343-8021-BC2F75FD0AD1}"/>
                </c:ext>
              </c:extLst>
            </c:dLbl>
            <c:dLbl>
              <c:idx val="17"/>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A25-1343-8021-BC2F75FD0AD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Blad1!$A$3:$A$20</c:f>
              <c:strCache>
                <c:ptCount val="18"/>
                <c:pt idx="0">
                  <c:v>Belgium (Fl)</c:v>
                </c:pt>
                <c:pt idx="1">
                  <c:v>Bulgaria</c:v>
                </c:pt>
                <c:pt idx="2">
                  <c:v>Cyprus</c:v>
                </c:pt>
                <c:pt idx="3">
                  <c:v>Czech Republic</c:v>
                </c:pt>
                <c:pt idx="4">
                  <c:v>Estonia</c:v>
                </c:pt>
                <c:pt idx="5">
                  <c:v>France</c:v>
                </c:pt>
                <c:pt idx="6">
                  <c:v>Greece</c:v>
                </c:pt>
                <c:pt idx="7">
                  <c:v>Italy</c:v>
                </c:pt>
                <c:pt idx="8">
                  <c:v>Lithuania</c:v>
                </c:pt>
                <c:pt idx="9">
                  <c:v>Netherlands</c:v>
                </c:pt>
                <c:pt idx="10">
                  <c:v>Poland</c:v>
                </c:pt>
                <c:pt idx="11">
                  <c:v>Slovakia</c:v>
                </c:pt>
                <c:pt idx="12">
                  <c:v>Spain</c:v>
                </c:pt>
                <c:pt idx="13">
                  <c:v>Switzerland</c:v>
                </c:pt>
                <c:pt idx="14">
                  <c:v>UK (England)</c:v>
                </c:pt>
                <c:pt idx="15">
                  <c:v>UK (N. Ireland)</c:v>
                </c:pt>
                <c:pt idx="16">
                  <c:v>UK (Wales)</c:v>
                </c:pt>
                <c:pt idx="17">
                  <c:v>Total average (17)</c:v>
                </c:pt>
              </c:strCache>
            </c:strRef>
          </c:cat>
          <c:val>
            <c:numRef>
              <c:f>Blad1!$B$3:$B$20</c:f>
              <c:numCache>
                <c:formatCode>0.00</c:formatCode>
                <c:ptCount val="18"/>
                <c:pt idx="0">
                  <c:v>0.52257377784865755</c:v>
                </c:pt>
                <c:pt idx="1">
                  <c:v>2.8488596182528112E-2</c:v>
                </c:pt>
                <c:pt idx="2">
                  <c:v>8.6515881844024228E-2</c:v>
                </c:pt>
                <c:pt idx="3">
                  <c:v>0.68416913183454753</c:v>
                </c:pt>
                <c:pt idx="4">
                  <c:v>0.17560422960725075</c:v>
                </c:pt>
                <c:pt idx="5">
                  <c:v>0.5422979940948125</c:v>
                </c:pt>
                <c:pt idx="6">
                  <c:v>0.2765349032800673</c:v>
                </c:pt>
                <c:pt idx="7">
                  <c:v>7.7032319996207634E-3</c:v>
                </c:pt>
                <c:pt idx="8">
                  <c:v>0.59141959968406255</c:v>
                </c:pt>
                <c:pt idx="9">
                  <c:v>0.76422070534698527</c:v>
                </c:pt>
                <c:pt idx="10">
                  <c:v>0.32611974061227567</c:v>
                </c:pt>
                <c:pt idx="11">
                  <c:v>0.74965607936536793</c:v>
                </c:pt>
                <c:pt idx="12">
                  <c:v>7.1913745896185308E-2</c:v>
                </c:pt>
                <c:pt idx="13">
                  <c:v>0.77712406189196703</c:v>
                </c:pt>
                <c:pt idx="14">
                  <c:v>0.14822568119661006</c:v>
                </c:pt>
                <c:pt idx="15">
                  <c:v>0.2656483479993359</c:v>
                </c:pt>
                <c:pt idx="16">
                  <c:v>0.23131111344758701</c:v>
                </c:pt>
                <c:pt idx="17">
                  <c:v>0.31426338023699441</c:v>
                </c:pt>
              </c:numCache>
            </c:numRef>
          </c:val>
          <c:extLst>
            <c:ext xmlns:c16="http://schemas.microsoft.com/office/drawing/2014/chart" uri="{C3380CC4-5D6E-409C-BE32-E72D297353CC}">
              <c16:uniqueId val="{00000000-B8FE-4603-8A54-BE12ED85F52A}"/>
            </c:ext>
          </c:extLst>
        </c:ser>
        <c:ser>
          <c:idx val="1"/>
          <c:order val="1"/>
          <c:tx>
            <c:strRef>
              <c:f>Blad1!$C$2</c:f>
              <c:strCache>
                <c:ptCount val="1"/>
                <c:pt idx="0">
                  <c:v>Girls</c:v>
                </c:pt>
              </c:strCache>
            </c:strRef>
          </c:tx>
          <c:spPr>
            <a:solidFill>
              <a:srgbClr val="F9C623"/>
            </a:solidFill>
            <a:ln>
              <a:noFill/>
            </a:ln>
            <a:effectLst/>
          </c:spPr>
          <c:invertIfNegative val="0"/>
          <c:dLbls>
            <c:dLbl>
              <c:idx val="0"/>
              <c:layout>
                <c:manualLayout>
                  <c:x val="-0.11700793982448811"/>
                  <c:y val="7.7695887216260333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CC-BD46-8EB2-49FF7203AE4F}"/>
                </c:ext>
              </c:extLst>
            </c:dLbl>
            <c:dLbl>
              <c:idx val="3"/>
              <c:layout>
                <c:manualLayout>
                  <c:x val="-0.12118679481821981"/>
                  <c:y val="3.107835488650413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CC-BD46-8EB2-49FF7203AE4F}"/>
                </c:ext>
              </c:extLst>
            </c:dLbl>
            <c:dLbl>
              <c:idx val="5"/>
              <c:layout>
                <c:manualLayout>
                  <c:x val="-0.1128290848307563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CC-BD46-8EB2-49FF7203AE4F}"/>
                </c:ext>
              </c:extLst>
            </c:dLbl>
            <c:dLbl>
              <c:idx val="8"/>
              <c:layout>
                <c:manualLayout>
                  <c:x val="-0.12536564981195156"/>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CC-BD46-8EB2-49FF7203AE4F}"/>
                </c:ext>
              </c:extLst>
            </c:dLbl>
            <c:dLbl>
              <c:idx val="9"/>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A25-1343-8021-BC2F75FD0AD1}"/>
                </c:ext>
              </c:extLst>
            </c:dLbl>
            <c:dLbl>
              <c:idx val="10"/>
              <c:layout>
                <c:manualLayout>
                  <c:x val="-0.11282908483075638"/>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CC-BD46-8EB2-49FF7203AE4F}"/>
                </c:ext>
              </c:extLst>
            </c:dLbl>
            <c:dLbl>
              <c:idx val="11"/>
              <c:layout>
                <c:manualLayout>
                  <c:x val="-0.11282908483075645"/>
                  <c:y val="-1.69520257670791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CC-BD46-8EB2-49FF7203AE4F}"/>
                </c:ext>
              </c:extLst>
            </c:dLbl>
            <c:dLbl>
              <c:idx val="1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A25-1343-8021-BC2F75FD0AD1}"/>
                </c:ext>
              </c:extLst>
            </c:dLbl>
            <c:dLbl>
              <c:idx val="17"/>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CA25-1343-8021-BC2F75FD0AD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Blad1!$A$3:$A$20</c:f>
              <c:strCache>
                <c:ptCount val="18"/>
                <c:pt idx="0">
                  <c:v>Belgium (Fl)</c:v>
                </c:pt>
                <c:pt idx="1">
                  <c:v>Bulgaria</c:v>
                </c:pt>
                <c:pt idx="2">
                  <c:v>Cyprus</c:v>
                </c:pt>
                <c:pt idx="3">
                  <c:v>Czech Republic</c:v>
                </c:pt>
                <c:pt idx="4">
                  <c:v>Estonia</c:v>
                </c:pt>
                <c:pt idx="5">
                  <c:v>France</c:v>
                </c:pt>
                <c:pt idx="6">
                  <c:v>Greece</c:v>
                </c:pt>
                <c:pt idx="7">
                  <c:v>Italy</c:v>
                </c:pt>
                <c:pt idx="8">
                  <c:v>Lithuania</c:v>
                </c:pt>
                <c:pt idx="9">
                  <c:v>Netherlands</c:v>
                </c:pt>
                <c:pt idx="10">
                  <c:v>Poland</c:v>
                </c:pt>
                <c:pt idx="11">
                  <c:v>Slovakia</c:v>
                </c:pt>
                <c:pt idx="12">
                  <c:v>Spain</c:v>
                </c:pt>
                <c:pt idx="13">
                  <c:v>Switzerland</c:v>
                </c:pt>
                <c:pt idx="14">
                  <c:v>UK (England)</c:v>
                </c:pt>
                <c:pt idx="15">
                  <c:v>UK (N. Ireland)</c:v>
                </c:pt>
                <c:pt idx="16">
                  <c:v>UK (Wales)</c:v>
                </c:pt>
                <c:pt idx="17">
                  <c:v>Total average (17)</c:v>
                </c:pt>
              </c:strCache>
            </c:strRef>
          </c:cat>
          <c:val>
            <c:numRef>
              <c:f>Blad1!$C$3:$C$20</c:f>
              <c:numCache>
                <c:formatCode>0.00</c:formatCode>
                <c:ptCount val="18"/>
                <c:pt idx="0">
                  <c:v>0.20695256780663657</c:v>
                </c:pt>
                <c:pt idx="1">
                  <c:v>1.8433797529871131E-2</c:v>
                </c:pt>
                <c:pt idx="2">
                  <c:v>5.7677254562682814E-2</c:v>
                </c:pt>
                <c:pt idx="3">
                  <c:v>0.35977390305698959</c:v>
                </c:pt>
                <c:pt idx="4">
                  <c:v>7.5528700906344406E-2</c:v>
                </c:pt>
                <c:pt idx="5">
                  <c:v>0.3082223605287962</c:v>
                </c:pt>
                <c:pt idx="6">
                  <c:v>0.12716568544995796</c:v>
                </c:pt>
                <c:pt idx="7">
                  <c:v>3.4894982562384659E-3</c:v>
                </c:pt>
                <c:pt idx="8">
                  <c:v>0.25718083569323241</c:v>
                </c:pt>
                <c:pt idx="9">
                  <c:v>0.29237770193401597</c:v>
                </c:pt>
                <c:pt idx="10">
                  <c:v>0.14868609561152163</c:v>
                </c:pt>
                <c:pt idx="11">
                  <c:v>0.42785545030877109</c:v>
                </c:pt>
                <c:pt idx="12">
                  <c:v>4.307254885782047E-2</c:v>
                </c:pt>
                <c:pt idx="13">
                  <c:v>0.3144399147595664</c:v>
                </c:pt>
                <c:pt idx="14">
                  <c:v>6.4692575210183345E-2</c:v>
                </c:pt>
                <c:pt idx="15">
                  <c:v>0.10376888593724058</c:v>
                </c:pt>
                <c:pt idx="16">
                  <c:v>9.1623233248719516E-2</c:v>
                </c:pt>
                <c:pt idx="17">
                  <c:v>0.16061271158943766</c:v>
                </c:pt>
              </c:numCache>
            </c:numRef>
          </c:val>
          <c:extLst>
            <c:ext xmlns:c16="http://schemas.microsoft.com/office/drawing/2014/chart" uri="{C3380CC4-5D6E-409C-BE32-E72D297353CC}">
              <c16:uniqueId val="{00000001-B8FE-4603-8A54-BE12ED85F52A}"/>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557574547935303E-2"/>
          <c:y val="4.2025924414204135E-2"/>
          <c:w val="0.82435071680864325"/>
          <c:h val="0.91925085232488879"/>
        </c:manualLayout>
      </c:layout>
      <c:barChart>
        <c:barDir val="bar"/>
        <c:grouping val="clustered"/>
        <c:varyColors val="0"/>
        <c:ser>
          <c:idx val="0"/>
          <c:order val="0"/>
          <c:tx>
            <c:strRef>
              <c:f>Blad1!$E$2</c:f>
              <c:strCache>
                <c:ptCount val="1"/>
                <c:pt idx="0">
                  <c:v>Boys</c:v>
                </c:pt>
              </c:strCache>
            </c:strRef>
          </c:tx>
          <c:spPr>
            <a:solidFill>
              <a:srgbClr val="17255B"/>
            </a:solidFill>
            <a:ln>
              <a:noFill/>
            </a:ln>
            <a:effectLst/>
          </c:spPr>
          <c:invertIfNegative val="0"/>
          <c:dLbls>
            <c:dLbl>
              <c:idx val="17"/>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832C-8943-8A35-B36B2C95C27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Blad1!$D$3:$D$20</c:f>
              <c:strCache>
                <c:ptCount val="18"/>
                <c:pt idx="0">
                  <c:v>Belgium (Fl)</c:v>
                </c:pt>
                <c:pt idx="1">
                  <c:v>Bulgaria</c:v>
                </c:pt>
                <c:pt idx="2">
                  <c:v>Cyprus</c:v>
                </c:pt>
                <c:pt idx="3">
                  <c:v>Czech Republic</c:v>
                </c:pt>
                <c:pt idx="4">
                  <c:v>Estonia</c:v>
                </c:pt>
                <c:pt idx="5">
                  <c:v>France</c:v>
                </c:pt>
                <c:pt idx="6">
                  <c:v>Greece</c:v>
                </c:pt>
                <c:pt idx="7">
                  <c:v>Italy</c:v>
                </c:pt>
                <c:pt idx="8">
                  <c:v>Lithuania</c:v>
                </c:pt>
                <c:pt idx="9">
                  <c:v>Netherlands</c:v>
                </c:pt>
                <c:pt idx="10">
                  <c:v>Poland</c:v>
                </c:pt>
                <c:pt idx="11">
                  <c:v>Slovakia</c:v>
                </c:pt>
                <c:pt idx="12">
                  <c:v>Spain</c:v>
                </c:pt>
                <c:pt idx="13">
                  <c:v>Switzerland</c:v>
                </c:pt>
                <c:pt idx="14">
                  <c:v>UK (England)</c:v>
                </c:pt>
                <c:pt idx="15">
                  <c:v>UK (N. Ireland)</c:v>
                </c:pt>
                <c:pt idx="16">
                  <c:v>UK (Wales)</c:v>
                </c:pt>
                <c:pt idx="17">
                  <c:v>Total average (17)</c:v>
                </c:pt>
              </c:strCache>
            </c:strRef>
          </c:cat>
          <c:val>
            <c:numRef>
              <c:f>Blad1!$E$3:$E$20</c:f>
              <c:numCache>
                <c:formatCode>0.00</c:formatCode>
                <c:ptCount val="18"/>
                <c:pt idx="0">
                  <c:v>71.631926792069152</c:v>
                </c:pt>
                <c:pt idx="1">
                  <c:v>60.714285714285708</c:v>
                </c:pt>
                <c:pt idx="2">
                  <c:v>60</c:v>
                </c:pt>
                <c:pt idx="3">
                  <c:v>65.537017726798751</c:v>
                </c:pt>
                <c:pt idx="4">
                  <c:v>69.924812030075188</c:v>
                </c:pt>
                <c:pt idx="5">
                  <c:v>63.760730845154477</c:v>
                </c:pt>
                <c:pt idx="6">
                  <c:v>68.5</c:v>
                </c:pt>
                <c:pt idx="7">
                  <c:v>68.82352941176471</c:v>
                </c:pt>
                <c:pt idx="8">
                  <c:v>69.693530079455172</c:v>
                </c:pt>
                <c:pt idx="9">
                  <c:v>72.328398384925976</c:v>
                </c:pt>
                <c:pt idx="10">
                  <c:v>68.684863523573199</c:v>
                </c:pt>
                <c:pt idx="11">
                  <c:v>63.664436438497177</c:v>
                </c:pt>
                <c:pt idx="12">
                  <c:v>62.541145490454241</c:v>
                </c:pt>
                <c:pt idx="13">
                  <c:v>71.193633952254643</c:v>
                </c:pt>
                <c:pt idx="14">
                  <c:v>69.616238503013008</c:v>
                </c:pt>
                <c:pt idx="15">
                  <c:v>71.910112359550567</c:v>
                </c:pt>
                <c:pt idx="16">
                  <c:v>71.627906976744185</c:v>
                </c:pt>
                <c:pt idx="17">
                  <c:v>66.180000000000007</c:v>
                </c:pt>
              </c:numCache>
            </c:numRef>
          </c:val>
          <c:extLst>
            <c:ext xmlns:c16="http://schemas.microsoft.com/office/drawing/2014/chart" uri="{C3380CC4-5D6E-409C-BE32-E72D297353CC}">
              <c16:uniqueId val="{00000000-7A5A-440C-9ECE-85BA457270F2}"/>
            </c:ext>
          </c:extLst>
        </c:ser>
        <c:ser>
          <c:idx val="1"/>
          <c:order val="1"/>
          <c:tx>
            <c:strRef>
              <c:f>Blad1!$F$2</c:f>
              <c:strCache>
                <c:ptCount val="1"/>
                <c:pt idx="0">
                  <c:v>Girls</c:v>
                </c:pt>
              </c:strCache>
            </c:strRef>
          </c:tx>
          <c:spPr>
            <a:solidFill>
              <a:srgbClr val="F9C623"/>
            </a:solidFill>
            <a:ln>
              <a:noFill/>
            </a:ln>
            <a:effectLst/>
          </c:spPr>
          <c:invertIfNegative val="0"/>
          <c:dLbls>
            <c:dLbl>
              <c:idx val="17"/>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832C-8943-8A35-B36B2C95C27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Blad1!$D$3:$D$20</c:f>
              <c:strCache>
                <c:ptCount val="18"/>
                <c:pt idx="0">
                  <c:v>Belgium (Fl)</c:v>
                </c:pt>
                <c:pt idx="1">
                  <c:v>Bulgaria</c:v>
                </c:pt>
                <c:pt idx="2">
                  <c:v>Cyprus</c:v>
                </c:pt>
                <c:pt idx="3">
                  <c:v>Czech Republic</c:v>
                </c:pt>
                <c:pt idx="4">
                  <c:v>Estonia</c:v>
                </c:pt>
                <c:pt idx="5">
                  <c:v>France</c:v>
                </c:pt>
                <c:pt idx="6">
                  <c:v>Greece</c:v>
                </c:pt>
                <c:pt idx="7">
                  <c:v>Italy</c:v>
                </c:pt>
                <c:pt idx="8">
                  <c:v>Lithuania</c:v>
                </c:pt>
                <c:pt idx="9">
                  <c:v>Netherlands</c:v>
                </c:pt>
                <c:pt idx="10">
                  <c:v>Poland</c:v>
                </c:pt>
                <c:pt idx="11">
                  <c:v>Slovakia</c:v>
                </c:pt>
                <c:pt idx="12">
                  <c:v>Spain</c:v>
                </c:pt>
                <c:pt idx="13">
                  <c:v>Switzerland</c:v>
                </c:pt>
                <c:pt idx="14">
                  <c:v>UK (England)</c:v>
                </c:pt>
                <c:pt idx="15">
                  <c:v>UK (N. Ireland)</c:v>
                </c:pt>
                <c:pt idx="16">
                  <c:v>UK (Wales)</c:v>
                </c:pt>
                <c:pt idx="17">
                  <c:v>Total average (17)</c:v>
                </c:pt>
              </c:strCache>
            </c:strRef>
          </c:cat>
          <c:val>
            <c:numRef>
              <c:f>Blad1!$F$3:$F$20</c:f>
              <c:numCache>
                <c:formatCode>0.00</c:formatCode>
                <c:ptCount val="18"/>
                <c:pt idx="0">
                  <c:v>28.368073207930859</c:v>
                </c:pt>
                <c:pt idx="1">
                  <c:v>39.285714285714285</c:v>
                </c:pt>
                <c:pt idx="2">
                  <c:v>40</c:v>
                </c:pt>
                <c:pt idx="3">
                  <c:v>34.462982273201256</c:v>
                </c:pt>
                <c:pt idx="4">
                  <c:v>30.075187969924812</c:v>
                </c:pt>
                <c:pt idx="5">
                  <c:v>36.239269154845523</c:v>
                </c:pt>
                <c:pt idx="6">
                  <c:v>31.5</c:v>
                </c:pt>
                <c:pt idx="7">
                  <c:v>31.176470588235293</c:v>
                </c:pt>
                <c:pt idx="8">
                  <c:v>30.306469920544838</c:v>
                </c:pt>
                <c:pt idx="9">
                  <c:v>27.671601615074024</c:v>
                </c:pt>
                <c:pt idx="10">
                  <c:v>31.315136476426797</c:v>
                </c:pt>
                <c:pt idx="11">
                  <c:v>36.335563561502831</c:v>
                </c:pt>
                <c:pt idx="12">
                  <c:v>37.458854509545752</c:v>
                </c:pt>
                <c:pt idx="13">
                  <c:v>28.806366047745357</c:v>
                </c:pt>
                <c:pt idx="14">
                  <c:v>30.383761496986995</c:v>
                </c:pt>
                <c:pt idx="15">
                  <c:v>28.08988764044944</c:v>
                </c:pt>
                <c:pt idx="16">
                  <c:v>28.372093023255811</c:v>
                </c:pt>
                <c:pt idx="17">
                  <c:v>33.82</c:v>
                </c:pt>
              </c:numCache>
            </c:numRef>
          </c:val>
          <c:extLst>
            <c:ext xmlns:c16="http://schemas.microsoft.com/office/drawing/2014/chart" uri="{C3380CC4-5D6E-409C-BE32-E72D297353CC}">
              <c16:uniqueId val="{00000001-7A5A-440C-9ECE-85BA457270F2}"/>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4"/>
            <c:invertIfNegative val="0"/>
            <c:bubble3D val="0"/>
            <c:spPr>
              <a:solidFill>
                <a:srgbClr val="F9C623"/>
              </a:solidFill>
              <a:ln>
                <a:noFill/>
              </a:ln>
              <a:effectLst/>
            </c:spPr>
            <c:extLst>
              <c:ext xmlns:c16="http://schemas.microsoft.com/office/drawing/2014/chart" uri="{C3380CC4-5D6E-409C-BE32-E72D297353CC}">
                <c16:uniqueId val="{00000001-5CAB-4F3A-99A2-664C2CFF7865}"/>
              </c:ext>
            </c:extLst>
          </c:dPt>
          <c:dPt>
            <c:idx val="20"/>
            <c:invertIfNegative val="0"/>
            <c:bubble3D val="0"/>
            <c:extLst>
              <c:ext xmlns:c16="http://schemas.microsoft.com/office/drawing/2014/chart" uri="{C3380CC4-5D6E-409C-BE32-E72D297353CC}">
                <c16:uniqueId val="{00000003-5CAB-4F3A-99A2-664C2CFF7865}"/>
              </c:ext>
            </c:extLst>
          </c:dPt>
          <c:dPt>
            <c:idx val="27"/>
            <c:invertIfNegative val="0"/>
            <c:bubble3D val="0"/>
            <c:extLst>
              <c:ext xmlns:c16="http://schemas.microsoft.com/office/drawing/2014/chart" uri="{C3380CC4-5D6E-409C-BE32-E72D297353CC}">
                <c16:uniqueId val="{00000005-5CAB-4F3A-99A2-664C2CFF7865}"/>
              </c:ext>
            </c:extLst>
          </c:dPt>
          <c:dLbls>
            <c:dLbl>
              <c:idx val="2"/>
              <c:layout>
                <c:manualLayout>
                  <c:x val="-0.39060876792021609"/>
                  <c:y val="3.5195776506819184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1EE7-E74D-A231-FDA805CC7882}"/>
                </c:ext>
              </c:extLst>
            </c:dLbl>
            <c:dLbl>
              <c:idx val="3"/>
              <c:layout>
                <c:manualLayout>
                  <c:x val="-0.27010180760440478"/>
                  <c:y val="3.2262422432993909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1EE7-E74D-A231-FDA805CC7882}"/>
                </c:ext>
              </c:extLst>
            </c:dLbl>
            <c:dLbl>
              <c:idx val="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1EE7-E74D-A231-FDA805CC7882}"/>
                </c:ext>
              </c:extLst>
            </c:dLbl>
            <c:dLbl>
              <c:idx val="14"/>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5CAB-4F3A-99A2-664C2CFF786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'3b.5 - ISCED 02'!$L$3:$L$17</c:f>
              <c:strCache>
                <c:ptCount val="15"/>
                <c:pt idx="0">
                  <c:v>Bulgaria</c:v>
                </c:pt>
                <c:pt idx="1">
                  <c:v>Cyprus</c:v>
                </c:pt>
                <c:pt idx="2">
                  <c:v>Czech Republic</c:v>
                </c:pt>
                <c:pt idx="3">
                  <c:v>Estonia</c:v>
                </c:pt>
                <c:pt idx="4">
                  <c:v>France</c:v>
                </c:pt>
                <c:pt idx="5">
                  <c:v>Greece</c:v>
                </c:pt>
                <c:pt idx="6">
                  <c:v>Latvia</c:v>
                </c:pt>
                <c:pt idx="7">
                  <c:v>Lithuania</c:v>
                </c:pt>
                <c:pt idx="8">
                  <c:v>Luxembourg</c:v>
                </c:pt>
                <c:pt idx="9">
                  <c:v>Poland</c:v>
                </c:pt>
                <c:pt idx="10">
                  <c:v>Slovakia</c:v>
                </c:pt>
                <c:pt idx="11">
                  <c:v>Spain</c:v>
                </c:pt>
                <c:pt idx="12">
                  <c:v>Switzerland</c:v>
                </c:pt>
                <c:pt idx="13">
                  <c:v>UK (England)</c:v>
                </c:pt>
                <c:pt idx="14">
                  <c:v>Total average (14)</c:v>
                </c:pt>
              </c:strCache>
            </c:strRef>
          </c:cat>
          <c:val>
            <c:numRef>
              <c:f>'3b.5 - ISCED 02'!$M$3:$M$17</c:f>
              <c:numCache>
                <c:formatCode>0.00</c:formatCode>
                <c:ptCount val="15"/>
                <c:pt idx="0">
                  <c:v>0.27818276272350978</c:v>
                </c:pt>
                <c:pt idx="1">
                  <c:v>0.57677254562682811</c:v>
                </c:pt>
                <c:pt idx="2">
                  <c:v>3.350904741558784</c:v>
                </c:pt>
                <c:pt idx="3">
                  <c:v>2.3659365558912389</c:v>
                </c:pt>
                <c:pt idx="4">
                  <c:v>1.0748737475294186</c:v>
                </c:pt>
                <c:pt idx="5">
                  <c:v>0.4191757779646762</c:v>
                </c:pt>
                <c:pt idx="6">
                  <c:v>5.9945068131516495</c:v>
                </c:pt>
                <c:pt idx="7">
                  <c:v>1.6721570440578704</c:v>
                </c:pt>
                <c:pt idx="8">
                  <c:v>0.67402672864613589</c:v>
                </c:pt>
                <c:pt idx="9">
                  <c:v>0.57141645302367672</c:v>
                </c:pt>
                <c:pt idx="10">
                  <c:v>1.3823488415783383</c:v>
                </c:pt>
                <c:pt idx="11">
                  <c:v>0.15450100565696234</c:v>
                </c:pt>
                <c:pt idx="12">
                  <c:v>1.1176225331233207</c:v>
                </c:pt>
                <c:pt idx="13">
                  <c:v>0.22757200256609381</c:v>
                </c:pt>
                <c:pt idx="14">
                  <c:v>0.86134303546185598</c:v>
                </c:pt>
              </c:numCache>
            </c:numRef>
          </c:val>
          <c:extLst>
            <c:ext xmlns:c16="http://schemas.microsoft.com/office/drawing/2014/chart" uri="{C3380CC4-5D6E-409C-BE32-E72D297353CC}">
              <c16:uniqueId val="{00000006-5CAB-4F3A-99A2-664C2CFF7865}"/>
            </c:ext>
          </c:extLst>
        </c:ser>
        <c:dLbls>
          <c:showLegendKey val="0"/>
          <c:showVal val="0"/>
          <c:showCatName val="0"/>
          <c:showSerName val="0"/>
          <c:showPercent val="0"/>
          <c:showBubbleSize val="0"/>
        </c:dLbls>
        <c:gapWidth val="20"/>
        <c:overlap val="-66"/>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7"/>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Blad1!$B$2</c:f>
              <c:strCache>
                <c:ptCount val="1"/>
                <c:pt idx="0">
                  <c:v>Boys</c:v>
                </c:pt>
              </c:strCache>
            </c:strRef>
          </c:tx>
          <c:spPr>
            <a:solidFill>
              <a:srgbClr val="17255B"/>
            </a:solidFill>
            <a:ln>
              <a:noFill/>
            </a:ln>
            <a:effectLst/>
          </c:spPr>
          <c:invertIfNegative val="0"/>
          <c:dLbls>
            <c:dLbl>
              <c:idx val="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755-B44B-8B52-44873AC5901D}"/>
                </c:ext>
              </c:extLst>
            </c:dLbl>
            <c:dLbl>
              <c:idx val="3"/>
              <c:layout>
                <c:manualLayout>
                  <c:x val="-0.28672345730313736"/>
                  <c:y val="3.1701749174388359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4755-B44B-8B52-44873AC5901D}"/>
                </c:ext>
              </c:extLst>
            </c:dLbl>
            <c:dLbl>
              <c:idx val="4"/>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4755-B44B-8B52-44873AC5901D}"/>
                </c:ext>
              </c:extLst>
            </c:dLbl>
            <c:dLbl>
              <c:idx val="6"/>
              <c:layout>
                <c:manualLayout>
                  <c:x val="-0.2991896945771868"/>
                  <c:y val="6.3403498348776719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4755-B44B-8B52-44873AC5901D}"/>
                </c:ext>
              </c:extLst>
            </c:dLbl>
            <c:dLbl>
              <c:idx val="8"/>
              <c:layout>
                <c:manualLayout>
                  <c:x val="-0.2701018076044047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4755-B44B-8B52-44873AC5901D}"/>
                </c:ext>
              </c:extLst>
            </c:dLbl>
            <c:dLbl>
              <c:idx val="10"/>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A-4755-B44B-8B52-44873AC5901D}"/>
                </c:ext>
              </c:extLst>
            </c:dLbl>
            <c:dLbl>
              <c:idx val="12"/>
              <c:tx>
                <c:rich>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fld id="{AA6EDB8D-0EA3-2B4F-B332-14611C2401CB}" type="CATEGORYNAME">
                      <a:rPr lang="en-US" sz="1000">
                        <a:latin typeface="Calibri" panose="020F0502020204030204" pitchFamily="34" charset="0"/>
                        <a:cs typeface="Calibri" panose="020F0502020204030204" pitchFamily="34" charset="0"/>
                      </a:rPr>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t>[CATEGORY NAME]</a:t>
                    </a:fld>
                    <a:r>
                      <a:rPr lang="en-US" sz="1000" baseline="0">
                        <a:latin typeface="Calibri" panose="020F0502020204030204" pitchFamily="34" charset="0"/>
                        <a:cs typeface="Calibri" panose="020F0502020204030204" pitchFamily="34" charset="0"/>
                      </a:rPr>
                      <a:t> 0.53</a:t>
                    </a:r>
                  </a:p>
                </c:rich>
              </c:tx>
              <c:spPr>
                <a:noFill/>
                <a:ln>
                  <a:noFill/>
                </a:ln>
                <a:effectLst/>
              </c:sp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C-4755-B44B-8B52-44873AC5901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Blad1!$A$3:$A$15</c:f>
              <c:strCache>
                <c:ptCount val="13"/>
                <c:pt idx="0">
                  <c:v>Bulgaria</c:v>
                </c:pt>
                <c:pt idx="1">
                  <c:v>Cyprus</c:v>
                </c:pt>
                <c:pt idx="2">
                  <c:v>Czech Republic</c:v>
                </c:pt>
                <c:pt idx="3">
                  <c:v>Estonia</c:v>
                </c:pt>
                <c:pt idx="4">
                  <c:v>France</c:v>
                </c:pt>
                <c:pt idx="5">
                  <c:v>Greece</c:v>
                </c:pt>
                <c:pt idx="6">
                  <c:v>Lithuania</c:v>
                </c:pt>
                <c:pt idx="7">
                  <c:v>Poland</c:v>
                </c:pt>
                <c:pt idx="8">
                  <c:v>Slovakia</c:v>
                </c:pt>
                <c:pt idx="9">
                  <c:v>Spain</c:v>
                </c:pt>
                <c:pt idx="10">
                  <c:v>Switzerland</c:v>
                </c:pt>
                <c:pt idx="11">
                  <c:v>UK (England)</c:v>
                </c:pt>
                <c:pt idx="12">
                  <c:v>Total average (12)</c:v>
                </c:pt>
              </c:strCache>
            </c:strRef>
          </c:cat>
          <c:val>
            <c:numRef>
              <c:f>Blad1!$B$3:$B$15</c:f>
              <c:numCache>
                <c:formatCode>0.00</c:formatCode>
                <c:ptCount val="13"/>
                <c:pt idx="0">
                  <c:v>0.17428317664605433</c:v>
                </c:pt>
                <c:pt idx="1">
                  <c:v>0.41610019363078316</c:v>
                </c:pt>
                <c:pt idx="2">
                  <c:v>2.1907563688417295</c:v>
                </c:pt>
                <c:pt idx="3">
                  <c:v>1.7126132930513596</c:v>
                </c:pt>
                <c:pt idx="4">
                  <c:v>0.68914677772146604</c:v>
                </c:pt>
                <c:pt idx="5">
                  <c:v>0.28931875525651807</c:v>
                </c:pt>
                <c:pt idx="6">
                  <c:v>1.1597218208788456</c:v>
                </c:pt>
                <c:pt idx="7">
                  <c:v>0.3961035288795054</c:v>
                </c:pt>
                <c:pt idx="8">
                  <c:v>0.89449666381833715</c:v>
                </c:pt>
                <c:pt idx="9">
                  <c:v>9.8483982537828516E-2</c:v>
                </c:pt>
                <c:pt idx="10">
                  <c:v>0.79102195867692027</c:v>
                </c:pt>
                <c:pt idx="11">
                  <c:v>0.15882770030725596</c:v>
                </c:pt>
                <c:pt idx="12">
                  <c:v>0.52213723397494605</c:v>
                </c:pt>
              </c:numCache>
            </c:numRef>
          </c:val>
          <c:extLst>
            <c:ext xmlns:c16="http://schemas.microsoft.com/office/drawing/2014/chart" uri="{C3380CC4-5D6E-409C-BE32-E72D297353CC}">
              <c16:uniqueId val="{00000000-7056-45E7-AAEA-1D89D4CE2C2D}"/>
            </c:ext>
          </c:extLst>
        </c:ser>
        <c:ser>
          <c:idx val="1"/>
          <c:order val="1"/>
          <c:tx>
            <c:strRef>
              <c:f>Blad1!$C$2</c:f>
              <c:strCache>
                <c:ptCount val="1"/>
                <c:pt idx="0">
                  <c:v>Girls</c:v>
                </c:pt>
              </c:strCache>
            </c:strRef>
          </c:tx>
          <c:spPr>
            <a:solidFill>
              <a:srgbClr val="F9C623"/>
            </a:solidFill>
            <a:ln>
              <a:noFill/>
            </a:ln>
            <a:effectLst/>
          </c:spPr>
          <c:invertIfNegative val="0"/>
          <c:dLbls>
            <c:dLbl>
              <c:idx val="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55-B44B-8B52-44873AC5901D}"/>
                </c:ext>
              </c:extLst>
            </c:dLbl>
            <c:dLbl>
              <c:idx val="3"/>
              <c:layout>
                <c:manualLayout>
                  <c:x val="-0.13297319758986079"/>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755-B44B-8B52-44873AC5901D}"/>
                </c:ext>
              </c:extLst>
            </c:dLbl>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755-B44B-8B52-44873AC5901D}"/>
                </c:ext>
              </c:extLst>
            </c:dLbl>
            <c:dLbl>
              <c:idx val="6"/>
              <c:layout>
                <c:manualLayout>
                  <c:x val="-0.1288177851651777"/>
                  <c:y val="-6.340349834877671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755-B44B-8B52-44873AC5901D}"/>
                </c:ext>
              </c:extLst>
            </c:dLbl>
            <c:dLbl>
              <c:idx val="8"/>
              <c:layout>
                <c:manualLayout>
                  <c:x val="-0.12466237274049449"/>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755-B44B-8B52-44873AC5901D}"/>
                </c:ext>
              </c:extLst>
            </c:dLbl>
            <c:dLbl>
              <c:idx val="1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755-B44B-8B52-44873AC5901D}"/>
                </c:ext>
              </c:extLst>
            </c:dLbl>
            <c:dLbl>
              <c:idx val="12"/>
              <c:tx>
                <c:rich>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r>
                      <a:rPr lang="en-US" sz="1000">
                        <a:latin typeface="Calibri" panose="020F0502020204030204" pitchFamily="34" charset="0"/>
                        <a:cs typeface="Calibri" panose="020F0502020204030204" pitchFamily="34" charset="0"/>
                      </a:rPr>
                      <a:t>0.28</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755-B44B-8B52-44873AC5901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Blad1!$A$3:$A$15</c:f>
              <c:strCache>
                <c:ptCount val="13"/>
                <c:pt idx="0">
                  <c:v>Bulgaria</c:v>
                </c:pt>
                <c:pt idx="1">
                  <c:v>Cyprus</c:v>
                </c:pt>
                <c:pt idx="2">
                  <c:v>Czech Republic</c:v>
                </c:pt>
                <c:pt idx="3">
                  <c:v>Estonia</c:v>
                </c:pt>
                <c:pt idx="4">
                  <c:v>France</c:v>
                </c:pt>
                <c:pt idx="5">
                  <c:v>Greece</c:v>
                </c:pt>
                <c:pt idx="6">
                  <c:v>Lithuania</c:v>
                </c:pt>
                <c:pt idx="7">
                  <c:v>Poland</c:v>
                </c:pt>
                <c:pt idx="8">
                  <c:v>Slovakia</c:v>
                </c:pt>
                <c:pt idx="9">
                  <c:v>Spain</c:v>
                </c:pt>
                <c:pt idx="10">
                  <c:v>Switzerland</c:v>
                </c:pt>
                <c:pt idx="11">
                  <c:v>UK (England)</c:v>
                </c:pt>
                <c:pt idx="12">
                  <c:v>Total average (12)</c:v>
                </c:pt>
              </c:strCache>
            </c:strRef>
          </c:cat>
          <c:val>
            <c:numRef>
              <c:f>Blad1!$C$3:$C$15</c:f>
              <c:numCache>
                <c:formatCode>0.00</c:formatCode>
                <c:ptCount val="13"/>
                <c:pt idx="0">
                  <c:v>0.10389958607745547</c:v>
                </c:pt>
                <c:pt idx="1">
                  <c:v>0.16067235199604499</c:v>
                </c:pt>
                <c:pt idx="2">
                  <c:v>1.160148372717055</c:v>
                </c:pt>
                <c:pt idx="3">
                  <c:v>0.65332326283987907</c:v>
                </c:pt>
                <c:pt idx="4">
                  <c:v>0.38572696980795257</c:v>
                </c:pt>
                <c:pt idx="5">
                  <c:v>0.1298570227081581</c:v>
                </c:pt>
                <c:pt idx="6">
                  <c:v>0.51243522317902479</c:v>
                </c:pt>
                <c:pt idx="7">
                  <c:v>0.17531292414417132</c:v>
                </c:pt>
                <c:pt idx="8">
                  <c:v>0.487852177760001</c:v>
                </c:pt>
                <c:pt idx="9">
                  <c:v>5.6017023119133827E-2</c:v>
                </c:pt>
                <c:pt idx="10">
                  <c:v>0.32660057444640045</c:v>
                </c:pt>
                <c:pt idx="11">
                  <c:v>6.8744302258837819E-2</c:v>
                </c:pt>
                <c:pt idx="12">
                  <c:v>0.27363653385383085</c:v>
                </c:pt>
              </c:numCache>
            </c:numRef>
          </c:val>
          <c:extLst>
            <c:ext xmlns:c16="http://schemas.microsoft.com/office/drawing/2014/chart" uri="{C3380CC4-5D6E-409C-BE32-E72D297353CC}">
              <c16:uniqueId val="{00000001-7056-45E7-AAEA-1D89D4CE2C2D}"/>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Blad1!$E$2</c:f>
              <c:strCache>
                <c:ptCount val="1"/>
                <c:pt idx="0">
                  <c:v>Boys</c:v>
                </c:pt>
              </c:strCache>
            </c:strRef>
          </c:tx>
          <c:spPr>
            <a:solidFill>
              <a:srgbClr val="17255B"/>
            </a:solidFill>
            <a:ln>
              <a:noFill/>
            </a:ln>
            <a:effectLst/>
          </c:spPr>
          <c:invertIfNegative val="0"/>
          <c:dLbls>
            <c:dLbl>
              <c:idx val="12"/>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5EE-564C-9D8E-BC2F01FD7DD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Blad1!$D$3:$D$15</c:f>
              <c:strCache>
                <c:ptCount val="13"/>
                <c:pt idx="0">
                  <c:v>Bulgaria</c:v>
                </c:pt>
                <c:pt idx="1">
                  <c:v>Cyprus</c:v>
                </c:pt>
                <c:pt idx="2">
                  <c:v>Czech Republic</c:v>
                </c:pt>
                <c:pt idx="3">
                  <c:v>Estonia</c:v>
                </c:pt>
                <c:pt idx="4">
                  <c:v>France</c:v>
                </c:pt>
                <c:pt idx="5">
                  <c:v>Greece</c:v>
                </c:pt>
                <c:pt idx="6">
                  <c:v>Lithuania</c:v>
                </c:pt>
                <c:pt idx="7">
                  <c:v>Poland</c:v>
                </c:pt>
                <c:pt idx="8">
                  <c:v>Slovakia</c:v>
                </c:pt>
                <c:pt idx="9">
                  <c:v>Spain</c:v>
                </c:pt>
                <c:pt idx="10">
                  <c:v>Switzerland</c:v>
                </c:pt>
                <c:pt idx="11">
                  <c:v>UK (England)</c:v>
                </c:pt>
                <c:pt idx="12">
                  <c:v>Total average (12)</c:v>
                </c:pt>
              </c:strCache>
            </c:strRef>
          </c:cat>
          <c:val>
            <c:numRef>
              <c:f>Blad1!$E$3:$E$15</c:f>
              <c:numCache>
                <c:formatCode>0.00</c:formatCode>
                <c:ptCount val="13"/>
                <c:pt idx="0">
                  <c:v>62.650602409638559</c:v>
                </c:pt>
                <c:pt idx="1">
                  <c:v>72.142857142857139</c:v>
                </c:pt>
                <c:pt idx="2">
                  <c:v>65.378055713473557</c:v>
                </c:pt>
                <c:pt idx="3">
                  <c:v>72.386272944932159</c:v>
                </c:pt>
                <c:pt idx="4">
                  <c:v>64.114206836427044</c:v>
                </c:pt>
                <c:pt idx="5">
                  <c:v>69.020866773675763</c:v>
                </c:pt>
                <c:pt idx="6">
                  <c:v>69.354838709677423</c:v>
                </c:pt>
                <c:pt idx="7">
                  <c:v>69.319587628865975</c:v>
                </c:pt>
                <c:pt idx="8">
                  <c:v>64.708461201227536</c:v>
                </c:pt>
                <c:pt idx="9">
                  <c:v>63.743263106320434</c:v>
                </c:pt>
                <c:pt idx="10">
                  <c:v>70.777202072538856</c:v>
                </c:pt>
                <c:pt idx="11">
                  <c:v>69.792284866468847</c:v>
                </c:pt>
                <c:pt idx="12">
                  <c:v>65.61</c:v>
                </c:pt>
              </c:numCache>
            </c:numRef>
          </c:val>
          <c:extLst>
            <c:ext xmlns:c16="http://schemas.microsoft.com/office/drawing/2014/chart" uri="{C3380CC4-5D6E-409C-BE32-E72D297353CC}">
              <c16:uniqueId val="{00000000-D2B5-4026-A083-CB6EAED4C245}"/>
            </c:ext>
          </c:extLst>
        </c:ser>
        <c:ser>
          <c:idx val="1"/>
          <c:order val="1"/>
          <c:tx>
            <c:strRef>
              <c:f>Blad1!$F$2</c:f>
              <c:strCache>
                <c:ptCount val="1"/>
                <c:pt idx="0">
                  <c:v>Girls</c:v>
                </c:pt>
              </c:strCache>
            </c:strRef>
          </c:tx>
          <c:spPr>
            <a:solidFill>
              <a:srgbClr val="F9C623"/>
            </a:solidFill>
            <a:ln>
              <a:noFill/>
            </a:ln>
            <a:effectLst/>
          </c:spPr>
          <c:invertIfNegative val="0"/>
          <c:dLbls>
            <c:dLbl>
              <c:idx val="1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45EE-564C-9D8E-BC2F01FD7DD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Blad1!$D$3:$D$15</c:f>
              <c:strCache>
                <c:ptCount val="13"/>
                <c:pt idx="0">
                  <c:v>Bulgaria</c:v>
                </c:pt>
                <c:pt idx="1">
                  <c:v>Cyprus</c:v>
                </c:pt>
                <c:pt idx="2">
                  <c:v>Czech Republic</c:v>
                </c:pt>
                <c:pt idx="3">
                  <c:v>Estonia</c:v>
                </c:pt>
                <c:pt idx="4">
                  <c:v>France</c:v>
                </c:pt>
                <c:pt idx="5">
                  <c:v>Greece</c:v>
                </c:pt>
                <c:pt idx="6">
                  <c:v>Lithuania</c:v>
                </c:pt>
                <c:pt idx="7">
                  <c:v>Poland</c:v>
                </c:pt>
                <c:pt idx="8">
                  <c:v>Slovakia</c:v>
                </c:pt>
                <c:pt idx="9">
                  <c:v>Spain</c:v>
                </c:pt>
                <c:pt idx="10">
                  <c:v>Switzerland</c:v>
                </c:pt>
                <c:pt idx="11">
                  <c:v>UK (England)</c:v>
                </c:pt>
                <c:pt idx="12">
                  <c:v>Total average (12)</c:v>
                </c:pt>
              </c:strCache>
            </c:strRef>
          </c:cat>
          <c:val>
            <c:numRef>
              <c:f>Blad1!$F$3:$F$15</c:f>
              <c:numCache>
                <c:formatCode>0.00</c:formatCode>
                <c:ptCount val="13"/>
                <c:pt idx="0">
                  <c:v>37.349397590361441</c:v>
                </c:pt>
                <c:pt idx="1">
                  <c:v>27.857142857142858</c:v>
                </c:pt>
                <c:pt idx="2">
                  <c:v>34.621944286526436</c:v>
                </c:pt>
                <c:pt idx="3">
                  <c:v>27.613727055067837</c:v>
                </c:pt>
                <c:pt idx="4">
                  <c:v>35.885793163572963</c:v>
                </c:pt>
                <c:pt idx="5">
                  <c:v>30.97913322632424</c:v>
                </c:pt>
                <c:pt idx="6">
                  <c:v>30.64516129032258</c:v>
                </c:pt>
                <c:pt idx="7">
                  <c:v>30.680412371134018</c:v>
                </c:pt>
                <c:pt idx="8">
                  <c:v>35.291538798772471</c:v>
                </c:pt>
                <c:pt idx="9">
                  <c:v>36.256736893679573</c:v>
                </c:pt>
                <c:pt idx="10">
                  <c:v>29.222797927461141</c:v>
                </c:pt>
                <c:pt idx="11">
                  <c:v>30.20771513353116</c:v>
                </c:pt>
                <c:pt idx="12">
                  <c:v>34.39</c:v>
                </c:pt>
              </c:numCache>
            </c:numRef>
          </c:val>
          <c:extLst>
            <c:ext xmlns:c16="http://schemas.microsoft.com/office/drawing/2014/chart" uri="{C3380CC4-5D6E-409C-BE32-E72D297353CC}">
              <c16:uniqueId val="{00000001-D2B5-4026-A083-CB6EAED4C245}"/>
            </c:ext>
          </c:extLst>
        </c:ser>
        <c:dLbls>
          <c:showLegendKey val="0"/>
          <c:showVal val="0"/>
          <c:showCatName val="0"/>
          <c:showSerName val="0"/>
          <c:showPercent val="0"/>
          <c:showBubbleSize val="0"/>
        </c:dLbls>
        <c:gapWidth val="7"/>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2"/>
            <c:invertIfNegative val="0"/>
            <c:bubble3D val="0"/>
            <c:spPr>
              <a:solidFill>
                <a:srgbClr val="F9C623"/>
              </a:solidFill>
              <a:ln>
                <a:noFill/>
              </a:ln>
              <a:effectLst/>
            </c:spPr>
            <c:extLst>
              <c:ext xmlns:c16="http://schemas.microsoft.com/office/drawing/2014/chart" uri="{C3380CC4-5D6E-409C-BE32-E72D297353CC}">
                <c16:uniqueId val="{00000001-D208-4D6B-88E5-2797E1A2C74D}"/>
              </c:ext>
            </c:extLst>
          </c:dPt>
          <c:dPt>
            <c:idx val="25"/>
            <c:invertIfNegative val="0"/>
            <c:bubble3D val="0"/>
            <c:extLst>
              <c:ext xmlns:c16="http://schemas.microsoft.com/office/drawing/2014/chart" uri="{C3380CC4-5D6E-409C-BE32-E72D297353CC}">
                <c16:uniqueId val="{00000003-D208-4D6B-88E5-2797E1A2C74D}"/>
              </c:ext>
            </c:extLst>
          </c:dPt>
          <c:dLbls>
            <c:dLbl>
              <c:idx val="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F0B0-C14F-9422-375FD5D1F1C2}"/>
                </c:ext>
              </c:extLst>
            </c:dLbl>
            <c:dLbl>
              <c:idx val="22"/>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D208-4D6B-88E5-2797E1A2C74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'1.1, 1.2 - ISCED02'!$D$32:$D$54</c:f>
              <c:strCache>
                <c:ptCount val="23"/>
                <c:pt idx="0">
                  <c:v>Belgium (Fl)</c:v>
                </c:pt>
                <c:pt idx="1">
                  <c:v>Bulgaria</c:v>
                </c:pt>
                <c:pt idx="2">
                  <c:v>Cyprus</c:v>
                </c:pt>
                <c:pt idx="3">
                  <c:v>Czech Republic</c:v>
                </c:pt>
                <c:pt idx="4">
                  <c:v>Estonia</c:v>
                </c:pt>
                <c:pt idx="5">
                  <c:v>France</c:v>
                </c:pt>
                <c:pt idx="6">
                  <c:v>Greece</c:v>
                </c:pt>
                <c:pt idx="7">
                  <c:v>Hungary</c:v>
                </c:pt>
                <c:pt idx="8">
                  <c:v>Italy</c:v>
                </c:pt>
                <c:pt idx="9">
                  <c:v>Lithuania</c:v>
                </c:pt>
                <c:pt idx="10">
                  <c:v>Luxembourg</c:v>
                </c:pt>
                <c:pt idx="11">
                  <c:v>Malta</c:v>
                </c:pt>
                <c:pt idx="12">
                  <c:v>Netherlands</c:v>
                </c:pt>
                <c:pt idx="13">
                  <c:v>Poland</c:v>
                </c:pt>
                <c:pt idx="14">
                  <c:v>Portugal</c:v>
                </c:pt>
                <c:pt idx="15">
                  <c:v>Slovakia</c:v>
                </c:pt>
                <c:pt idx="16">
                  <c:v>Slovenia</c:v>
                </c:pt>
                <c:pt idx="17">
                  <c:v>Spain</c:v>
                </c:pt>
                <c:pt idx="18">
                  <c:v>Sweden</c:v>
                </c:pt>
                <c:pt idx="19">
                  <c:v>Switzerland</c:v>
                </c:pt>
                <c:pt idx="20">
                  <c:v>UK (England)</c:v>
                </c:pt>
                <c:pt idx="21">
                  <c:v>UK (N. Ireland)</c:v>
                </c:pt>
                <c:pt idx="22">
                  <c:v>Total average (22)</c:v>
                </c:pt>
              </c:strCache>
            </c:strRef>
          </c:cat>
          <c:val>
            <c:numRef>
              <c:f>'1.1, 1.2 - ISCED02'!$E$32:$E$54</c:f>
              <c:numCache>
                <c:formatCode>0.00</c:formatCode>
                <c:ptCount val="23"/>
                <c:pt idx="0">
                  <c:v>99.270473654344698</c:v>
                </c:pt>
                <c:pt idx="1">
                  <c:v>99.721817237276483</c:v>
                </c:pt>
                <c:pt idx="2">
                  <c:v>99.423227454373176</c:v>
                </c:pt>
                <c:pt idx="3">
                  <c:v>96.723934761724621</c:v>
                </c:pt>
                <c:pt idx="4">
                  <c:v>97.632175226586099</c:v>
                </c:pt>
                <c:pt idx="5">
                  <c:v>98.925126252470591</c:v>
                </c:pt>
                <c:pt idx="6">
                  <c:v>99.580824222035318</c:v>
                </c:pt>
                <c:pt idx="7">
                  <c:v>79.981227577822096</c:v>
                </c:pt>
                <c:pt idx="8">
                  <c:v>99.981894112821408</c:v>
                </c:pt>
                <c:pt idx="9">
                  <c:v>87.663025679554607</c:v>
                </c:pt>
                <c:pt idx="10">
                  <c:v>99.32597327135386</c:v>
                </c:pt>
                <c:pt idx="11">
                  <c:v>100</c:v>
                </c:pt>
                <c:pt idx="12">
                  <c:v>98.943401592718999</c:v>
                </c:pt>
                <c:pt idx="13">
                  <c:v>99.425755919167543</c:v>
                </c:pt>
                <c:pt idx="14">
                  <c:v>100</c:v>
                </c:pt>
                <c:pt idx="15">
                  <c:v>98.617651158421666</c:v>
                </c:pt>
                <c:pt idx="16">
                  <c:v>99.860882468872447</c:v>
                </c:pt>
                <c:pt idx="17">
                  <c:v>99.845498994343046</c:v>
                </c:pt>
                <c:pt idx="18">
                  <c:v>100</c:v>
                </c:pt>
                <c:pt idx="19">
                  <c:v>98.882377466876676</c:v>
                </c:pt>
                <c:pt idx="20">
                  <c:v>99.668973900124925</c:v>
                </c:pt>
                <c:pt idx="21">
                  <c:v>99.03702473850241</c:v>
                </c:pt>
                <c:pt idx="22">
                  <c:v>98.60169450396387</c:v>
                </c:pt>
              </c:numCache>
            </c:numRef>
          </c:val>
          <c:extLst>
            <c:ext xmlns:c16="http://schemas.microsoft.com/office/drawing/2014/chart" uri="{C3380CC4-5D6E-409C-BE32-E72D297353CC}">
              <c16:uniqueId val="{00000004-D208-4D6B-88E5-2797E1A2C74D}"/>
            </c:ext>
          </c:extLst>
        </c:ser>
        <c:dLbls>
          <c:showLegendKey val="0"/>
          <c:showVal val="0"/>
          <c:showCatName val="0"/>
          <c:showSerName val="0"/>
          <c:showPercent val="0"/>
          <c:showBubbleSize val="0"/>
        </c:dLbls>
        <c:gapWidth val="20"/>
        <c:overlap val="-66"/>
        <c:axId val="643091152"/>
        <c:axId val="636381088"/>
      </c:barChart>
      <c:catAx>
        <c:axId val="643091152"/>
        <c:scaling>
          <c:orientation val="maxMin"/>
        </c:scaling>
        <c:delete val="1"/>
        <c:axPos val="l"/>
        <c:numFmt formatCode="General" sourceLinked="1"/>
        <c:majorTickMark val="none"/>
        <c:minorTickMark val="none"/>
        <c:tickLblPos val="nextTo"/>
        <c:crossAx val="636381088"/>
        <c:crosses val="autoZero"/>
        <c:auto val="1"/>
        <c:lblAlgn val="ctr"/>
        <c:lblOffset val="100"/>
        <c:noMultiLvlLbl val="0"/>
      </c:catAx>
      <c:valAx>
        <c:axId val="636381088"/>
        <c:scaling>
          <c:orientation val="minMax"/>
          <c:max val="100"/>
          <c:min val="7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43091152"/>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9"/>
            <c:invertIfNegative val="0"/>
            <c:bubble3D val="0"/>
            <c:spPr>
              <a:solidFill>
                <a:srgbClr val="F9C623"/>
              </a:solidFill>
              <a:ln>
                <a:noFill/>
              </a:ln>
              <a:effectLst/>
            </c:spPr>
            <c:extLst>
              <c:ext xmlns:c16="http://schemas.microsoft.com/office/drawing/2014/chart" uri="{C3380CC4-5D6E-409C-BE32-E72D297353CC}">
                <c16:uniqueId val="{00000001-0A3D-4048-94CE-CB501C1B164A}"/>
              </c:ext>
            </c:extLst>
          </c:dPt>
          <c:dPt>
            <c:idx val="20"/>
            <c:invertIfNegative val="0"/>
            <c:bubble3D val="0"/>
            <c:extLst>
              <c:ext xmlns:c16="http://schemas.microsoft.com/office/drawing/2014/chart" uri="{C3380CC4-5D6E-409C-BE32-E72D297353CC}">
                <c16:uniqueId val="{00000003-0A3D-4048-94CE-CB501C1B164A}"/>
              </c:ext>
            </c:extLst>
          </c:dPt>
          <c:dPt>
            <c:idx val="27"/>
            <c:invertIfNegative val="0"/>
            <c:bubble3D val="0"/>
            <c:extLst>
              <c:ext xmlns:c16="http://schemas.microsoft.com/office/drawing/2014/chart" uri="{C3380CC4-5D6E-409C-BE32-E72D297353CC}">
                <c16:uniqueId val="{00000005-0A3D-4048-94CE-CB501C1B164A}"/>
              </c:ext>
            </c:extLst>
          </c:dPt>
          <c:dLbls>
            <c:dLbl>
              <c:idx val="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B46F-4E41-A59B-6116A12FA437}"/>
                </c:ext>
              </c:extLst>
            </c:dLbl>
            <c:dLbl>
              <c:idx val="1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0A3D-4048-94CE-CB501C1B164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'3c.1 - ISCED 02'!$F$3:$F$22</c:f>
              <c:strCache>
                <c:ptCount val="20"/>
                <c:pt idx="0">
                  <c:v>Belgium (Fl)</c:v>
                </c:pt>
                <c:pt idx="1">
                  <c:v>Bulgaria</c:v>
                </c:pt>
                <c:pt idx="2">
                  <c:v>Cyprus</c:v>
                </c:pt>
                <c:pt idx="3">
                  <c:v>Czech Republic</c:v>
                </c:pt>
                <c:pt idx="4">
                  <c:v>Estonia</c:v>
                </c:pt>
                <c:pt idx="5">
                  <c:v>France</c:v>
                </c:pt>
                <c:pt idx="6">
                  <c:v>Greece</c:v>
                </c:pt>
                <c:pt idx="7">
                  <c:v>Hungary</c:v>
                </c:pt>
                <c:pt idx="8">
                  <c:v>Italy</c:v>
                </c:pt>
                <c:pt idx="9">
                  <c:v>Lithuania</c:v>
                </c:pt>
                <c:pt idx="10">
                  <c:v>Malta</c:v>
                </c:pt>
                <c:pt idx="11">
                  <c:v>Poland</c:v>
                </c:pt>
                <c:pt idx="12">
                  <c:v>Portugal</c:v>
                </c:pt>
                <c:pt idx="13">
                  <c:v>Slovakia</c:v>
                </c:pt>
                <c:pt idx="14">
                  <c:v>Slovenia</c:v>
                </c:pt>
                <c:pt idx="15">
                  <c:v>Spain</c:v>
                </c:pt>
                <c:pt idx="16">
                  <c:v>UK (England)</c:v>
                </c:pt>
                <c:pt idx="17">
                  <c:v>UK (N. Ireland)</c:v>
                </c:pt>
                <c:pt idx="18">
                  <c:v>UK (Wales)</c:v>
                </c:pt>
                <c:pt idx="19">
                  <c:v>Total average (19)</c:v>
                </c:pt>
              </c:strCache>
            </c:strRef>
          </c:cat>
          <c:val>
            <c:numRef>
              <c:f>'3c.1 - ISCED 02'!$G$3:$G$22</c:f>
              <c:numCache>
                <c:formatCode>0.00</c:formatCode>
                <c:ptCount val="20"/>
                <c:pt idx="0">
                  <c:v>47.686170212765958</c:v>
                </c:pt>
                <c:pt idx="1">
                  <c:v>85.602775368603645</c:v>
                </c:pt>
                <c:pt idx="2">
                  <c:v>80.056980056980052</c:v>
                </c:pt>
                <c:pt idx="3">
                  <c:v>19.743188632512059</c:v>
                </c:pt>
                <c:pt idx="4">
                  <c:v>61.733292645712545</c:v>
                </c:pt>
                <c:pt idx="5">
                  <c:v>55.742580624417229</c:v>
                </c:pt>
                <c:pt idx="6">
                  <c:v>84.119296456793265</c:v>
                </c:pt>
                <c:pt idx="7">
                  <c:v>82.184308263695442</c:v>
                </c:pt>
                <c:pt idx="8">
                  <c:v>99.395834814130353</c:v>
                </c:pt>
                <c:pt idx="9">
                  <c:v>91.481008931200307</c:v>
                </c:pt>
                <c:pt idx="10">
                  <c:v>100</c:v>
                </c:pt>
                <c:pt idx="11">
                  <c:v>79.6833109919571</c:v>
                </c:pt>
                <c:pt idx="12">
                  <c:v>100</c:v>
                </c:pt>
                <c:pt idx="13">
                  <c:v>64.854227405247812</c:v>
                </c:pt>
                <c:pt idx="14">
                  <c:v>92.875760208514336</c:v>
                </c:pt>
                <c:pt idx="15">
                  <c:v>86.638297872340431</c:v>
                </c:pt>
                <c:pt idx="16">
                  <c:v>68.383525659067459</c:v>
                </c:pt>
                <c:pt idx="17">
                  <c:v>56.505576208178439</c:v>
                </c:pt>
                <c:pt idx="18">
                  <c:v>70.472440944881882</c:v>
                </c:pt>
                <c:pt idx="19">
                  <c:v>70.641286603921884</c:v>
                </c:pt>
              </c:numCache>
            </c:numRef>
          </c:val>
          <c:extLst>
            <c:ext xmlns:c16="http://schemas.microsoft.com/office/drawing/2014/chart" uri="{C3380CC4-5D6E-409C-BE32-E72D297353CC}">
              <c16:uniqueId val="{00000006-0A3D-4048-94CE-CB501C1B164A}"/>
            </c:ext>
          </c:extLst>
        </c:ser>
        <c:dLbls>
          <c:showLegendKey val="0"/>
          <c:showVal val="0"/>
          <c:showCatName val="0"/>
          <c:showSerName val="0"/>
          <c:showPercent val="0"/>
          <c:showBubbleSize val="0"/>
        </c:dLbls>
        <c:gapWidth val="20"/>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3088499386493097E-2"/>
          <c:w val="0.82704582651391167"/>
          <c:h val="0.91720920720823207"/>
        </c:manualLayout>
      </c:layout>
      <c:barChart>
        <c:barDir val="bar"/>
        <c:grouping val="clustered"/>
        <c:varyColors val="0"/>
        <c:ser>
          <c:idx val="0"/>
          <c:order val="0"/>
          <c:tx>
            <c:strRef>
              <c:f>'3c.1 - ISCED 02'!$I$2</c:f>
              <c:strCache>
                <c:ptCount val="1"/>
                <c:pt idx="0">
                  <c:v>Boys</c:v>
                </c:pt>
              </c:strCache>
            </c:strRef>
          </c:tx>
          <c:spPr>
            <a:solidFill>
              <a:srgbClr val="17255B"/>
            </a:solidFill>
            <a:ln>
              <a:noFill/>
            </a:ln>
            <a:effectLst/>
          </c:spPr>
          <c:invertIfNegative val="0"/>
          <c:dLbls>
            <c:dLbl>
              <c:idx val="0"/>
              <c:layout>
                <c:manualLayout>
                  <c:x val="-0.33960720130932898"/>
                  <c:y val="7.8831792000123799E-18"/>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551-6A40-AC06-6B9DD04E8263}"/>
                </c:ext>
              </c:extLst>
            </c:dLbl>
            <c:dLbl>
              <c:idx val="1"/>
              <c:layout>
                <c:manualLayout>
                  <c:x val="-0.3027823240589198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C551-6A40-AC06-6B9DD04E8263}"/>
                </c:ext>
              </c:extLst>
            </c:dLbl>
            <c:dLbl>
              <c:idx val="2"/>
              <c:layout>
                <c:manualLayout>
                  <c:x val="-0.2741407528641571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C551-6A40-AC06-6B9DD04E8263}"/>
                </c:ext>
              </c:extLst>
            </c:dLbl>
            <c:dLbl>
              <c:idx val="4"/>
              <c:layout>
                <c:manualLayout>
                  <c:x val="-0.2782324058919803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C551-6A40-AC06-6B9DD04E8263}"/>
                </c:ext>
              </c:extLst>
            </c:dLbl>
            <c:dLbl>
              <c:idx val="5"/>
              <c:layout>
                <c:manualLayout>
                  <c:x val="-0.2659574468085106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C551-6A40-AC06-6B9DD04E8263}"/>
                </c:ext>
              </c:extLst>
            </c:dLbl>
            <c:dLbl>
              <c:idx val="6"/>
              <c:layout>
                <c:manualLayout>
                  <c:x val="-0.2864157119476268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C551-6A40-AC06-6B9DD04E8263}"/>
                </c:ext>
              </c:extLst>
            </c:dLbl>
            <c:dLbl>
              <c:idx val="7"/>
              <c:layout>
                <c:manualLayout>
                  <c:x val="-0.3068739770867430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C551-6A40-AC06-6B9DD04E8263}"/>
                </c:ext>
              </c:extLst>
            </c:dLbl>
            <c:dLbl>
              <c:idx val="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272B-564E-BB7A-2D6F938C238B}"/>
                </c:ext>
              </c:extLst>
            </c:dLbl>
            <c:dLbl>
              <c:idx val="9"/>
              <c:layout>
                <c:manualLayout>
                  <c:x val="-0.3191489361702128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E-C551-6A40-AC06-6B9DD04E8263}"/>
                </c:ext>
              </c:extLst>
            </c:dLbl>
            <c:dLbl>
              <c:idx val="1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272B-564E-BB7A-2D6F938C238B}"/>
                </c:ext>
              </c:extLst>
            </c:dLbl>
            <c:dLbl>
              <c:idx val="11"/>
              <c:layout>
                <c:manualLayout>
                  <c:x val="-0.27004909983633396"/>
                  <c:y val="-6.306543360009904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0-C551-6A40-AC06-6B9DD04E8263}"/>
                </c:ext>
              </c:extLst>
            </c:dLbl>
            <c:dLbl>
              <c:idx val="1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272B-564E-BB7A-2D6F938C238B}"/>
                </c:ext>
              </c:extLst>
            </c:dLbl>
            <c:dLbl>
              <c:idx val="13"/>
              <c:layout>
                <c:manualLayout>
                  <c:x val="-0.2986906710310965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2-C551-6A40-AC06-6B9DD04E8263}"/>
                </c:ext>
              </c:extLst>
            </c:dLbl>
            <c:dLbl>
              <c:idx val="14"/>
              <c:layout>
                <c:manualLayout>
                  <c:x val="-0.2864157119476269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4-C551-6A40-AC06-6B9DD04E8263}"/>
                </c:ext>
              </c:extLst>
            </c:dLbl>
            <c:dLbl>
              <c:idx val="15"/>
              <c:layout>
                <c:manualLayout>
                  <c:x val="-0.23731587561374803"/>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6-C551-6A40-AC06-6B9DD04E8263}"/>
                </c:ext>
              </c:extLst>
            </c:dLbl>
            <c:dLbl>
              <c:idx val="16"/>
              <c:layout>
                <c:manualLayout>
                  <c:x val="-0.36415711947626839"/>
                  <c:y val="1.2613086720019808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8-C551-6A40-AC06-6B9DD04E8263}"/>
                </c:ext>
              </c:extLst>
            </c:dLbl>
            <c:dLbl>
              <c:idx val="17"/>
              <c:layout>
                <c:manualLayout>
                  <c:x val="-0.39279869067103107"/>
                  <c:y val="1.2613086720019808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A-C551-6A40-AC06-6B9DD04E8263}"/>
                </c:ext>
              </c:extLst>
            </c:dLbl>
            <c:dLbl>
              <c:idx val="18"/>
              <c:layout>
                <c:manualLayout>
                  <c:x val="-0.34369885433715219"/>
                  <c:y val="1.2613086720019808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C-C551-6A40-AC06-6B9DD04E8263}"/>
                </c:ext>
              </c:extLst>
            </c:dLbl>
            <c:dLbl>
              <c:idx val="19"/>
              <c:layout>
                <c:manualLayout>
                  <c:x val="-0.47054009819967269"/>
                  <c:y val="1.2613086720019808E-16"/>
                </c:manualLayout>
              </c:layout>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FA9F-7841-886E-C92815D31A6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'3c.1 - ISCED 02'!$H$3:$H$22</c:f>
              <c:strCache>
                <c:ptCount val="20"/>
                <c:pt idx="0">
                  <c:v>Belgium (Fl)</c:v>
                </c:pt>
                <c:pt idx="1">
                  <c:v>Bulgaria</c:v>
                </c:pt>
                <c:pt idx="2">
                  <c:v>Cyprus</c:v>
                </c:pt>
                <c:pt idx="3">
                  <c:v>Czech Republic</c:v>
                </c:pt>
                <c:pt idx="4">
                  <c:v>Estonia</c:v>
                </c:pt>
                <c:pt idx="5">
                  <c:v>France</c:v>
                </c:pt>
                <c:pt idx="6">
                  <c:v>Greece</c:v>
                </c:pt>
                <c:pt idx="7">
                  <c:v>Hungary</c:v>
                </c:pt>
                <c:pt idx="8">
                  <c:v>Italy</c:v>
                </c:pt>
                <c:pt idx="9">
                  <c:v>Lithuania</c:v>
                </c:pt>
                <c:pt idx="10">
                  <c:v>Malta</c:v>
                </c:pt>
                <c:pt idx="11">
                  <c:v>Poland</c:v>
                </c:pt>
                <c:pt idx="12">
                  <c:v>Portugal</c:v>
                </c:pt>
                <c:pt idx="13">
                  <c:v>Slovakia</c:v>
                </c:pt>
                <c:pt idx="14">
                  <c:v>Slovenia</c:v>
                </c:pt>
                <c:pt idx="15">
                  <c:v>Spain</c:v>
                </c:pt>
                <c:pt idx="16">
                  <c:v>UK (England)</c:v>
                </c:pt>
                <c:pt idx="17">
                  <c:v>UK (N. Ireland)</c:v>
                </c:pt>
                <c:pt idx="18">
                  <c:v>UK (Wales)</c:v>
                </c:pt>
                <c:pt idx="19">
                  <c:v>Total average (19)</c:v>
                </c:pt>
              </c:strCache>
            </c:strRef>
          </c:cat>
          <c:val>
            <c:numRef>
              <c:f>'3c.1 - ISCED 02'!$I$3:$I$22</c:f>
              <c:numCache>
                <c:formatCode>0.00</c:formatCode>
                <c:ptCount val="20"/>
                <c:pt idx="0">
                  <c:v>31.808510638297872</c:v>
                </c:pt>
                <c:pt idx="1">
                  <c:v>57.328707718993932</c:v>
                </c:pt>
                <c:pt idx="2">
                  <c:v>53.846153846153847</c:v>
                </c:pt>
                <c:pt idx="3">
                  <c:v>13.70746969104419</c:v>
                </c:pt>
                <c:pt idx="4">
                  <c:v>39.792493133963994</c:v>
                </c:pt>
                <c:pt idx="5">
                  <c:v>39.207742516317801</c:v>
                </c:pt>
                <c:pt idx="6">
                  <c:v>62.401223553403007</c:v>
                </c:pt>
                <c:pt idx="7">
                  <c:v>56.139740018570109</c:v>
                </c:pt>
                <c:pt idx="8">
                  <c:v>72.169308408557825</c:v>
                </c:pt>
                <c:pt idx="9">
                  <c:v>55.589361075669842</c:v>
                </c:pt>
                <c:pt idx="10">
                  <c:v>70.438799076212462</c:v>
                </c:pt>
                <c:pt idx="11">
                  <c:v>54.46548257372654</c:v>
                </c:pt>
                <c:pt idx="12">
                  <c:v>72.295938882187372</c:v>
                </c:pt>
                <c:pt idx="13">
                  <c:v>33.819241982507286</c:v>
                </c:pt>
                <c:pt idx="14">
                  <c:v>63.423110338835798</c:v>
                </c:pt>
                <c:pt idx="15">
                  <c:v>60.039279869067109</c:v>
                </c:pt>
                <c:pt idx="16">
                  <c:v>46.711699033680461</c:v>
                </c:pt>
                <c:pt idx="17">
                  <c:v>48.3271375464684</c:v>
                </c:pt>
                <c:pt idx="18">
                  <c:v>49.475065616797899</c:v>
                </c:pt>
                <c:pt idx="19">
                  <c:v>48.329269030008668</c:v>
                </c:pt>
              </c:numCache>
            </c:numRef>
          </c:val>
          <c:extLst>
            <c:ext xmlns:c16="http://schemas.microsoft.com/office/drawing/2014/chart" uri="{C3380CC4-5D6E-409C-BE32-E72D297353CC}">
              <c16:uniqueId val="{00000000-2D26-4F3E-B5A2-3F8FA89F02D7}"/>
            </c:ext>
          </c:extLst>
        </c:ser>
        <c:ser>
          <c:idx val="1"/>
          <c:order val="1"/>
          <c:tx>
            <c:strRef>
              <c:f>'3c.1 - ISCED 02'!$J$2</c:f>
              <c:strCache>
                <c:ptCount val="1"/>
                <c:pt idx="0">
                  <c:v>Girls</c:v>
                </c:pt>
              </c:strCache>
            </c:strRef>
          </c:tx>
          <c:spPr>
            <a:solidFill>
              <a:srgbClr val="F9C623"/>
            </a:solidFill>
            <a:ln>
              <a:noFill/>
            </a:ln>
            <a:effectLst/>
          </c:spPr>
          <c:invertIfNegative val="0"/>
          <c:dLbls>
            <c:dLbl>
              <c:idx val="0"/>
              <c:layout>
                <c:manualLayout>
                  <c:x val="-0.139116202945990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51-6A40-AC06-6B9DD04E8263}"/>
                </c:ext>
              </c:extLst>
            </c:dLbl>
            <c:dLbl>
              <c:idx val="1"/>
              <c:layout>
                <c:manualLayout>
                  <c:x val="-0.1513911620294599"/>
                  <c:y val="1.57663584000247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51-6A40-AC06-6B9DD04E8263}"/>
                </c:ext>
              </c:extLst>
            </c:dLbl>
            <c:dLbl>
              <c:idx val="2"/>
              <c:layout>
                <c:manualLayout>
                  <c:x val="-0.13911620294599017"/>
                  <c:y val="-3.15327168000495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551-6A40-AC06-6B9DD04E8263}"/>
                </c:ext>
              </c:extLst>
            </c:dLbl>
            <c:dLbl>
              <c:idx val="4"/>
              <c:layout>
                <c:manualLayout>
                  <c:x val="-0.13093289689034374"/>
                  <c:y val="3.15327168000495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551-6A40-AC06-6B9DD04E8263}"/>
                </c:ext>
              </c:extLst>
            </c:dLbl>
            <c:dLbl>
              <c:idx val="5"/>
              <c:layout>
                <c:manualLayout>
                  <c:x val="-0.13502454991816698"/>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551-6A40-AC06-6B9DD04E8263}"/>
                </c:ext>
              </c:extLst>
            </c:dLbl>
            <c:dLbl>
              <c:idx val="6"/>
              <c:layout>
                <c:manualLayout>
                  <c:x val="-0.1391162029459902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551-6A40-AC06-6B9DD04E8263}"/>
                </c:ext>
              </c:extLst>
            </c:dLbl>
            <c:dLbl>
              <c:idx val="7"/>
              <c:layout>
                <c:manualLayout>
                  <c:x val="-0.13911620294599017"/>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551-6A40-AC06-6B9DD04E8263}"/>
                </c:ext>
              </c:extLst>
            </c:dLbl>
            <c:dLbl>
              <c:idx val="8"/>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72B-564E-BB7A-2D6F938C238B}"/>
                </c:ext>
              </c:extLst>
            </c:dLbl>
            <c:dLbl>
              <c:idx val="9"/>
              <c:layout>
                <c:manualLayout>
                  <c:x val="-0.14729950900163669"/>
                  <c:y val="6.30654336000990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551-6A40-AC06-6B9DD04E8263}"/>
                </c:ext>
              </c:extLst>
            </c:dLbl>
            <c:dLbl>
              <c:idx val="1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72B-564E-BB7A-2D6F938C238B}"/>
                </c:ext>
              </c:extLst>
            </c:dLbl>
            <c:dLbl>
              <c:idx val="11"/>
              <c:layout>
                <c:manualLayout>
                  <c:x val="-0.13911620294599022"/>
                  <c:y val="1.2613086720019808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551-6A40-AC06-6B9DD04E8263}"/>
                </c:ext>
              </c:extLst>
            </c:dLbl>
            <c:dLbl>
              <c:idx val="1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72B-564E-BB7A-2D6F938C238B}"/>
                </c:ext>
              </c:extLst>
            </c:dLbl>
            <c:dLbl>
              <c:idx val="13"/>
              <c:layout>
                <c:manualLayout>
                  <c:x val="-0.1391162029459902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551-6A40-AC06-6B9DD04E8263}"/>
                </c:ext>
              </c:extLst>
            </c:dLbl>
            <c:dLbl>
              <c:idx val="14"/>
              <c:layout>
                <c:manualLayout>
                  <c:x val="-0.14320785597381341"/>
                  <c:y val="-1.71998624011007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551-6A40-AC06-6B9DD04E8263}"/>
                </c:ext>
              </c:extLst>
            </c:dLbl>
            <c:dLbl>
              <c:idx val="15"/>
              <c:layout>
                <c:manualLayout>
                  <c:x val="-0.13911620294599022"/>
                  <c:y val="-1.71998624011007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C551-6A40-AC06-6B9DD04E8263}"/>
                </c:ext>
              </c:extLst>
            </c:dLbl>
            <c:dLbl>
              <c:idx val="16"/>
              <c:layout>
                <c:manualLayout>
                  <c:x val="-0.13093289689034371"/>
                  <c:y val="1.2613086720019808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C551-6A40-AC06-6B9DD04E8263}"/>
                </c:ext>
              </c:extLst>
            </c:dLbl>
            <c:dLbl>
              <c:idx val="18"/>
              <c:layout>
                <c:manualLayout>
                  <c:x val="-0.1227495908346972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C551-6A40-AC06-6B9DD04E8263}"/>
                </c:ext>
              </c:extLst>
            </c:dLbl>
            <c:dLbl>
              <c:idx val="19"/>
              <c:layout>
                <c:manualLayout>
                  <c:x val="-0.14729950900163669"/>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9F-7841-886E-C92815D31A6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'3c.1 - ISCED 02'!$H$3:$H$22</c:f>
              <c:strCache>
                <c:ptCount val="20"/>
                <c:pt idx="0">
                  <c:v>Belgium (Fl)</c:v>
                </c:pt>
                <c:pt idx="1">
                  <c:v>Bulgaria</c:v>
                </c:pt>
                <c:pt idx="2">
                  <c:v>Cyprus</c:v>
                </c:pt>
                <c:pt idx="3">
                  <c:v>Czech Republic</c:v>
                </c:pt>
                <c:pt idx="4">
                  <c:v>Estonia</c:v>
                </c:pt>
                <c:pt idx="5">
                  <c:v>France</c:v>
                </c:pt>
                <c:pt idx="6">
                  <c:v>Greece</c:v>
                </c:pt>
                <c:pt idx="7">
                  <c:v>Hungary</c:v>
                </c:pt>
                <c:pt idx="8">
                  <c:v>Italy</c:v>
                </c:pt>
                <c:pt idx="9">
                  <c:v>Lithuania</c:v>
                </c:pt>
                <c:pt idx="10">
                  <c:v>Malta</c:v>
                </c:pt>
                <c:pt idx="11">
                  <c:v>Poland</c:v>
                </c:pt>
                <c:pt idx="12">
                  <c:v>Portugal</c:v>
                </c:pt>
                <c:pt idx="13">
                  <c:v>Slovakia</c:v>
                </c:pt>
                <c:pt idx="14">
                  <c:v>Slovenia</c:v>
                </c:pt>
                <c:pt idx="15">
                  <c:v>Spain</c:v>
                </c:pt>
                <c:pt idx="16">
                  <c:v>UK (England)</c:v>
                </c:pt>
                <c:pt idx="17">
                  <c:v>UK (N. Ireland)</c:v>
                </c:pt>
                <c:pt idx="18">
                  <c:v>UK (Wales)</c:v>
                </c:pt>
                <c:pt idx="19">
                  <c:v>Total average (19)</c:v>
                </c:pt>
              </c:strCache>
            </c:strRef>
          </c:cat>
          <c:val>
            <c:numRef>
              <c:f>'3c.1 - ISCED 02'!$J$3:$J$22</c:f>
              <c:numCache>
                <c:formatCode>0.00</c:formatCode>
                <c:ptCount val="20"/>
                <c:pt idx="0">
                  <c:v>15.877659574468083</c:v>
                </c:pt>
                <c:pt idx="1">
                  <c:v>28.274067649609712</c:v>
                </c:pt>
                <c:pt idx="2">
                  <c:v>26.210826210826209</c:v>
                </c:pt>
                <c:pt idx="3">
                  <c:v>6.0357189414678656</c:v>
                </c:pt>
                <c:pt idx="4">
                  <c:v>21.940799511748551</c:v>
                </c:pt>
                <c:pt idx="5">
                  <c:v>16.534838108099418</c:v>
                </c:pt>
                <c:pt idx="6">
                  <c:v>21.718072903390262</c:v>
                </c:pt>
                <c:pt idx="7">
                  <c:v>26.044568245125348</c:v>
                </c:pt>
                <c:pt idx="8">
                  <c:v>27.226526405572539</c:v>
                </c:pt>
                <c:pt idx="9">
                  <c:v>35.891647855530472</c:v>
                </c:pt>
                <c:pt idx="10">
                  <c:v>29.561200923787528</c:v>
                </c:pt>
                <c:pt idx="11">
                  <c:v>25.217828418230564</c:v>
                </c:pt>
                <c:pt idx="12">
                  <c:v>27.704061117812628</c:v>
                </c:pt>
                <c:pt idx="13">
                  <c:v>31.034985422740526</c:v>
                </c:pt>
                <c:pt idx="14">
                  <c:v>29.452649869678538</c:v>
                </c:pt>
                <c:pt idx="15">
                  <c:v>26.599018003273322</c:v>
                </c:pt>
                <c:pt idx="16">
                  <c:v>21.671826625386998</c:v>
                </c:pt>
                <c:pt idx="17">
                  <c:v>8.1784386617100377</c:v>
                </c:pt>
                <c:pt idx="18">
                  <c:v>20.99737532808399</c:v>
                </c:pt>
                <c:pt idx="19">
                  <c:v>22.312017573913216</c:v>
                </c:pt>
              </c:numCache>
            </c:numRef>
          </c:val>
          <c:extLst>
            <c:ext xmlns:c16="http://schemas.microsoft.com/office/drawing/2014/chart" uri="{C3380CC4-5D6E-409C-BE32-E72D297353CC}">
              <c16:uniqueId val="{00000001-2D26-4F3E-B5A2-3F8FA89F02D7}"/>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249446113390441E-2"/>
          <c:y val="4.3203679474531492E-2"/>
          <c:w val="0.82287869264613456"/>
          <c:h val="0.9187124826608023"/>
        </c:manualLayout>
      </c:layout>
      <c:barChart>
        <c:barDir val="bar"/>
        <c:grouping val="clustered"/>
        <c:varyColors val="0"/>
        <c:ser>
          <c:idx val="0"/>
          <c:order val="0"/>
          <c:tx>
            <c:strRef>
              <c:f>'3c.1 - ISCED 02'!$L$2</c:f>
              <c:strCache>
                <c:ptCount val="1"/>
                <c:pt idx="0">
                  <c:v>Boys</c:v>
                </c:pt>
              </c:strCache>
            </c:strRef>
          </c:tx>
          <c:spPr>
            <a:solidFill>
              <a:srgbClr val="17255B"/>
            </a:solidFill>
            <a:ln>
              <a:noFill/>
            </a:ln>
            <a:effectLst/>
          </c:spPr>
          <c:invertIfNegative val="0"/>
          <c:dLbls>
            <c:dLbl>
              <c:idx val="1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0AA-004B-AC80-CC661A093D9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'3c.1 - ISCED 02'!$K$3:$K$22</c:f>
              <c:strCache>
                <c:ptCount val="20"/>
                <c:pt idx="0">
                  <c:v>Belgium (Fl)</c:v>
                </c:pt>
                <c:pt idx="1">
                  <c:v>Bulgaria</c:v>
                </c:pt>
                <c:pt idx="2">
                  <c:v>Cyprus</c:v>
                </c:pt>
                <c:pt idx="3">
                  <c:v>Czech Republic</c:v>
                </c:pt>
                <c:pt idx="4">
                  <c:v>Estonia</c:v>
                </c:pt>
                <c:pt idx="5">
                  <c:v>France</c:v>
                </c:pt>
                <c:pt idx="6">
                  <c:v>Greece</c:v>
                </c:pt>
                <c:pt idx="7">
                  <c:v>Hungary</c:v>
                </c:pt>
                <c:pt idx="8">
                  <c:v>Italy</c:v>
                </c:pt>
                <c:pt idx="9">
                  <c:v>Lithuania</c:v>
                </c:pt>
                <c:pt idx="10">
                  <c:v>Malta</c:v>
                </c:pt>
                <c:pt idx="11">
                  <c:v>Poland</c:v>
                </c:pt>
                <c:pt idx="12">
                  <c:v>Portugal</c:v>
                </c:pt>
                <c:pt idx="13">
                  <c:v>Slovakia</c:v>
                </c:pt>
                <c:pt idx="14">
                  <c:v>Slovenia</c:v>
                </c:pt>
                <c:pt idx="15">
                  <c:v>Spain</c:v>
                </c:pt>
                <c:pt idx="16">
                  <c:v>UK (England)</c:v>
                </c:pt>
                <c:pt idx="17">
                  <c:v>UK (N. Ireland)</c:v>
                </c:pt>
                <c:pt idx="18">
                  <c:v>UK (Wales)</c:v>
                </c:pt>
                <c:pt idx="19">
                  <c:v>Total average (19)</c:v>
                </c:pt>
              </c:strCache>
            </c:strRef>
          </c:cat>
          <c:val>
            <c:numRef>
              <c:f>'3c.1 - ISCED 02'!$L$3:$L$22</c:f>
              <c:numCache>
                <c:formatCode>0.00</c:formatCode>
                <c:ptCount val="20"/>
                <c:pt idx="0">
                  <c:v>66.703848298940329</c:v>
                </c:pt>
                <c:pt idx="1">
                  <c:v>66.970618034447824</c:v>
                </c:pt>
                <c:pt idx="2">
                  <c:v>67.259786476868328</c:v>
                </c:pt>
                <c:pt idx="3">
                  <c:v>69.428854407395178</c:v>
                </c:pt>
                <c:pt idx="4">
                  <c:v>64.458724666337119</c:v>
                </c:pt>
                <c:pt idx="5">
                  <c:v>70.337149943760281</c:v>
                </c:pt>
                <c:pt idx="6">
                  <c:v>74.181818181818187</c:v>
                </c:pt>
                <c:pt idx="7">
                  <c:v>68.309560796497664</c:v>
                </c:pt>
                <c:pt idx="8">
                  <c:v>72.607980549199084</c:v>
                </c:pt>
                <c:pt idx="9">
                  <c:v>60.766012230447373</c:v>
                </c:pt>
                <c:pt idx="10">
                  <c:v>70.438799076212462</c:v>
                </c:pt>
                <c:pt idx="11">
                  <c:v>68.352434023761958</c:v>
                </c:pt>
                <c:pt idx="12">
                  <c:v>72.295938882187372</c:v>
                </c:pt>
                <c:pt idx="13">
                  <c:v>52.146549786468867</c:v>
                </c:pt>
                <c:pt idx="14">
                  <c:v>68.288119738072965</c:v>
                </c:pt>
                <c:pt idx="15">
                  <c:v>69.298775880308298</c:v>
                </c:pt>
                <c:pt idx="16">
                  <c:v>68.308409932775419</c:v>
                </c:pt>
                <c:pt idx="17">
                  <c:v>85.526315789473685</c:v>
                </c:pt>
                <c:pt idx="18">
                  <c:v>70.204841713221597</c:v>
                </c:pt>
                <c:pt idx="19">
                  <c:v>68.415046431679102</c:v>
                </c:pt>
              </c:numCache>
            </c:numRef>
          </c:val>
          <c:extLst>
            <c:ext xmlns:c16="http://schemas.microsoft.com/office/drawing/2014/chart" uri="{C3380CC4-5D6E-409C-BE32-E72D297353CC}">
              <c16:uniqueId val="{00000000-67F1-4062-A170-D5922F39D963}"/>
            </c:ext>
          </c:extLst>
        </c:ser>
        <c:ser>
          <c:idx val="1"/>
          <c:order val="1"/>
          <c:tx>
            <c:strRef>
              <c:f>'3c.1 - ISCED 02'!$M$2</c:f>
              <c:strCache>
                <c:ptCount val="1"/>
                <c:pt idx="0">
                  <c:v>Girls</c:v>
                </c:pt>
              </c:strCache>
            </c:strRef>
          </c:tx>
          <c:spPr>
            <a:solidFill>
              <a:srgbClr val="F9C623"/>
            </a:solidFill>
            <a:ln>
              <a:noFill/>
            </a:ln>
            <a:effectLst/>
          </c:spPr>
          <c:invertIfNegative val="0"/>
          <c:dLbls>
            <c:dLbl>
              <c:idx val="1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C0AA-004B-AC80-CC661A093D9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'3c.1 - ISCED 02'!$K$3:$K$22</c:f>
              <c:strCache>
                <c:ptCount val="20"/>
                <c:pt idx="0">
                  <c:v>Belgium (Fl)</c:v>
                </c:pt>
                <c:pt idx="1">
                  <c:v>Bulgaria</c:v>
                </c:pt>
                <c:pt idx="2">
                  <c:v>Cyprus</c:v>
                </c:pt>
                <c:pt idx="3">
                  <c:v>Czech Republic</c:v>
                </c:pt>
                <c:pt idx="4">
                  <c:v>Estonia</c:v>
                </c:pt>
                <c:pt idx="5">
                  <c:v>France</c:v>
                </c:pt>
                <c:pt idx="6">
                  <c:v>Greece</c:v>
                </c:pt>
                <c:pt idx="7">
                  <c:v>Hungary</c:v>
                </c:pt>
                <c:pt idx="8">
                  <c:v>Italy</c:v>
                </c:pt>
                <c:pt idx="9">
                  <c:v>Lithuania</c:v>
                </c:pt>
                <c:pt idx="10">
                  <c:v>Malta</c:v>
                </c:pt>
                <c:pt idx="11">
                  <c:v>Poland</c:v>
                </c:pt>
                <c:pt idx="12">
                  <c:v>Portugal</c:v>
                </c:pt>
                <c:pt idx="13">
                  <c:v>Slovakia</c:v>
                </c:pt>
                <c:pt idx="14">
                  <c:v>Slovenia</c:v>
                </c:pt>
                <c:pt idx="15">
                  <c:v>Spain</c:v>
                </c:pt>
                <c:pt idx="16">
                  <c:v>UK (England)</c:v>
                </c:pt>
                <c:pt idx="17">
                  <c:v>UK (N. Ireland)</c:v>
                </c:pt>
                <c:pt idx="18">
                  <c:v>UK (Wales)</c:v>
                </c:pt>
                <c:pt idx="19">
                  <c:v>Total average (19)</c:v>
                </c:pt>
              </c:strCache>
            </c:strRef>
          </c:cat>
          <c:val>
            <c:numRef>
              <c:f>'3c.1 - ISCED 02'!$M$3:$M$22</c:f>
              <c:numCache>
                <c:formatCode>0.00</c:formatCode>
                <c:ptCount val="20"/>
                <c:pt idx="0">
                  <c:v>33.296151701059678</c:v>
                </c:pt>
                <c:pt idx="1">
                  <c:v>33.029381965552176</c:v>
                </c:pt>
                <c:pt idx="2">
                  <c:v>32.740213523131672</c:v>
                </c:pt>
                <c:pt idx="3">
                  <c:v>30.571145592604822</c:v>
                </c:pt>
                <c:pt idx="4">
                  <c:v>35.541275333662874</c:v>
                </c:pt>
                <c:pt idx="5">
                  <c:v>29.662850056239726</c:v>
                </c:pt>
                <c:pt idx="6">
                  <c:v>25.818181818181817</c:v>
                </c:pt>
                <c:pt idx="7">
                  <c:v>31.690439203502329</c:v>
                </c:pt>
                <c:pt idx="8">
                  <c:v>27.392019450800912</c:v>
                </c:pt>
                <c:pt idx="9">
                  <c:v>39.233987769552627</c:v>
                </c:pt>
                <c:pt idx="10">
                  <c:v>29.561200923787528</c:v>
                </c:pt>
                <c:pt idx="11">
                  <c:v>31.647565976238042</c:v>
                </c:pt>
                <c:pt idx="12">
                  <c:v>27.704061117812628</c:v>
                </c:pt>
                <c:pt idx="13">
                  <c:v>47.853450213531126</c:v>
                </c:pt>
                <c:pt idx="14">
                  <c:v>31.711880261927032</c:v>
                </c:pt>
                <c:pt idx="15">
                  <c:v>30.701224119691705</c:v>
                </c:pt>
                <c:pt idx="16">
                  <c:v>31.691590067224585</c:v>
                </c:pt>
                <c:pt idx="17">
                  <c:v>14.473684210526317</c:v>
                </c:pt>
                <c:pt idx="18">
                  <c:v>29.795158286778399</c:v>
                </c:pt>
                <c:pt idx="19">
                  <c:v>31.584953568320902</c:v>
                </c:pt>
              </c:numCache>
            </c:numRef>
          </c:val>
          <c:extLst>
            <c:ext xmlns:c16="http://schemas.microsoft.com/office/drawing/2014/chart" uri="{C3380CC4-5D6E-409C-BE32-E72D297353CC}">
              <c16:uniqueId val="{00000001-67F1-4062-A170-D5922F39D963}"/>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7"/>
            <c:invertIfNegative val="0"/>
            <c:bubble3D val="0"/>
            <c:spPr>
              <a:solidFill>
                <a:srgbClr val="F9C623"/>
              </a:solidFill>
              <a:ln>
                <a:noFill/>
              </a:ln>
              <a:effectLst/>
            </c:spPr>
            <c:extLst>
              <c:ext xmlns:c16="http://schemas.microsoft.com/office/drawing/2014/chart" uri="{C3380CC4-5D6E-409C-BE32-E72D297353CC}">
                <c16:uniqueId val="{00000001-577A-4013-87E0-32B3651A94DE}"/>
              </c:ext>
            </c:extLst>
          </c:dPt>
          <c:dPt>
            <c:idx val="20"/>
            <c:invertIfNegative val="0"/>
            <c:bubble3D val="0"/>
            <c:extLst>
              <c:ext xmlns:c16="http://schemas.microsoft.com/office/drawing/2014/chart" uri="{C3380CC4-5D6E-409C-BE32-E72D297353CC}">
                <c16:uniqueId val="{00000003-577A-4013-87E0-32B3651A94DE}"/>
              </c:ext>
            </c:extLst>
          </c:dPt>
          <c:dPt>
            <c:idx val="27"/>
            <c:invertIfNegative val="0"/>
            <c:bubble3D val="0"/>
            <c:extLst>
              <c:ext xmlns:c16="http://schemas.microsoft.com/office/drawing/2014/chart" uri="{C3380CC4-5D6E-409C-BE32-E72D297353CC}">
                <c16:uniqueId val="{00000005-577A-4013-87E0-32B3651A94DE}"/>
              </c:ext>
            </c:extLst>
          </c:dPt>
          <c:dLbls>
            <c:dLbl>
              <c:idx val="2"/>
              <c:layout>
                <c:manualLayout>
                  <c:x val="-0.425000000000000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39CE-7741-9A30-6E61424CBD93}"/>
                </c:ext>
              </c:extLst>
            </c:dLbl>
            <c:dLbl>
              <c:idx val="3"/>
              <c:layout>
                <c:manualLayout>
                  <c:x val="-0.27916666666666673"/>
                  <c:y val="1.7622698035069492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39CE-7741-9A30-6E61424CBD93}"/>
                </c:ext>
              </c:extLst>
            </c:dLbl>
            <c:dLbl>
              <c:idx val="7"/>
              <c:layout>
                <c:manualLayout>
                  <c:x val="-0.3000000000000000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39CE-7741-9A30-6E61424CBD93}"/>
                </c:ext>
              </c:extLst>
            </c:dLbl>
            <c:dLbl>
              <c:idx val="1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39CE-7741-9A30-6E61424CBD93}"/>
                </c:ext>
              </c:extLst>
            </c:dLbl>
            <c:dLbl>
              <c:idx val="17"/>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577A-4013-87E0-32B3651A94D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'3c.2 - ISCED 02'!$F$3:$F$20</c:f>
              <c:strCache>
                <c:ptCount val="18"/>
                <c:pt idx="0">
                  <c:v>Bulgaria</c:v>
                </c:pt>
                <c:pt idx="1">
                  <c:v>Cyprus</c:v>
                </c:pt>
                <c:pt idx="2">
                  <c:v>Czech Republic</c:v>
                </c:pt>
                <c:pt idx="3">
                  <c:v>Estonia</c:v>
                </c:pt>
                <c:pt idx="4">
                  <c:v>France</c:v>
                </c:pt>
                <c:pt idx="5">
                  <c:v>Greece</c:v>
                </c:pt>
                <c:pt idx="6">
                  <c:v>Hungary</c:v>
                </c:pt>
                <c:pt idx="7">
                  <c:v>Ireland</c:v>
                </c:pt>
                <c:pt idx="8">
                  <c:v>Lithuania</c:v>
                </c:pt>
                <c:pt idx="9">
                  <c:v>Luxembourg</c:v>
                </c:pt>
                <c:pt idx="10">
                  <c:v>Poland</c:v>
                </c:pt>
                <c:pt idx="11">
                  <c:v>Serbia</c:v>
                </c:pt>
                <c:pt idx="12">
                  <c:v>Slovakia</c:v>
                </c:pt>
                <c:pt idx="13">
                  <c:v>Slovenia</c:v>
                </c:pt>
                <c:pt idx="14">
                  <c:v>Spain</c:v>
                </c:pt>
                <c:pt idx="15">
                  <c:v>Switzerland</c:v>
                </c:pt>
                <c:pt idx="16">
                  <c:v>UK (England)</c:v>
                </c:pt>
                <c:pt idx="17">
                  <c:v>Total average (17)</c:v>
                </c:pt>
              </c:strCache>
            </c:strRef>
          </c:cat>
          <c:val>
            <c:numRef>
              <c:f>'3c.2 - ISCED 02'!$G$3:$G$20</c:f>
              <c:numCache>
                <c:formatCode>0.00</c:formatCode>
                <c:ptCount val="18"/>
                <c:pt idx="0">
                  <c:v>11.968777103209021</c:v>
                </c:pt>
                <c:pt idx="1">
                  <c:v>14.957264957264957</c:v>
                </c:pt>
                <c:pt idx="2">
                  <c:v>55.253552339981752</c:v>
                </c:pt>
                <c:pt idx="3">
                  <c:v>34.177601464754346</c:v>
                </c:pt>
                <c:pt idx="4">
                  <c:v>9.2376450917976918</c:v>
                </c:pt>
                <c:pt idx="5">
                  <c:v>0.58628600560795308</c:v>
                </c:pt>
                <c:pt idx="6">
                  <c:v>17.815691736304551</c:v>
                </c:pt>
                <c:pt idx="7">
                  <c:v>53.254437869822489</c:v>
                </c:pt>
                <c:pt idx="8">
                  <c:v>4.1957012464422423</c:v>
                </c:pt>
                <c:pt idx="9">
                  <c:v>27.685950413223143</c:v>
                </c:pt>
                <c:pt idx="10">
                  <c:v>3.4349865951742631</c:v>
                </c:pt>
                <c:pt idx="11">
                  <c:v>100</c:v>
                </c:pt>
                <c:pt idx="12">
                  <c:v>4.9271137026239069</c:v>
                </c:pt>
                <c:pt idx="13">
                  <c:v>10.425716768027801</c:v>
                </c:pt>
                <c:pt idx="14">
                  <c:v>3.4173486088379703</c:v>
                </c:pt>
                <c:pt idx="15">
                  <c:v>2.3316062176165802</c:v>
                </c:pt>
                <c:pt idx="16">
                  <c:v>2.0358382587484751</c:v>
                </c:pt>
                <c:pt idx="17">
                  <c:v>12.575443653724891</c:v>
                </c:pt>
              </c:numCache>
            </c:numRef>
          </c:val>
          <c:extLst>
            <c:ext xmlns:c16="http://schemas.microsoft.com/office/drawing/2014/chart" uri="{C3380CC4-5D6E-409C-BE32-E72D297353CC}">
              <c16:uniqueId val="{00000006-577A-4013-87E0-32B3651A94DE}"/>
            </c:ext>
          </c:extLst>
        </c:ser>
        <c:dLbls>
          <c:showLegendKey val="0"/>
          <c:showVal val="0"/>
          <c:showCatName val="0"/>
          <c:showSerName val="0"/>
          <c:showPercent val="0"/>
          <c:showBubbleSize val="0"/>
        </c:dLbls>
        <c:gapWidth val="20"/>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Blad1!$B$2</c:f>
              <c:strCache>
                <c:ptCount val="1"/>
                <c:pt idx="0">
                  <c:v>Boys</c:v>
                </c:pt>
              </c:strCache>
            </c:strRef>
          </c:tx>
          <c:spPr>
            <a:solidFill>
              <a:srgbClr val="17255B"/>
            </a:solidFill>
            <a:ln>
              <a:noFill/>
            </a:ln>
            <a:effectLst/>
          </c:spPr>
          <c:invertIfNegative val="0"/>
          <c:dLbls>
            <c:dLbl>
              <c:idx val="2"/>
              <c:layout>
                <c:manualLayout>
                  <c:x val="-0.40507364975450083"/>
                  <c:y val="3.1701749174388359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2B9C-AE4B-BD70-B53AE459E80A}"/>
                </c:ext>
              </c:extLst>
            </c:dLbl>
            <c:dLbl>
              <c:idx val="3"/>
              <c:layout>
                <c:manualLayout>
                  <c:x val="-0.2700490998363339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2B9C-AE4B-BD70-B53AE459E80A}"/>
                </c:ext>
              </c:extLst>
            </c:dLbl>
            <c:dLbl>
              <c:idx val="7"/>
              <c:layout>
                <c:manualLayout>
                  <c:x val="-0.27414075286415718"/>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2B9C-AE4B-BD70-B53AE459E80A}"/>
                </c:ext>
              </c:extLst>
            </c:dLbl>
            <c:dLbl>
              <c:idx val="1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2B9C-AE4B-BD70-B53AE459E80A}"/>
                </c:ext>
              </c:extLst>
            </c:dLbl>
            <c:dLbl>
              <c:idx val="1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2B9C-AE4B-BD70-B53AE459E80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Blad1!$A$3:$A$19</c:f>
              <c:strCache>
                <c:ptCount val="17"/>
                <c:pt idx="0">
                  <c:v>Bulgaria</c:v>
                </c:pt>
                <c:pt idx="1">
                  <c:v>Cyprus</c:v>
                </c:pt>
                <c:pt idx="2">
                  <c:v>Czech Republic</c:v>
                </c:pt>
                <c:pt idx="3">
                  <c:v>Estonia</c:v>
                </c:pt>
                <c:pt idx="4">
                  <c:v>France</c:v>
                </c:pt>
                <c:pt idx="5">
                  <c:v>Greece</c:v>
                </c:pt>
                <c:pt idx="6">
                  <c:v>Hungary</c:v>
                </c:pt>
                <c:pt idx="7">
                  <c:v>Ireland</c:v>
                </c:pt>
                <c:pt idx="8">
                  <c:v>Lithuania</c:v>
                </c:pt>
                <c:pt idx="9">
                  <c:v>Poland</c:v>
                </c:pt>
                <c:pt idx="10">
                  <c:v>Serbia</c:v>
                </c:pt>
                <c:pt idx="11">
                  <c:v>Slovakia</c:v>
                </c:pt>
                <c:pt idx="12">
                  <c:v>Slovenia</c:v>
                </c:pt>
                <c:pt idx="13">
                  <c:v>Spain</c:v>
                </c:pt>
                <c:pt idx="14">
                  <c:v>Switzerland</c:v>
                </c:pt>
                <c:pt idx="15">
                  <c:v>UK (England)</c:v>
                </c:pt>
                <c:pt idx="16">
                  <c:v>Total average (16)</c:v>
                </c:pt>
              </c:strCache>
            </c:strRef>
          </c:cat>
          <c:val>
            <c:numRef>
              <c:f>Blad1!$B$3:$B$19</c:f>
              <c:numCache>
                <c:formatCode>0.00</c:formatCode>
                <c:ptCount val="17"/>
                <c:pt idx="0">
                  <c:v>7.5455333911535121</c:v>
                </c:pt>
                <c:pt idx="1">
                  <c:v>11.396011396011396</c:v>
                </c:pt>
                <c:pt idx="2">
                  <c:v>36.083952548559509</c:v>
                </c:pt>
                <c:pt idx="3">
                  <c:v>24.839792493133963</c:v>
                </c:pt>
                <c:pt idx="4">
                  <c:v>6.046429375261245</c:v>
                </c:pt>
                <c:pt idx="5">
                  <c:v>0.48432322202396122</c:v>
                </c:pt>
                <c:pt idx="6">
                  <c:v>12.639275766016715</c:v>
                </c:pt>
                <c:pt idx="7">
                  <c:v>44.748520710059168</c:v>
                </c:pt>
                <c:pt idx="8">
                  <c:v>2.8952792226911375</c:v>
                </c:pt>
                <c:pt idx="9">
                  <c:v>2.4882707774798929</c:v>
                </c:pt>
                <c:pt idx="10">
                  <c:v>59.340659340659343</c:v>
                </c:pt>
                <c:pt idx="11">
                  <c:v>3.4839650145772594</c:v>
                </c:pt>
                <c:pt idx="12">
                  <c:v>3.8227628149435278</c:v>
                </c:pt>
                <c:pt idx="13">
                  <c:v>2.2978723404255321</c:v>
                </c:pt>
                <c:pt idx="14">
                  <c:v>1.2435233160621761</c:v>
                </c:pt>
                <c:pt idx="15">
                  <c:v>1.4729336710760859</c:v>
                </c:pt>
                <c:pt idx="16">
                  <c:v>8.4052487763865127</c:v>
                </c:pt>
              </c:numCache>
            </c:numRef>
          </c:val>
          <c:extLst>
            <c:ext xmlns:c16="http://schemas.microsoft.com/office/drawing/2014/chart" uri="{C3380CC4-5D6E-409C-BE32-E72D297353CC}">
              <c16:uniqueId val="{00000000-133C-4BE9-A675-348FDB234DA7}"/>
            </c:ext>
          </c:extLst>
        </c:ser>
        <c:ser>
          <c:idx val="1"/>
          <c:order val="1"/>
          <c:tx>
            <c:strRef>
              <c:f>Blad1!$C$2</c:f>
              <c:strCache>
                <c:ptCount val="1"/>
                <c:pt idx="0">
                  <c:v>Girls</c:v>
                </c:pt>
              </c:strCache>
            </c:strRef>
          </c:tx>
          <c:spPr>
            <a:solidFill>
              <a:srgbClr val="F9C623"/>
            </a:solidFill>
            <a:ln>
              <a:noFill/>
            </a:ln>
            <a:effectLst/>
          </c:spPr>
          <c:invertIfNegative val="0"/>
          <c:dLbls>
            <c:dLbl>
              <c:idx val="2"/>
              <c:layout>
                <c:manualLayout>
                  <c:x val="-0.13502454991816698"/>
                  <c:y val="3.170174917438835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B9C-AE4B-BD70-B53AE459E80A}"/>
                </c:ext>
              </c:extLst>
            </c:dLbl>
            <c:dLbl>
              <c:idx val="3"/>
              <c:layout>
                <c:manualLayout>
                  <c:x val="-0.11456628477905076"/>
                  <c:y val="3.170174917438835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B9C-AE4B-BD70-B53AE459E80A}"/>
                </c:ext>
              </c:extLst>
            </c:dLbl>
            <c:dLbl>
              <c:idx val="7"/>
              <c:layout>
                <c:manualLayout>
                  <c:x val="-0.1104746317512275"/>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9C-AE4B-BD70-B53AE459E80A}"/>
                </c:ext>
              </c:extLst>
            </c:dLbl>
            <c:dLbl>
              <c:idx val="1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9C-AE4B-BD70-B53AE459E80A}"/>
                </c:ext>
              </c:extLst>
            </c:dLbl>
            <c:dLbl>
              <c:idx val="1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2B9C-AE4B-BD70-B53AE459E80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Blad1!$A$3:$A$19</c:f>
              <c:strCache>
                <c:ptCount val="17"/>
                <c:pt idx="0">
                  <c:v>Bulgaria</c:v>
                </c:pt>
                <c:pt idx="1">
                  <c:v>Cyprus</c:v>
                </c:pt>
                <c:pt idx="2">
                  <c:v>Czech Republic</c:v>
                </c:pt>
                <c:pt idx="3">
                  <c:v>Estonia</c:v>
                </c:pt>
                <c:pt idx="4">
                  <c:v>France</c:v>
                </c:pt>
                <c:pt idx="5">
                  <c:v>Greece</c:v>
                </c:pt>
                <c:pt idx="6">
                  <c:v>Hungary</c:v>
                </c:pt>
                <c:pt idx="7">
                  <c:v>Ireland</c:v>
                </c:pt>
                <c:pt idx="8">
                  <c:v>Lithuania</c:v>
                </c:pt>
                <c:pt idx="9">
                  <c:v>Poland</c:v>
                </c:pt>
                <c:pt idx="10">
                  <c:v>Serbia</c:v>
                </c:pt>
                <c:pt idx="11">
                  <c:v>Slovakia</c:v>
                </c:pt>
                <c:pt idx="12">
                  <c:v>Slovenia</c:v>
                </c:pt>
                <c:pt idx="13">
                  <c:v>Spain</c:v>
                </c:pt>
                <c:pt idx="14">
                  <c:v>Switzerland</c:v>
                </c:pt>
                <c:pt idx="15">
                  <c:v>UK (England)</c:v>
                </c:pt>
                <c:pt idx="16">
                  <c:v>Total average (16)</c:v>
                </c:pt>
              </c:strCache>
            </c:strRef>
          </c:cat>
          <c:val>
            <c:numRef>
              <c:f>Blad1!$C$3:$C$19</c:f>
              <c:numCache>
                <c:formatCode>0.00</c:formatCode>
                <c:ptCount val="17"/>
                <c:pt idx="0">
                  <c:v>4.4232437120555073</c:v>
                </c:pt>
                <c:pt idx="1">
                  <c:v>3.5612535612535612</c:v>
                </c:pt>
                <c:pt idx="2">
                  <c:v>19.16959979142224</c:v>
                </c:pt>
                <c:pt idx="3">
                  <c:v>9.3378089716203849</c:v>
                </c:pt>
                <c:pt idx="4">
                  <c:v>3.1912157165364454</c:v>
                </c:pt>
                <c:pt idx="5">
                  <c:v>0.10196278358399186</c:v>
                </c:pt>
                <c:pt idx="6">
                  <c:v>5.1764159702878363</c:v>
                </c:pt>
                <c:pt idx="7">
                  <c:v>8.5059171597633139</c:v>
                </c:pt>
                <c:pt idx="8">
                  <c:v>1.3004220237511042</c:v>
                </c:pt>
                <c:pt idx="9">
                  <c:v>0.94671581769436997</c:v>
                </c:pt>
                <c:pt idx="10">
                  <c:v>40.659340659340657</c:v>
                </c:pt>
                <c:pt idx="11">
                  <c:v>1.4431486880466473</c:v>
                </c:pt>
                <c:pt idx="12">
                  <c:v>6.602953953084274</c:v>
                </c:pt>
                <c:pt idx="13">
                  <c:v>1.1194762684124386</c:v>
                </c:pt>
                <c:pt idx="14">
                  <c:v>1.0880829015544042</c:v>
                </c:pt>
                <c:pt idx="15">
                  <c:v>0.56290458767238949</c:v>
                </c:pt>
                <c:pt idx="16">
                  <c:v>4.1299582620184374</c:v>
                </c:pt>
              </c:numCache>
            </c:numRef>
          </c:val>
          <c:extLst>
            <c:ext xmlns:c16="http://schemas.microsoft.com/office/drawing/2014/chart" uri="{C3380CC4-5D6E-409C-BE32-E72D297353CC}">
              <c16:uniqueId val="{00000001-133C-4BE9-A675-348FDB234DA7}"/>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6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Blad1!$E$2</c:f>
              <c:strCache>
                <c:ptCount val="1"/>
                <c:pt idx="0">
                  <c:v>Boys</c:v>
                </c:pt>
              </c:strCache>
            </c:strRef>
          </c:tx>
          <c:spPr>
            <a:solidFill>
              <a:srgbClr val="17255B"/>
            </a:solidFill>
            <a:ln>
              <a:noFill/>
            </a:ln>
            <a:effectLst/>
          </c:spPr>
          <c:invertIfNegative val="0"/>
          <c:dLbls>
            <c:dLbl>
              <c:idx val="1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D3B5-0045-BA86-40C7E65402C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Blad1!$D$3:$D$19</c:f>
              <c:strCache>
                <c:ptCount val="17"/>
                <c:pt idx="0">
                  <c:v>Bulgaria</c:v>
                </c:pt>
                <c:pt idx="1">
                  <c:v>Cyprus</c:v>
                </c:pt>
                <c:pt idx="2">
                  <c:v>Czech Republic</c:v>
                </c:pt>
                <c:pt idx="3">
                  <c:v>Estonia</c:v>
                </c:pt>
                <c:pt idx="4">
                  <c:v>France</c:v>
                </c:pt>
                <c:pt idx="5">
                  <c:v>Greece</c:v>
                </c:pt>
                <c:pt idx="6">
                  <c:v>Hungary</c:v>
                </c:pt>
                <c:pt idx="7">
                  <c:v>Ireland</c:v>
                </c:pt>
                <c:pt idx="8">
                  <c:v>Lithuania</c:v>
                </c:pt>
                <c:pt idx="9">
                  <c:v>Poland</c:v>
                </c:pt>
                <c:pt idx="10">
                  <c:v>Serbia</c:v>
                </c:pt>
                <c:pt idx="11">
                  <c:v>Slovakia</c:v>
                </c:pt>
                <c:pt idx="12">
                  <c:v>Slovenia</c:v>
                </c:pt>
                <c:pt idx="13">
                  <c:v>Spain</c:v>
                </c:pt>
                <c:pt idx="14">
                  <c:v>Switzerland</c:v>
                </c:pt>
                <c:pt idx="15">
                  <c:v>UK (England)</c:v>
                </c:pt>
                <c:pt idx="16">
                  <c:v>Total average (16)</c:v>
                </c:pt>
              </c:strCache>
            </c:strRef>
          </c:cat>
          <c:val>
            <c:numRef>
              <c:f>Blad1!$E$3:$E$19</c:f>
              <c:numCache>
                <c:formatCode>0.00</c:formatCode>
                <c:ptCount val="17"/>
                <c:pt idx="0">
                  <c:v>63.04347826086957</c:v>
                </c:pt>
                <c:pt idx="1">
                  <c:v>76.19047619047619</c:v>
                </c:pt>
                <c:pt idx="2">
                  <c:v>65.306122448979593</c:v>
                </c:pt>
                <c:pt idx="3">
                  <c:v>72.678571428571431</c:v>
                </c:pt>
                <c:pt idx="4">
                  <c:v>65.454229028889671</c:v>
                </c:pt>
                <c:pt idx="5">
                  <c:v>82.608695652173907</c:v>
                </c:pt>
                <c:pt idx="6">
                  <c:v>70.944625407166129</c:v>
                </c:pt>
                <c:pt idx="7">
                  <c:v>84.027777777777786</c:v>
                </c:pt>
                <c:pt idx="8">
                  <c:v>69.005847953216374</c:v>
                </c:pt>
                <c:pt idx="9">
                  <c:v>72.439024390243901</c:v>
                </c:pt>
                <c:pt idx="10">
                  <c:v>59.340659340659343</c:v>
                </c:pt>
                <c:pt idx="11">
                  <c:v>70.710059171597635</c:v>
                </c:pt>
                <c:pt idx="12">
                  <c:v>36.666666666666664</c:v>
                </c:pt>
                <c:pt idx="13">
                  <c:v>67.241379310344826</c:v>
                </c:pt>
                <c:pt idx="14">
                  <c:v>53.333333333333336</c:v>
                </c:pt>
                <c:pt idx="15">
                  <c:v>72.350230414746548</c:v>
                </c:pt>
                <c:pt idx="16">
                  <c:v>67.05</c:v>
                </c:pt>
              </c:numCache>
            </c:numRef>
          </c:val>
          <c:extLst>
            <c:ext xmlns:c16="http://schemas.microsoft.com/office/drawing/2014/chart" uri="{C3380CC4-5D6E-409C-BE32-E72D297353CC}">
              <c16:uniqueId val="{00000000-02F4-4537-8E4C-947CD142BE96}"/>
            </c:ext>
          </c:extLst>
        </c:ser>
        <c:ser>
          <c:idx val="1"/>
          <c:order val="1"/>
          <c:tx>
            <c:strRef>
              <c:f>Blad1!$F$2</c:f>
              <c:strCache>
                <c:ptCount val="1"/>
                <c:pt idx="0">
                  <c:v>Girls</c:v>
                </c:pt>
              </c:strCache>
            </c:strRef>
          </c:tx>
          <c:spPr>
            <a:solidFill>
              <a:srgbClr val="F9C623"/>
            </a:solidFill>
            <a:ln>
              <a:noFill/>
            </a:ln>
            <a:effectLst/>
          </c:spPr>
          <c:invertIfNegative val="0"/>
          <c:dLbls>
            <c:dLbl>
              <c:idx val="1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D3B5-0045-BA86-40C7E65402C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Blad1!$D$3:$D$19</c:f>
              <c:strCache>
                <c:ptCount val="17"/>
                <c:pt idx="0">
                  <c:v>Bulgaria</c:v>
                </c:pt>
                <c:pt idx="1">
                  <c:v>Cyprus</c:v>
                </c:pt>
                <c:pt idx="2">
                  <c:v>Czech Republic</c:v>
                </c:pt>
                <c:pt idx="3">
                  <c:v>Estonia</c:v>
                </c:pt>
                <c:pt idx="4">
                  <c:v>France</c:v>
                </c:pt>
                <c:pt idx="5">
                  <c:v>Greece</c:v>
                </c:pt>
                <c:pt idx="6">
                  <c:v>Hungary</c:v>
                </c:pt>
                <c:pt idx="7">
                  <c:v>Ireland</c:v>
                </c:pt>
                <c:pt idx="8">
                  <c:v>Lithuania</c:v>
                </c:pt>
                <c:pt idx="9">
                  <c:v>Poland</c:v>
                </c:pt>
                <c:pt idx="10">
                  <c:v>Serbia</c:v>
                </c:pt>
                <c:pt idx="11">
                  <c:v>Slovakia</c:v>
                </c:pt>
                <c:pt idx="12">
                  <c:v>Slovenia</c:v>
                </c:pt>
                <c:pt idx="13">
                  <c:v>Spain</c:v>
                </c:pt>
                <c:pt idx="14">
                  <c:v>Switzerland</c:v>
                </c:pt>
                <c:pt idx="15">
                  <c:v>UK (England)</c:v>
                </c:pt>
                <c:pt idx="16">
                  <c:v>Total average (16)</c:v>
                </c:pt>
              </c:strCache>
            </c:strRef>
          </c:cat>
          <c:val>
            <c:numRef>
              <c:f>Blad1!$F$3:$F$19</c:f>
              <c:numCache>
                <c:formatCode>0.00</c:formatCode>
                <c:ptCount val="17"/>
                <c:pt idx="0">
                  <c:v>36.95652173913043</c:v>
                </c:pt>
                <c:pt idx="1">
                  <c:v>23.809523809523807</c:v>
                </c:pt>
                <c:pt idx="2">
                  <c:v>34.693877551020407</c:v>
                </c:pt>
                <c:pt idx="3">
                  <c:v>27.321428571428569</c:v>
                </c:pt>
                <c:pt idx="4">
                  <c:v>34.545770971110343</c:v>
                </c:pt>
                <c:pt idx="5">
                  <c:v>17.391304347826086</c:v>
                </c:pt>
                <c:pt idx="6">
                  <c:v>29.055374592833878</c:v>
                </c:pt>
                <c:pt idx="7">
                  <c:v>15.972222222222221</c:v>
                </c:pt>
                <c:pt idx="8">
                  <c:v>30.994152046783626</c:v>
                </c:pt>
                <c:pt idx="9">
                  <c:v>27.560975609756099</c:v>
                </c:pt>
                <c:pt idx="10">
                  <c:v>40.659340659340657</c:v>
                </c:pt>
                <c:pt idx="11">
                  <c:v>29.289940828402365</c:v>
                </c:pt>
                <c:pt idx="12">
                  <c:v>63.333333333333329</c:v>
                </c:pt>
                <c:pt idx="13">
                  <c:v>32.758620689655174</c:v>
                </c:pt>
                <c:pt idx="14">
                  <c:v>46.666666666666664</c:v>
                </c:pt>
                <c:pt idx="15">
                  <c:v>27.649769585253459</c:v>
                </c:pt>
                <c:pt idx="16">
                  <c:v>32.950000000000003</c:v>
                </c:pt>
              </c:numCache>
            </c:numRef>
          </c:val>
          <c:extLst>
            <c:ext xmlns:c16="http://schemas.microsoft.com/office/drawing/2014/chart" uri="{C3380CC4-5D6E-409C-BE32-E72D297353CC}">
              <c16:uniqueId val="{00000001-02F4-4537-8E4C-947CD142BE96}"/>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9"/>
            <c:invertIfNegative val="0"/>
            <c:bubble3D val="0"/>
            <c:spPr>
              <a:solidFill>
                <a:srgbClr val="F9C623"/>
              </a:solidFill>
              <a:ln>
                <a:noFill/>
              </a:ln>
              <a:effectLst/>
            </c:spPr>
            <c:extLst>
              <c:ext xmlns:c16="http://schemas.microsoft.com/office/drawing/2014/chart" uri="{C3380CC4-5D6E-409C-BE32-E72D297353CC}">
                <c16:uniqueId val="{00000001-B692-437A-A281-0231BD591BB7}"/>
              </c:ext>
            </c:extLst>
          </c:dPt>
          <c:dPt>
            <c:idx val="20"/>
            <c:invertIfNegative val="0"/>
            <c:bubble3D val="0"/>
            <c:extLst>
              <c:ext xmlns:c16="http://schemas.microsoft.com/office/drawing/2014/chart" uri="{C3380CC4-5D6E-409C-BE32-E72D297353CC}">
                <c16:uniqueId val="{00000003-B692-437A-A281-0231BD591BB7}"/>
              </c:ext>
            </c:extLst>
          </c:dPt>
          <c:dPt>
            <c:idx val="27"/>
            <c:invertIfNegative val="0"/>
            <c:bubble3D val="0"/>
            <c:extLst>
              <c:ext xmlns:c16="http://schemas.microsoft.com/office/drawing/2014/chart" uri="{C3380CC4-5D6E-409C-BE32-E72D297353CC}">
                <c16:uniqueId val="{00000005-B692-437A-A281-0231BD591BB7}"/>
              </c:ext>
            </c:extLst>
          </c:dPt>
          <c:dLbls>
            <c:dLbl>
              <c:idx val="0"/>
              <c:layout>
                <c:manualLayout>
                  <c:x val="-0.36853002070393376"/>
                  <c:y val="0"/>
                </c:manualLayout>
              </c:layout>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4-3E86-A94A-BBAB-0E440CC578E8}"/>
                </c:ext>
              </c:extLst>
            </c:dLbl>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3E86-A94A-BBAB-0E440CC578E8}"/>
                </c:ext>
              </c:extLst>
            </c:dLbl>
            <c:dLbl>
              <c:idx val="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3E86-A94A-BBAB-0E440CC578E8}"/>
                </c:ext>
              </c:extLst>
            </c:dLbl>
            <c:dLbl>
              <c:idx val="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3E86-A94A-BBAB-0E440CC578E8}"/>
                </c:ext>
              </c:extLst>
            </c:dLbl>
            <c:dLbl>
              <c:idx val="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3E86-A94A-BBAB-0E440CC578E8}"/>
                </c:ext>
              </c:extLst>
            </c:dLbl>
            <c:dLbl>
              <c:idx val="5"/>
              <c:layout>
                <c:manualLayout>
                  <c:x val="-0.26915113871635621"/>
                  <c:y val="0"/>
                </c:manualLayout>
              </c:layout>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5-3E86-A94A-BBAB-0E440CC578E8}"/>
                </c:ext>
              </c:extLst>
            </c:dLbl>
            <c:dLbl>
              <c:idx val="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3E86-A94A-BBAB-0E440CC578E8}"/>
                </c:ext>
              </c:extLst>
            </c:dLbl>
            <c:dLbl>
              <c:idx val="7"/>
              <c:layout>
                <c:manualLayout>
                  <c:x val="-0.2939958592132505"/>
                  <c:y val="6.4701328913177312E-17"/>
                </c:manualLayout>
              </c:layout>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6-3E86-A94A-BBAB-0E440CC578E8}"/>
                </c:ext>
              </c:extLst>
            </c:dLbl>
            <c:dLbl>
              <c:idx val="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3E86-A94A-BBAB-0E440CC578E8}"/>
                </c:ext>
              </c:extLst>
            </c:dLbl>
            <c:dLbl>
              <c:idx val="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3E86-A94A-BBAB-0E440CC578E8}"/>
                </c:ext>
              </c:extLst>
            </c:dLbl>
            <c:dLbl>
              <c:idx val="1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3E86-A94A-BBAB-0E440CC578E8}"/>
                </c:ext>
              </c:extLst>
            </c:dLbl>
            <c:dLbl>
              <c:idx val="1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E-3E86-A94A-BBAB-0E440CC578E8}"/>
                </c:ext>
              </c:extLst>
            </c:dLbl>
            <c:dLbl>
              <c:idx val="1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F-3E86-A94A-BBAB-0E440CC578E8}"/>
                </c:ext>
              </c:extLst>
            </c:dLbl>
            <c:dLbl>
              <c:idx val="1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0-3E86-A94A-BBAB-0E440CC578E8}"/>
                </c:ext>
              </c:extLst>
            </c:dLbl>
            <c:dLbl>
              <c:idx val="1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1-3E86-A94A-BBAB-0E440CC578E8}"/>
                </c:ext>
              </c:extLst>
            </c:dLbl>
            <c:dLbl>
              <c:idx val="1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2-3E86-A94A-BBAB-0E440CC578E8}"/>
                </c:ext>
              </c:extLst>
            </c:dLbl>
            <c:dLbl>
              <c:idx val="1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3-3E86-A94A-BBAB-0E440CC578E8}"/>
                </c:ext>
              </c:extLst>
            </c:dLbl>
            <c:dLbl>
              <c:idx val="1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B692-437A-A281-0231BD591BB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'3c.3 - ISCED 02'!$F$3:$F$22</c:f>
              <c:strCache>
                <c:ptCount val="20"/>
                <c:pt idx="0">
                  <c:v>Belgium (Fl)</c:v>
                </c:pt>
                <c:pt idx="1">
                  <c:v>Bulgaria</c:v>
                </c:pt>
                <c:pt idx="2">
                  <c:v>Cyprus</c:v>
                </c:pt>
                <c:pt idx="3">
                  <c:v>Czech Republic</c:v>
                </c:pt>
                <c:pt idx="4">
                  <c:v>Estonia</c:v>
                </c:pt>
                <c:pt idx="5">
                  <c:v>France</c:v>
                </c:pt>
                <c:pt idx="6">
                  <c:v>Greece</c:v>
                </c:pt>
                <c:pt idx="7">
                  <c:v>Ireland</c:v>
                </c:pt>
                <c:pt idx="8">
                  <c:v>Italy</c:v>
                </c:pt>
                <c:pt idx="9">
                  <c:v>Lithuania</c:v>
                </c:pt>
                <c:pt idx="10">
                  <c:v>Luxembourg</c:v>
                </c:pt>
                <c:pt idx="11">
                  <c:v>Netherlands</c:v>
                </c:pt>
                <c:pt idx="12">
                  <c:v>Poland</c:v>
                </c:pt>
                <c:pt idx="13">
                  <c:v>Slovakia</c:v>
                </c:pt>
                <c:pt idx="14">
                  <c:v>Spain</c:v>
                </c:pt>
                <c:pt idx="15">
                  <c:v>Switzerland</c:v>
                </c:pt>
                <c:pt idx="16">
                  <c:v>UK (England)</c:v>
                </c:pt>
                <c:pt idx="17">
                  <c:v>UK (N. Ireland)</c:v>
                </c:pt>
                <c:pt idx="18">
                  <c:v>UK (Wales)</c:v>
                </c:pt>
                <c:pt idx="19">
                  <c:v>Total average (19)</c:v>
                </c:pt>
              </c:strCache>
            </c:strRef>
          </c:cat>
          <c:val>
            <c:numRef>
              <c:f>'3c.3 - ISCED 02'!$G$3:$G$22</c:f>
              <c:numCache>
                <c:formatCode>0.00</c:formatCode>
                <c:ptCount val="20"/>
                <c:pt idx="0">
                  <c:v>52.313829787234042</c:v>
                </c:pt>
                <c:pt idx="1">
                  <c:v>2.4284475281873377</c:v>
                </c:pt>
                <c:pt idx="2">
                  <c:v>4.9857549857549861</c:v>
                </c:pt>
                <c:pt idx="3">
                  <c:v>25.003259027506193</c:v>
                </c:pt>
                <c:pt idx="4">
                  <c:v>4.0585901739395789</c:v>
                </c:pt>
                <c:pt idx="5">
                  <c:v>35.01977428378509</c:v>
                </c:pt>
                <c:pt idx="6">
                  <c:v>15.294417537598775</c:v>
                </c:pt>
                <c:pt idx="7">
                  <c:v>46.745562130177518</c:v>
                </c:pt>
                <c:pt idx="8">
                  <c:v>0.60416518586964252</c:v>
                </c:pt>
                <c:pt idx="9">
                  <c:v>4.3232898223574443</c:v>
                </c:pt>
                <c:pt idx="10">
                  <c:v>20.24793388429752</c:v>
                </c:pt>
                <c:pt idx="11">
                  <c:v>100</c:v>
                </c:pt>
                <c:pt idx="12">
                  <c:v>16.881702412868631</c:v>
                </c:pt>
                <c:pt idx="13">
                  <c:v>28.323615160349853</c:v>
                </c:pt>
                <c:pt idx="14">
                  <c:v>9.9443535188216039</c:v>
                </c:pt>
                <c:pt idx="15">
                  <c:v>97.668393782383419</c:v>
                </c:pt>
                <c:pt idx="16">
                  <c:v>29.580636082184071</c:v>
                </c:pt>
                <c:pt idx="17">
                  <c:v>33.085501858736059</c:v>
                </c:pt>
                <c:pt idx="18">
                  <c:v>28.215223097112862</c:v>
                </c:pt>
                <c:pt idx="19">
                  <c:v>23.144828729510746</c:v>
                </c:pt>
              </c:numCache>
            </c:numRef>
          </c:val>
          <c:extLst>
            <c:ext xmlns:c16="http://schemas.microsoft.com/office/drawing/2014/chart" uri="{C3380CC4-5D6E-409C-BE32-E72D297353CC}">
              <c16:uniqueId val="{00000006-B692-437A-A281-0231BD591BB7}"/>
            </c:ext>
          </c:extLst>
        </c:ser>
        <c:dLbls>
          <c:showLegendKey val="0"/>
          <c:showVal val="0"/>
          <c:showCatName val="0"/>
          <c:showSerName val="0"/>
          <c:showPercent val="0"/>
          <c:showBubbleSize val="0"/>
        </c:dLbls>
        <c:gapWidth val="20"/>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Blad1!$B$2</c:f>
              <c:strCache>
                <c:ptCount val="1"/>
                <c:pt idx="0">
                  <c:v>Boys</c:v>
                </c:pt>
              </c:strCache>
            </c:strRef>
          </c:tx>
          <c:spPr>
            <a:solidFill>
              <a:srgbClr val="17255B"/>
            </a:solidFill>
            <a:ln>
              <a:noFill/>
            </a:ln>
            <a:effectLst/>
          </c:spPr>
          <c:invertIfNegative val="0"/>
          <c:dLbls>
            <c:dLbl>
              <c:idx val="0"/>
              <c:layout>
                <c:manualLayout>
                  <c:x val="-0.35196687370600416"/>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EC8F-8B40-BA53-9431D15EF27A}"/>
                </c:ext>
              </c:extLst>
            </c:dLbl>
            <c:dLbl>
              <c:idx val="7"/>
              <c:layout>
                <c:manualLayout>
                  <c:x val="-0.2857142857142857"/>
                  <c:y val="6.2897749541294413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EC8F-8B40-BA53-9431D15EF27A}"/>
                </c:ext>
              </c:extLst>
            </c:dLbl>
            <c:dLbl>
              <c:idx val="1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EC8F-8B40-BA53-9431D15EF27A}"/>
                </c:ext>
              </c:extLst>
            </c:dLbl>
            <c:dLbl>
              <c:idx val="1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EC8F-8B40-BA53-9431D15EF27A}"/>
                </c:ext>
              </c:extLst>
            </c:dLbl>
            <c:dLbl>
              <c:idx val="18"/>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EC8F-8B40-BA53-9431D15EF27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Blad1!$A$3:$A$21</c:f>
              <c:strCache>
                <c:ptCount val="19"/>
                <c:pt idx="0">
                  <c:v>Belgium (Fl)</c:v>
                </c:pt>
                <c:pt idx="1">
                  <c:v>Bulgaria</c:v>
                </c:pt>
                <c:pt idx="2">
                  <c:v>Cyprus</c:v>
                </c:pt>
                <c:pt idx="3">
                  <c:v>Czech Republic</c:v>
                </c:pt>
                <c:pt idx="4">
                  <c:v>Estonia</c:v>
                </c:pt>
                <c:pt idx="5">
                  <c:v>France</c:v>
                </c:pt>
                <c:pt idx="6">
                  <c:v>Greece</c:v>
                </c:pt>
                <c:pt idx="7">
                  <c:v>Ireland</c:v>
                </c:pt>
                <c:pt idx="8">
                  <c:v>Italy</c:v>
                </c:pt>
                <c:pt idx="9">
                  <c:v>Lithuania</c:v>
                </c:pt>
                <c:pt idx="10">
                  <c:v>Netherlands</c:v>
                </c:pt>
                <c:pt idx="11">
                  <c:v>Poland</c:v>
                </c:pt>
                <c:pt idx="12">
                  <c:v>Slovakia</c:v>
                </c:pt>
                <c:pt idx="13">
                  <c:v>Spain</c:v>
                </c:pt>
                <c:pt idx="14">
                  <c:v>Switzerland</c:v>
                </c:pt>
                <c:pt idx="15">
                  <c:v>UK (England)</c:v>
                </c:pt>
                <c:pt idx="16">
                  <c:v>UK (N. Ireland)</c:v>
                </c:pt>
                <c:pt idx="17">
                  <c:v>UK (Wales)</c:v>
                </c:pt>
                <c:pt idx="18">
                  <c:v>Total average (18)</c:v>
                </c:pt>
              </c:strCache>
            </c:strRef>
          </c:cat>
          <c:val>
            <c:numRef>
              <c:f>Blad1!$B$3:$B$21</c:f>
              <c:numCache>
                <c:formatCode>0.00</c:formatCode>
                <c:ptCount val="19"/>
                <c:pt idx="0">
                  <c:v>37.473404255319146</c:v>
                </c:pt>
                <c:pt idx="1">
                  <c:v>1.4744145706851692</c:v>
                </c:pt>
                <c:pt idx="2">
                  <c:v>2.9914529914529915</c:v>
                </c:pt>
                <c:pt idx="3">
                  <c:v>16.386390301134142</c:v>
                </c:pt>
                <c:pt idx="4">
                  <c:v>2.8379615501983522</c:v>
                </c:pt>
                <c:pt idx="5">
                  <c:v>22.328864023664835</c:v>
                </c:pt>
                <c:pt idx="6">
                  <c:v>10.476676013255162</c:v>
                </c:pt>
                <c:pt idx="7">
                  <c:v>31.952662721893493</c:v>
                </c:pt>
                <c:pt idx="8">
                  <c:v>0.41580780439263626</c:v>
                </c:pt>
                <c:pt idx="9">
                  <c:v>3.0130532927667089</c:v>
                </c:pt>
                <c:pt idx="10">
                  <c:v>72.328398384925976</c:v>
                </c:pt>
                <c:pt idx="11">
                  <c:v>11.595174262734584</c:v>
                </c:pt>
                <c:pt idx="12">
                  <c:v>18.032069970845484</c:v>
                </c:pt>
                <c:pt idx="13">
                  <c:v>6.2193126022913257</c:v>
                </c:pt>
                <c:pt idx="14">
                  <c:v>69.533678756476675</c:v>
                </c:pt>
                <c:pt idx="15">
                  <c:v>20.592926165681583</c:v>
                </c:pt>
                <c:pt idx="16">
                  <c:v>23.791821561338288</c:v>
                </c:pt>
                <c:pt idx="17">
                  <c:v>20.209973753280842</c:v>
                </c:pt>
                <c:pt idx="18">
                  <c:v>15.307105704871832</c:v>
                </c:pt>
              </c:numCache>
            </c:numRef>
          </c:val>
          <c:extLst>
            <c:ext xmlns:c16="http://schemas.microsoft.com/office/drawing/2014/chart" uri="{C3380CC4-5D6E-409C-BE32-E72D297353CC}">
              <c16:uniqueId val="{00000000-E46B-4147-AE24-F78FE51BF4F8}"/>
            </c:ext>
          </c:extLst>
        </c:ser>
        <c:ser>
          <c:idx val="1"/>
          <c:order val="1"/>
          <c:tx>
            <c:strRef>
              <c:f>Blad1!$C$2</c:f>
              <c:strCache>
                <c:ptCount val="1"/>
                <c:pt idx="0">
                  <c:v>Girls</c:v>
                </c:pt>
              </c:strCache>
            </c:strRef>
          </c:tx>
          <c:spPr>
            <a:solidFill>
              <a:srgbClr val="F9C623"/>
            </a:solidFill>
            <a:ln>
              <a:noFill/>
            </a:ln>
            <a:effectLst/>
          </c:spPr>
          <c:invertIfNegative val="0"/>
          <c:dLbls>
            <c:dLbl>
              <c:idx val="0"/>
              <c:layout>
                <c:manualLayout>
                  <c:x val="-0.13664596273291926"/>
                  <c:y val="7.8622186926618016E-1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8F-8B40-BA53-9431D15EF27A}"/>
                </c:ext>
              </c:extLst>
            </c:dLbl>
            <c:dLbl>
              <c:idx val="7"/>
              <c:layout>
                <c:manualLayout>
                  <c:x val="-0.12836438923395446"/>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8F-8B40-BA53-9431D15EF27A}"/>
                </c:ext>
              </c:extLst>
            </c:dLbl>
            <c:dLbl>
              <c:idx val="1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8F-8B40-BA53-9431D15EF27A}"/>
                </c:ext>
              </c:extLst>
            </c:dLbl>
            <c:dLbl>
              <c:idx val="14"/>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8F-8B40-BA53-9431D15EF27A}"/>
                </c:ext>
              </c:extLst>
            </c:dLbl>
            <c:dLbl>
              <c:idx val="18"/>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9-EC8F-8B40-BA53-9431D15EF27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Blad1!$A$3:$A$21</c:f>
              <c:strCache>
                <c:ptCount val="19"/>
                <c:pt idx="0">
                  <c:v>Belgium (Fl)</c:v>
                </c:pt>
                <c:pt idx="1">
                  <c:v>Bulgaria</c:v>
                </c:pt>
                <c:pt idx="2">
                  <c:v>Cyprus</c:v>
                </c:pt>
                <c:pt idx="3">
                  <c:v>Czech Republic</c:v>
                </c:pt>
                <c:pt idx="4">
                  <c:v>Estonia</c:v>
                </c:pt>
                <c:pt idx="5">
                  <c:v>France</c:v>
                </c:pt>
                <c:pt idx="6">
                  <c:v>Greece</c:v>
                </c:pt>
                <c:pt idx="7">
                  <c:v>Ireland</c:v>
                </c:pt>
                <c:pt idx="8">
                  <c:v>Italy</c:v>
                </c:pt>
                <c:pt idx="9">
                  <c:v>Lithuania</c:v>
                </c:pt>
                <c:pt idx="10">
                  <c:v>Netherlands</c:v>
                </c:pt>
                <c:pt idx="11">
                  <c:v>Poland</c:v>
                </c:pt>
                <c:pt idx="12">
                  <c:v>Slovakia</c:v>
                </c:pt>
                <c:pt idx="13">
                  <c:v>Spain</c:v>
                </c:pt>
                <c:pt idx="14">
                  <c:v>Switzerland</c:v>
                </c:pt>
                <c:pt idx="15">
                  <c:v>UK (England)</c:v>
                </c:pt>
                <c:pt idx="16">
                  <c:v>UK (N. Ireland)</c:v>
                </c:pt>
                <c:pt idx="17">
                  <c:v>UK (Wales)</c:v>
                </c:pt>
                <c:pt idx="18">
                  <c:v>Total average (18)</c:v>
                </c:pt>
              </c:strCache>
            </c:strRef>
          </c:cat>
          <c:val>
            <c:numRef>
              <c:f>Blad1!$C$3:$C$21</c:f>
              <c:numCache>
                <c:formatCode>0.00</c:formatCode>
                <c:ptCount val="19"/>
                <c:pt idx="0">
                  <c:v>14.840425531914894</c:v>
                </c:pt>
                <c:pt idx="1">
                  <c:v>0.95403295750216832</c:v>
                </c:pt>
                <c:pt idx="2">
                  <c:v>1.9943019943019942</c:v>
                </c:pt>
                <c:pt idx="3">
                  <c:v>8.6168687263720507</c:v>
                </c:pt>
                <c:pt idx="4">
                  <c:v>1.2206286237412267</c:v>
                </c:pt>
                <c:pt idx="5">
                  <c:v>12.690910260120253</c:v>
                </c:pt>
                <c:pt idx="6">
                  <c:v>4.8177415243436146</c:v>
                </c:pt>
                <c:pt idx="7">
                  <c:v>14.792899408284024</c:v>
                </c:pt>
                <c:pt idx="8">
                  <c:v>0.1883573814770062</c:v>
                </c:pt>
                <c:pt idx="9">
                  <c:v>1.310236529590735</c:v>
                </c:pt>
                <c:pt idx="10">
                  <c:v>27.671601615074024</c:v>
                </c:pt>
                <c:pt idx="11">
                  <c:v>5.286528150134048</c:v>
                </c:pt>
                <c:pt idx="12">
                  <c:v>10.291545189504374</c:v>
                </c:pt>
                <c:pt idx="13">
                  <c:v>3.7250409165302782</c:v>
                </c:pt>
                <c:pt idx="14">
                  <c:v>28.134715025906736</c:v>
                </c:pt>
                <c:pt idx="15">
                  <c:v>8.9877099165024852</c:v>
                </c:pt>
                <c:pt idx="16">
                  <c:v>9.2936802973977688</c:v>
                </c:pt>
                <c:pt idx="17">
                  <c:v>8.0052493438320216</c:v>
                </c:pt>
                <c:pt idx="18">
                  <c:v>7.8123381063887107</c:v>
                </c:pt>
              </c:numCache>
            </c:numRef>
          </c:val>
          <c:extLst>
            <c:ext xmlns:c16="http://schemas.microsoft.com/office/drawing/2014/chart" uri="{C3380CC4-5D6E-409C-BE32-E72D297353CC}">
              <c16:uniqueId val="{00000001-E46B-4147-AE24-F78FE51BF4F8}"/>
            </c:ext>
          </c:extLst>
        </c:ser>
        <c:dLbls>
          <c:showLegendKey val="0"/>
          <c:showVal val="0"/>
          <c:showCatName val="0"/>
          <c:showSerName val="0"/>
          <c:showPercent val="0"/>
          <c:showBubbleSize val="0"/>
        </c:dLbls>
        <c:gapWidth val="7"/>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Blad1!$E$2</c:f>
              <c:strCache>
                <c:ptCount val="1"/>
                <c:pt idx="0">
                  <c:v>Boys</c:v>
                </c:pt>
              </c:strCache>
            </c:strRef>
          </c:tx>
          <c:spPr>
            <a:solidFill>
              <a:srgbClr val="17255B"/>
            </a:solidFill>
            <a:ln>
              <a:noFill/>
            </a:ln>
            <a:effectLst/>
          </c:spPr>
          <c:invertIfNegative val="0"/>
          <c:dLbls>
            <c:dLbl>
              <c:idx val="18"/>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7928-7048-9479-63BF23DB135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Blad1!$D$3:$D$21</c:f>
              <c:strCache>
                <c:ptCount val="19"/>
                <c:pt idx="0">
                  <c:v>Belgium (Fl)</c:v>
                </c:pt>
                <c:pt idx="1">
                  <c:v>Bulgaria</c:v>
                </c:pt>
                <c:pt idx="2">
                  <c:v>Cyprus</c:v>
                </c:pt>
                <c:pt idx="3">
                  <c:v>Czech Republic</c:v>
                </c:pt>
                <c:pt idx="4">
                  <c:v>Estonia</c:v>
                </c:pt>
                <c:pt idx="5">
                  <c:v>France</c:v>
                </c:pt>
                <c:pt idx="6">
                  <c:v>Greece</c:v>
                </c:pt>
                <c:pt idx="7">
                  <c:v>Ireland</c:v>
                </c:pt>
                <c:pt idx="8">
                  <c:v>Italy</c:v>
                </c:pt>
                <c:pt idx="9">
                  <c:v>Lithuania</c:v>
                </c:pt>
                <c:pt idx="10">
                  <c:v>Netherlands</c:v>
                </c:pt>
                <c:pt idx="11">
                  <c:v>Poland</c:v>
                </c:pt>
                <c:pt idx="12">
                  <c:v>Slovakia</c:v>
                </c:pt>
                <c:pt idx="13">
                  <c:v>Spain</c:v>
                </c:pt>
                <c:pt idx="14">
                  <c:v>Switzerland</c:v>
                </c:pt>
                <c:pt idx="15">
                  <c:v>UK (England)</c:v>
                </c:pt>
                <c:pt idx="16">
                  <c:v>UK (N. Ireland)</c:v>
                </c:pt>
                <c:pt idx="17">
                  <c:v>UK (Wales)</c:v>
                </c:pt>
                <c:pt idx="18">
                  <c:v>Total average (18)</c:v>
                </c:pt>
              </c:strCache>
            </c:strRef>
          </c:cat>
          <c:val>
            <c:numRef>
              <c:f>Blad1!$E$3:$E$21</c:f>
              <c:numCache>
                <c:formatCode>0.00</c:formatCode>
                <c:ptCount val="19"/>
                <c:pt idx="0">
                  <c:v>71.631926792069152</c:v>
                </c:pt>
                <c:pt idx="1">
                  <c:v>60.714285714285708</c:v>
                </c:pt>
                <c:pt idx="2">
                  <c:v>60</c:v>
                </c:pt>
                <c:pt idx="3">
                  <c:v>65.537017726798751</c:v>
                </c:pt>
                <c:pt idx="4">
                  <c:v>69.924812030075188</c:v>
                </c:pt>
                <c:pt idx="5">
                  <c:v>63.760730845154477</c:v>
                </c:pt>
                <c:pt idx="6">
                  <c:v>68.5</c:v>
                </c:pt>
                <c:pt idx="7">
                  <c:v>68.35443037974683</c:v>
                </c:pt>
                <c:pt idx="8">
                  <c:v>68.82352941176471</c:v>
                </c:pt>
                <c:pt idx="9">
                  <c:v>69.693530079455172</c:v>
                </c:pt>
                <c:pt idx="10">
                  <c:v>72.328398384925976</c:v>
                </c:pt>
                <c:pt idx="11">
                  <c:v>68.684863523573199</c:v>
                </c:pt>
                <c:pt idx="12">
                  <c:v>63.664436438497177</c:v>
                </c:pt>
                <c:pt idx="13">
                  <c:v>62.541145490454241</c:v>
                </c:pt>
                <c:pt idx="14">
                  <c:v>71.193633952254643</c:v>
                </c:pt>
                <c:pt idx="15">
                  <c:v>69.616238503013008</c:v>
                </c:pt>
                <c:pt idx="16">
                  <c:v>71.910112359550567</c:v>
                </c:pt>
                <c:pt idx="17">
                  <c:v>71.627906976744185</c:v>
                </c:pt>
                <c:pt idx="18">
                  <c:v>66.209999999999994</c:v>
                </c:pt>
              </c:numCache>
            </c:numRef>
          </c:val>
          <c:extLst>
            <c:ext xmlns:c16="http://schemas.microsoft.com/office/drawing/2014/chart" uri="{C3380CC4-5D6E-409C-BE32-E72D297353CC}">
              <c16:uniqueId val="{00000000-B72F-4D07-99A3-7F168DC21803}"/>
            </c:ext>
          </c:extLst>
        </c:ser>
        <c:ser>
          <c:idx val="1"/>
          <c:order val="1"/>
          <c:tx>
            <c:strRef>
              <c:f>Blad1!$F$2</c:f>
              <c:strCache>
                <c:ptCount val="1"/>
                <c:pt idx="0">
                  <c:v>Girls</c:v>
                </c:pt>
              </c:strCache>
            </c:strRef>
          </c:tx>
          <c:spPr>
            <a:solidFill>
              <a:srgbClr val="F9C623"/>
            </a:solidFill>
            <a:ln>
              <a:noFill/>
            </a:ln>
            <a:effectLst/>
          </c:spPr>
          <c:invertIfNegative val="0"/>
          <c:dLbls>
            <c:dLbl>
              <c:idx val="14"/>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2-7928-7048-9479-63BF23DB135C}"/>
                </c:ext>
              </c:extLst>
            </c:dLbl>
            <c:dLbl>
              <c:idx val="18"/>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7928-7048-9479-63BF23DB135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Blad1!$D$3:$D$21</c:f>
              <c:strCache>
                <c:ptCount val="19"/>
                <c:pt idx="0">
                  <c:v>Belgium (Fl)</c:v>
                </c:pt>
                <c:pt idx="1">
                  <c:v>Bulgaria</c:v>
                </c:pt>
                <c:pt idx="2">
                  <c:v>Cyprus</c:v>
                </c:pt>
                <c:pt idx="3">
                  <c:v>Czech Republic</c:v>
                </c:pt>
                <c:pt idx="4">
                  <c:v>Estonia</c:v>
                </c:pt>
                <c:pt idx="5">
                  <c:v>France</c:v>
                </c:pt>
                <c:pt idx="6">
                  <c:v>Greece</c:v>
                </c:pt>
                <c:pt idx="7">
                  <c:v>Ireland</c:v>
                </c:pt>
                <c:pt idx="8">
                  <c:v>Italy</c:v>
                </c:pt>
                <c:pt idx="9">
                  <c:v>Lithuania</c:v>
                </c:pt>
                <c:pt idx="10">
                  <c:v>Netherlands</c:v>
                </c:pt>
                <c:pt idx="11">
                  <c:v>Poland</c:v>
                </c:pt>
                <c:pt idx="12">
                  <c:v>Slovakia</c:v>
                </c:pt>
                <c:pt idx="13">
                  <c:v>Spain</c:v>
                </c:pt>
                <c:pt idx="14">
                  <c:v>Switzerland</c:v>
                </c:pt>
                <c:pt idx="15">
                  <c:v>UK (England)</c:v>
                </c:pt>
                <c:pt idx="16">
                  <c:v>UK (N. Ireland)</c:v>
                </c:pt>
                <c:pt idx="17">
                  <c:v>UK (Wales)</c:v>
                </c:pt>
                <c:pt idx="18">
                  <c:v>Total average (18)</c:v>
                </c:pt>
              </c:strCache>
            </c:strRef>
          </c:cat>
          <c:val>
            <c:numRef>
              <c:f>Blad1!$F$3:$F$21</c:f>
              <c:numCache>
                <c:formatCode>0.00</c:formatCode>
                <c:ptCount val="19"/>
                <c:pt idx="0">
                  <c:v>28.368073207930859</c:v>
                </c:pt>
                <c:pt idx="1">
                  <c:v>39.285714285714285</c:v>
                </c:pt>
                <c:pt idx="2">
                  <c:v>40</c:v>
                </c:pt>
                <c:pt idx="3">
                  <c:v>34.462982273201256</c:v>
                </c:pt>
                <c:pt idx="4">
                  <c:v>30.075187969924812</c:v>
                </c:pt>
                <c:pt idx="5">
                  <c:v>36.239269154845523</c:v>
                </c:pt>
                <c:pt idx="6">
                  <c:v>31.5</c:v>
                </c:pt>
                <c:pt idx="7">
                  <c:v>31.645569620253166</c:v>
                </c:pt>
                <c:pt idx="8">
                  <c:v>31.176470588235293</c:v>
                </c:pt>
                <c:pt idx="9">
                  <c:v>30.306469920544838</c:v>
                </c:pt>
                <c:pt idx="10">
                  <c:v>27.671601615074024</c:v>
                </c:pt>
                <c:pt idx="11">
                  <c:v>31.315136476426797</c:v>
                </c:pt>
                <c:pt idx="12">
                  <c:v>36.335563561502831</c:v>
                </c:pt>
                <c:pt idx="13">
                  <c:v>37.458854509545752</c:v>
                </c:pt>
                <c:pt idx="14">
                  <c:v>28.806366047745357</c:v>
                </c:pt>
                <c:pt idx="15">
                  <c:v>30.383761496986995</c:v>
                </c:pt>
                <c:pt idx="16">
                  <c:v>28.08988764044944</c:v>
                </c:pt>
                <c:pt idx="17">
                  <c:v>28.372093023255811</c:v>
                </c:pt>
                <c:pt idx="18">
                  <c:v>33.79</c:v>
                </c:pt>
              </c:numCache>
            </c:numRef>
          </c:val>
          <c:extLst>
            <c:ext xmlns:c16="http://schemas.microsoft.com/office/drawing/2014/chart" uri="{C3380CC4-5D6E-409C-BE32-E72D297353CC}">
              <c16:uniqueId val="{00000001-B72F-4D07-99A3-7F168DC21803}"/>
            </c:ext>
          </c:extLst>
        </c:ser>
        <c:dLbls>
          <c:showLegendKey val="0"/>
          <c:showVal val="0"/>
          <c:showCatName val="0"/>
          <c:showSerName val="0"/>
          <c:showPercent val="0"/>
          <c:showBubbleSize val="0"/>
        </c:dLbls>
        <c:gapWidth val="10"/>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4"/>
            <c:invertIfNegative val="0"/>
            <c:bubble3D val="0"/>
            <c:spPr>
              <a:solidFill>
                <a:srgbClr val="F9C623"/>
              </a:solidFill>
              <a:ln>
                <a:noFill/>
              </a:ln>
              <a:effectLst/>
            </c:spPr>
            <c:extLst>
              <c:ext xmlns:c16="http://schemas.microsoft.com/office/drawing/2014/chart" uri="{C3380CC4-5D6E-409C-BE32-E72D297353CC}">
                <c16:uniqueId val="{00000001-8F66-4CD2-8953-A42FF976D8FC}"/>
              </c:ext>
            </c:extLst>
          </c:dPt>
          <c:dPt>
            <c:idx val="20"/>
            <c:invertIfNegative val="0"/>
            <c:bubble3D val="0"/>
            <c:extLst>
              <c:ext xmlns:c16="http://schemas.microsoft.com/office/drawing/2014/chart" uri="{C3380CC4-5D6E-409C-BE32-E72D297353CC}">
                <c16:uniqueId val="{00000003-8F66-4CD2-8953-A42FF976D8FC}"/>
              </c:ext>
            </c:extLst>
          </c:dPt>
          <c:dPt>
            <c:idx val="27"/>
            <c:invertIfNegative val="0"/>
            <c:bubble3D val="0"/>
            <c:extLst>
              <c:ext xmlns:c16="http://schemas.microsoft.com/office/drawing/2014/chart" uri="{C3380CC4-5D6E-409C-BE32-E72D297353CC}">
                <c16:uniqueId val="{00000005-8F66-4CD2-8953-A42FF976D8FC}"/>
              </c:ext>
            </c:extLst>
          </c:dPt>
          <c:dLbls>
            <c:dLbl>
              <c:idx val="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6932-F347-A9FE-A2652FD67690}"/>
                </c:ext>
              </c:extLst>
            </c:dLbl>
            <c:dLbl>
              <c:idx val="3"/>
              <c:layout>
                <c:manualLayout>
                  <c:x val="-0.29459901800327332"/>
                  <c:y val="3.2396397857481516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6932-F347-A9FE-A2652FD67690}"/>
                </c:ext>
              </c:extLst>
            </c:dLbl>
            <c:dLbl>
              <c:idx val="4"/>
              <c:layout>
                <c:manualLayout>
                  <c:x val="-0.27823240589198034"/>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6932-F347-A9FE-A2652FD67690}"/>
                </c:ext>
              </c:extLst>
            </c:dLbl>
            <c:dLbl>
              <c:idx val="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6932-F347-A9FE-A2652FD67690}"/>
                </c:ext>
              </c:extLst>
            </c:dLbl>
            <c:dLbl>
              <c:idx val="8"/>
              <c:layout>
                <c:manualLayout>
                  <c:x val="-0.37643207855973815"/>
                  <c:y val="1.7670966601873123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6932-F347-A9FE-A2652FD67690}"/>
                </c:ext>
              </c:extLst>
            </c:dLbl>
            <c:dLbl>
              <c:idx val="10"/>
              <c:layout>
                <c:manualLayout>
                  <c:x val="-0.28232405891980361"/>
                  <c:y val="1.767235801656748E-3"/>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6932-F347-A9FE-A2652FD67690}"/>
                </c:ext>
              </c:extLst>
            </c:dLbl>
            <c:dLbl>
              <c:idx val="1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6932-F347-A9FE-A2652FD67690}"/>
                </c:ext>
              </c:extLst>
            </c:dLbl>
            <c:dLbl>
              <c:idx val="14"/>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8F66-4CD2-8953-A42FF976D8F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'3c.5 - ISCED 02'!$L$3:$L$17</c:f>
              <c:strCache>
                <c:ptCount val="15"/>
                <c:pt idx="0">
                  <c:v>Bulgaria</c:v>
                </c:pt>
                <c:pt idx="1">
                  <c:v>Cyprus</c:v>
                </c:pt>
                <c:pt idx="2">
                  <c:v>Czech Republic</c:v>
                </c:pt>
                <c:pt idx="3">
                  <c:v>Estonia</c:v>
                </c:pt>
                <c:pt idx="4">
                  <c:v>France</c:v>
                </c:pt>
                <c:pt idx="5">
                  <c:v>Greece</c:v>
                </c:pt>
                <c:pt idx="6">
                  <c:v>Ireland</c:v>
                </c:pt>
                <c:pt idx="7">
                  <c:v>Lithuania</c:v>
                </c:pt>
                <c:pt idx="8">
                  <c:v>Luxembourg</c:v>
                </c:pt>
                <c:pt idx="9">
                  <c:v>Poland</c:v>
                </c:pt>
                <c:pt idx="10">
                  <c:v>Slovakia</c:v>
                </c:pt>
                <c:pt idx="11">
                  <c:v>Spain</c:v>
                </c:pt>
                <c:pt idx="12">
                  <c:v>Switzerland</c:v>
                </c:pt>
                <c:pt idx="13">
                  <c:v>UK (England)</c:v>
                </c:pt>
                <c:pt idx="14">
                  <c:v>Total average (14)</c:v>
                </c:pt>
              </c:strCache>
            </c:strRef>
          </c:cat>
          <c:val>
            <c:numRef>
              <c:f>'3c.5 - ISCED 02'!$M$3:$M$17</c:f>
              <c:numCache>
                <c:formatCode>0.00</c:formatCode>
                <c:ptCount val="15"/>
                <c:pt idx="0">
                  <c:v>14.397224631396357</c:v>
                </c:pt>
                <c:pt idx="1">
                  <c:v>19.943019943019944</c:v>
                </c:pt>
                <c:pt idx="2">
                  <c:v>80.256811367487941</c:v>
                </c:pt>
                <c:pt idx="3">
                  <c:v>38.236191638693931</c:v>
                </c:pt>
                <c:pt idx="4">
                  <c:v>44.257419375582778</c:v>
                </c:pt>
                <c:pt idx="5">
                  <c:v>15.880703543206728</c:v>
                </c:pt>
                <c:pt idx="6">
                  <c:v>100</c:v>
                </c:pt>
                <c:pt idx="7">
                  <c:v>8.5189910687996857</c:v>
                </c:pt>
                <c:pt idx="8">
                  <c:v>47.933884297520663</c:v>
                </c:pt>
                <c:pt idx="9">
                  <c:v>20.316689008042896</c:v>
                </c:pt>
                <c:pt idx="10">
                  <c:v>33.250728862973759</c:v>
                </c:pt>
                <c:pt idx="11">
                  <c:v>13.361702127659575</c:v>
                </c:pt>
                <c:pt idx="12">
                  <c:v>100</c:v>
                </c:pt>
                <c:pt idx="13">
                  <c:v>31.616474340932545</c:v>
                </c:pt>
                <c:pt idx="14">
                  <c:v>36.730739717618171</c:v>
                </c:pt>
              </c:numCache>
            </c:numRef>
          </c:val>
          <c:extLst>
            <c:ext xmlns:c16="http://schemas.microsoft.com/office/drawing/2014/chart" uri="{C3380CC4-5D6E-409C-BE32-E72D297353CC}">
              <c16:uniqueId val="{00000006-8F66-4CD2-8953-A42FF976D8FC}"/>
            </c:ext>
          </c:extLst>
        </c:ser>
        <c:dLbls>
          <c:showLegendKey val="0"/>
          <c:showVal val="0"/>
          <c:showCatName val="0"/>
          <c:showSerName val="0"/>
          <c:showPercent val="0"/>
          <c:showBubbleSize val="0"/>
        </c:dLbls>
        <c:gapWidth val="20"/>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2"/>
            <c:invertIfNegative val="0"/>
            <c:bubble3D val="0"/>
            <c:extLst>
              <c:ext xmlns:c16="http://schemas.microsoft.com/office/drawing/2014/chart" uri="{C3380CC4-5D6E-409C-BE32-E72D297353CC}">
                <c16:uniqueId val="{00000001-BDB8-4E7C-86EF-E0C2B306081C}"/>
              </c:ext>
            </c:extLst>
          </c:dPt>
          <c:dPt>
            <c:idx val="24"/>
            <c:invertIfNegative val="0"/>
            <c:bubble3D val="0"/>
            <c:spPr>
              <a:solidFill>
                <a:srgbClr val="F9C623"/>
              </a:solidFill>
              <a:ln>
                <a:noFill/>
              </a:ln>
              <a:effectLst/>
            </c:spPr>
            <c:extLst>
              <c:ext xmlns:c16="http://schemas.microsoft.com/office/drawing/2014/chart" uri="{C3380CC4-5D6E-409C-BE32-E72D297353CC}">
                <c16:uniqueId val="{00000003-BDB8-4E7C-86EF-E0C2B306081C}"/>
              </c:ext>
            </c:extLst>
          </c:dPt>
          <c:dPt>
            <c:idx val="25"/>
            <c:invertIfNegative val="0"/>
            <c:bubble3D val="0"/>
            <c:extLst>
              <c:ext xmlns:c16="http://schemas.microsoft.com/office/drawing/2014/chart" uri="{C3380CC4-5D6E-409C-BE32-E72D297353CC}">
                <c16:uniqueId val="{00000005-BDB8-4E7C-86EF-E0C2B306081C}"/>
              </c:ext>
            </c:extLst>
          </c:dPt>
          <c:dLbls>
            <c:dLbl>
              <c:idx val="24"/>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BDB8-4E7C-86EF-E0C2B306081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'2.1 - ISCED02'!$D$3:$D$27</c:f>
              <c:strCache>
                <c:ptCount val="25"/>
                <c:pt idx="0">
                  <c:v>Belgium (Fl)</c:v>
                </c:pt>
                <c:pt idx="1">
                  <c:v>Bulgaria</c:v>
                </c:pt>
                <c:pt idx="2">
                  <c:v>Czech Republic</c:v>
                </c:pt>
                <c:pt idx="3">
                  <c:v>Cyprus</c:v>
                </c:pt>
                <c:pt idx="4">
                  <c:v>Estonia</c:v>
                </c:pt>
                <c:pt idx="5">
                  <c:v>Greece</c:v>
                </c:pt>
                <c:pt idx="6">
                  <c:v>Hungary</c:v>
                </c:pt>
                <c:pt idx="7">
                  <c:v>Iceland </c:v>
                </c:pt>
                <c:pt idx="8">
                  <c:v>Ireland</c:v>
                </c:pt>
                <c:pt idx="9">
                  <c:v>Italy</c:v>
                </c:pt>
                <c:pt idx="10">
                  <c:v>Latvia</c:v>
                </c:pt>
                <c:pt idx="11">
                  <c:v>Lithuania</c:v>
                </c:pt>
                <c:pt idx="12">
                  <c:v>Luxembourg</c:v>
                </c:pt>
                <c:pt idx="13">
                  <c:v>Malta</c:v>
                </c:pt>
                <c:pt idx="14">
                  <c:v>Netherlands</c:v>
                </c:pt>
                <c:pt idx="15">
                  <c:v>Poland</c:v>
                </c:pt>
                <c:pt idx="16">
                  <c:v>Portugal</c:v>
                </c:pt>
                <c:pt idx="17">
                  <c:v>Slovakia</c:v>
                </c:pt>
                <c:pt idx="18">
                  <c:v>Slovenia</c:v>
                </c:pt>
                <c:pt idx="19">
                  <c:v>Spain</c:v>
                </c:pt>
                <c:pt idx="20">
                  <c:v>Switzerland</c:v>
                </c:pt>
                <c:pt idx="21">
                  <c:v>UK (England)</c:v>
                </c:pt>
                <c:pt idx="22">
                  <c:v>UK (N. Ireland)</c:v>
                </c:pt>
                <c:pt idx="23">
                  <c:v>UK (Wales)</c:v>
                </c:pt>
                <c:pt idx="24">
                  <c:v>Total average (24)</c:v>
                </c:pt>
              </c:strCache>
            </c:strRef>
          </c:cat>
          <c:val>
            <c:numRef>
              <c:f>'2.1 - ISCED02'!$E$3:$E$27</c:f>
              <c:numCache>
                <c:formatCode>0.00</c:formatCode>
                <c:ptCount val="25"/>
                <c:pt idx="0">
                  <c:v>99.365497426074469</c:v>
                </c:pt>
                <c:pt idx="1">
                  <c:v>99.972604348081333</c:v>
                </c:pt>
                <c:pt idx="2">
                  <c:v>99.307812564281889</c:v>
                </c:pt>
                <c:pt idx="3">
                  <c:v>99.856209150326805</c:v>
                </c:pt>
                <c:pt idx="4">
                  <c:v>99.696601941747574</c:v>
                </c:pt>
                <c:pt idx="5">
                  <c:v>99.806557115507346</c:v>
                </c:pt>
                <c:pt idx="6">
                  <c:v>81.748012837472544</c:v>
                </c:pt>
                <c:pt idx="7">
                  <c:v>100</c:v>
                </c:pt>
                <c:pt idx="8">
                  <c:v>92.035136202131866</c:v>
                </c:pt>
                <c:pt idx="9">
                  <c:v>99.982790134593017</c:v>
                </c:pt>
                <c:pt idx="10">
                  <c:v>95.586824432363287</c:v>
                </c:pt>
                <c:pt idx="11">
                  <c:v>98.387416300170372</c:v>
                </c:pt>
                <c:pt idx="12">
                  <c:v>99.725407850104986</c:v>
                </c:pt>
                <c:pt idx="13">
                  <c:v>100</c:v>
                </c:pt>
                <c:pt idx="14">
                  <c:v>99.162803731770254</c:v>
                </c:pt>
                <c:pt idx="15">
                  <c:v>99.708238837327215</c:v>
                </c:pt>
                <c:pt idx="16">
                  <c:v>100</c:v>
                </c:pt>
                <c:pt idx="17">
                  <c:v>99.30745439060469</c:v>
                </c:pt>
                <c:pt idx="18">
                  <c:v>100</c:v>
                </c:pt>
                <c:pt idx="19">
                  <c:v>99.884252756020544</c:v>
                </c:pt>
                <c:pt idx="20">
                  <c:v>99.32292554616528</c:v>
                </c:pt>
                <c:pt idx="21">
                  <c:v>99.541947750816078</c:v>
                </c:pt>
                <c:pt idx="22">
                  <c:v>98.467928372712663</c:v>
                </c:pt>
                <c:pt idx="23">
                  <c:v>98.738355666209756</c:v>
                </c:pt>
                <c:pt idx="24">
                  <c:v>99.028943532064034</c:v>
                </c:pt>
              </c:numCache>
            </c:numRef>
          </c:val>
          <c:extLst>
            <c:ext xmlns:c16="http://schemas.microsoft.com/office/drawing/2014/chart" uri="{C3380CC4-5D6E-409C-BE32-E72D297353CC}">
              <c16:uniqueId val="{00000006-BDB8-4E7C-86EF-E0C2B306081C}"/>
            </c:ext>
          </c:extLst>
        </c:ser>
        <c:dLbls>
          <c:showLegendKey val="0"/>
          <c:showVal val="0"/>
          <c:showCatName val="0"/>
          <c:showSerName val="0"/>
          <c:showPercent val="0"/>
          <c:showBubbleSize val="0"/>
        </c:dLbls>
        <c:gapWidth val="20"/>
        <c:overlap val="-66"/>
        <c:axId val="643091152"/>
        <c:axId val="636381088"/>
      </c:barChart>
      <c:catAx>
        <c:axId val="643091152"/>
        <c:scaling>
          <c:orientation val="maxMin"/>
        </c:scaling>
        <c:delete val="1"/>
        <c:axPos val="l"/>
        <c:numFmt formatCode="General" sourceLinked="1"/>
        <c:majorTickMark val="none"/>
        <c:minorTickMark val="none"/>
        <c:tickLblPos val="nextTo"/>
        <c:crossAx val="636381088"/>
        <c:crosses val="autoZero"/>
        <c:auto val="1"/>
        <c:lblAlgn val="ctr"/>
        <c:lblOffset val="100"/>
        <c:noMultiLvlLbl val="0"/>
      </c:catAx>
      <c:valAx>
        <c:axId val="636381088"/>
        <c:scaling>
          <c:orientation val="minMax"/>
          <c:max val="100"/>
          <c:min val="7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43091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Blad1!$B$2</c:f>
              <c:strCache>
                <c:ptCount val="1"/>
                <c:pt idx="0">
                  <c:v>Boys</c:v>
                </c:pt>
              </c:strCache>
            </c:strRef>
          </c:tx>
          <c:spPr>
            <a:solidFill>
              <a:srgbClr val="17255B"/>
            </a:solidFill>
            <a:ln>
              <a:noFill/>
            </a:ln>
            <a:effectLst/>
          </c:spPr>
          <c:invertIfNegative val="0"/>
          <c:dLbls>
            <c:dLbl>
              <c:idx val="2"/>
              <c:layout>
                <c:manualLayout>
                  <c:x val="-0.41734860883797054"/>
                  <c:y val="3.2219897271614743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6511-6C4E-837B-4C16754AB579}"/>
                </c:ext>
              </c:extLst>
            </c:dLbl>
            <c:dLbl>
              <c:idx val="3"/>
              <c:layout>
                <c:manualLayout>
                  <c:x val="-0.27823240589198039"/>
                  <c:y val="3.2219897271614743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6511-6C4E-837B-4C16754AB579}"/>
                </c:ext>
              </c:extLst>
            </c:dLbl>
            <c:dLbl>
              <c:idx val="4"/>
              <c:layout>
                <c:manualLayout>
                  <c:x val="-0.2700490998363339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6511-6C4E-837B-4C16754AB579}"/>
                </c:ext>
              </c:extLst>
            </c:dLbl>
            <c:dLbl>
              <c:idx val="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6511-6C4E-837B-4C16754AB579}"/>
                </c:ext>
              </c:extLst>
            </c:dLbl>
            <c:dLbl>
              <c:idx val="1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6511-6C4E-837B-4C16754AB579}"/>
                </c:ext>
              </c:extLst>
            </c:dLbl>
            <c:dLbl>
              <c:idx val="1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511-6C4E-837B-4C16754AB57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Blad1!$A$3:$A$16</c:f>
              <c:strCache>
                <c:ptCount val="14"/>
                <c:pt idx="0">
                  <c:v>Bulgaria</c:v>
                </c:pt>
                <c:pt idx="1">
                  <c:v>Cyprus</c:v>
                </c:pt>
                <c:pt idx="2">
                  <c:v>Czech Republic</c:v>
                </c:pt>
                <c:pt idx="3">
                  <c:v>Estonia</c:v>
                </c:pt>
                <c:pt idx="4">
                  <c:v>France</c:v>
                </c:pt>
                <c:pt idx="5">
                  <c:v>Greece</c:v>
                </c:pt>
                <c:pt idx="6">
                  <c:v>Ireland</c:v>
                </c:pt>
                <c:pt idx="7">
                  <c:v>Lithuania</c:v>
                </c:pt>
                <c:pt idx="8">
                  <c:v>Poland</c:v>
                </c:pt>
                <c:pt idx="9">
                  <c:v>Slovakia</c:v>
                </c:pt>
                <c:pt idx="10">
                  <c:v>Spain</c:v>
                </c:pt>
                <c:pt idx="11">
                  <c:v>Switzerland</c:v>
                </c:pt>
                <c:pt idx="12">
                  <c:v>UK (England)</c:v>
                </c:pt>
                <c:pt idx="13">
                  <c:v>Total average (13)</c:v>
                </c:pt>
              </c:strCache>
            </c:strRef>
          </c:cat>
          <c:val>
            <c:numRef>
              <c:f>Blad1!$B$3:$B$16</c:f>
              <c:numCache>
                <c:formatCode>0.00</c:formatCode>
                <c:ptCount val="14"/>
                <c:pt idx="0">
                  <c:v>9.0199479618386817</c:v>
                </c:pt>
                <c:pt idx="1">
                  <c:v>14.387464387464387</c:v>
                </c:pt>
                <c:pt idx="2">
                  <c:v>52.470342849693651</c:v>
                </c:pt>
                <c:pt idx="3">
                  <c:v>27.677754043332314</c:v>
                </c:pt>
                <c:pt idx="4">
                  <c:v>28.375293398926075</c:v>
                </c:pt>
                <c:pt idx="5">
                  <c:v>10.960999235279123</c:v>
                </c:pt>
                <c:pt idx="6">
                  <c:v>76.701183431952657</c:v>
                </c:pt>
                <c:pt idx="7">
                  <c:v>5.9083325154578468</c:v>
                </c:pt>
                <c:pt idx="8">
                  <c:v>14.083445040214476</c:v>
                </c:pt>
                <c:pt idx="9">
                  <c:v>21.516034985422742</c:v>
                </c:pt>
                <c:pt idx="10">
                  <c:v>8.5171849427168578</c:v>
                </c:pt>
                <c:pt idx="11">
                  <c:v>70.777202072538856</c:v>
                </c:pt>
                <c:pt idx="12">
                  <c:v>22.065859836757671</c:v>
                </c:pt>
                <c:pt idx="13">
                  <c:v>24.147611008798854</c:v>
                </c:pt>
              </c:numCache>
            </c:numRef>
          </c:val>
          <c:extLst>
            <c:ext xmlns:c16="http://schemas.microsoft.com/office/drawing/2014/chart" uri="{C3380CC4-5D6E-409C-BE32-E72D297353CC}">
              <c16:uniqueId val="{00000000-DEBE-4A89-A82D-E5657617D655}"/>
            </c:ext>
          </c:extLst>
        </c:ser>
        <c:ser>
          <c:idx val="1"/>
          <c:order val="1"/>
          <c:tx>
            <c:strRef>
              <c:f>Blad1!$C$2</c:f>
              <c:strCache>
                <c:ptCount val="1"/>
                <c:pt idx="0">
                  <c:v>Girls</c:v>
                </c:pt>
              </c:strCache>
            </c:strRef>
          </c:tx>
          <c:spPr>
            <a:solidFill>
              <a:srgbClr val="F9C623"/>
            </a:solidFill>
            <a:ln>
              <a:noFill/>
            </a:ln>
            <a:effectLst/>
          </c:spPr>
          <c:invertIfNegative val="0"/>
          <c:dLbls>
            <c:dLbl>
              <c:idx val="2"/>
              <c:layout>
                <c:manualLayout>
                  <c:x val="-0.15548281505728317"/>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11-6C4E-837B-4C16754AB579}"/>
                </c:ext>
              </c:extLst>
            </c:dLbl>
            <c:dLbl>
              <c:idx val="3"/>
              <c:layout>
                <c:manualLayout>
                  <c:x val="-0.12274959083469722"/>
                  <c:y val="1.3838340506206495E-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6511-6C4E-837B-4C16754AB579}"/>
                </c:ext>
              </c:extLst>
            </c:dLbl>
            <c:dLbl>
              <c:idx val="4"/>
              <c:layout>
                <c:manualLayout>
                  <c:x val="-0.13093289689034371"/>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511-6C4E-837B-4C16754AB579}"/>
                </c:ext>
              </c:extLst>
            </c:dLbl>
            <c:dLbl>
              <c:idx val="6"/>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11-6C4E-837B-4C16754AB579}"/>
                </c:ext>
              </c:extLst>
            </c:dLbl>
            <c:dLbl>
              <c:idx val="1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511-6C4E-837B-4C16754AB579}"/>
                </c:ext>
              </c:extLst>
            </c:dLbl>
            <c:dLbl>
              <c:idx val="1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6511-6C4E-837B-4C16754AB57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Blad1!$A$3:$A$16</c:f>
              <c:strCache>
                <c:ptCount val="14"/>
                <c:pt idx="0">
                  <c:v>Bulgaria</c:v>
                </c:pt>
                <c:pt idx="1">
                  <c:v>Cyprus</c:v>
                </c:pt>
                <c:pt idx="2">
                  <c:v>Czech Republic</c:v>
                </c:pt>
                <c:pt idx="3">
                  <c:v>Estonia</c:v>
                </c:pt>
                <c:pt idx="4">
                  <c:v>France</c:v>
                </c:pt>
                <c:pt idx="5">
                  <c:v>Greece</c:v>
                </c:pt>
                <c:pt idx="6">
                  <c:v>Ireland</c:v>
                </c:pt>
                <c:pt idx="7">
                  <c:v>Lithuania</c:v>
                </c:pt>
                <c:pt idx="8">
                  <c:v>Poland</c:v>
                </c:pt>
                <c:pt idx="9">
                  <c:v>Slovakia</c:v>
                </c:pt>
                <c:pt idx="10">
                  <c:v>Spain</c:v>
                </c:pt>
                <c:pt idx="11">
                  <c:v>Switzerland</c:v>
                </c:pt>
                <c:pt idx="12">
                  <c:v>UK (England)</c:v>
                </c:pt>
                <c:pt idx="13">
                  <c:v>Total average (13)</c:v>
                </c:pt>
              </c:strCache>
            </c:strRef>
          </c:cat>
          <c:val>
            <c:numRef>
              <c:f>Blad1!$C$3:$C$16</c:f>
              <c:numCache>
                <c:formatCode>0.00</c:formatCode>
                <c:ptCount val="14"/>
                <c:pt idx="0">
                  <c:v>5.3772766695576752</c:v>
                </c:pt>
                <c:pt idx="1">
                  <c:v>5.5555555555555554</c:v>
                </c:pt>
                <c:pt idx="2">
                  <c:v>27.786468517794287</c:v>
                </c:pt>
                <c:pt idx="3">
                  <c:v>10.55843759536161</c:v>
                </c:pt>
                <c:pt idx="4">
                  <c:v>15.882125976656699</c:v>
                </c:pt>
                <c:pt idx="5">
                  <c:v>4.9197043079276064</c:v>
                </c:pt>
                <c:pt idx="6">
                  <c:v>23.298816568047336</c:v>
                </c:pt>
                <c:pt idx="7">
                  <c:v>2.6106585533418389</c:v>
                </c:pt>
                <c:pt idx="8">
                  <c:v>6.2332439678284182</c:v>
                </c:pt>
                <c:pt idx="9">
                  <c:v>11.73469387755102</c:v>
                </c:pt>
                <c:pt idx="10">
                  <c:v>4.8445171849427169</c:v>
                </c:pt>
                <c:pt idx="11">
                  <c:v>29.222797927461141</c:v>
                </c:pt>
                <c:pt idx="12">
                  <c:v>9.5506145041748756</c:v>
                </c:pt>
                <c:pt idx="13">
                  <c:v>12.508952322488234</c:v>
                </c:pt>
              </c:numCache>
            </c:numRef>
          </c:val>
          <c:extLst>
            <c:ext xmlns:c16="http://schemas.microsoft.com/office/drawing/2014/chart" uri="{C3380CC4-5D6E-409C-BE32-E72D297353CC}">
              <c16:uniqueId val="{00000001-DEBE-4A89-A82D-E5657617D655}"/>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Blad1!$E$2</c:f>
              <c:strCache>
                <c:ptCount val="1"/>
                <c:pt idx="0">
                  <c:v>Boys</c:v>
                </c:pt>
              </c:strCache>
            </c:strRef>
          </c:tx>
          <c:spPr>
            <a:solidFill>
              <a:srgbClr val="17255B"/>
            </a:solidFill>
            <a:ln>
              <a:noFill/>
            </a:ln>
            <a:effectLst/>
          </c:spPr>
          <c:invertIfNegative val="0"/>
          <c:dLbls>
            <c:dLbl>
              <c:idx val="1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54D-CD41-BD21-7639F17ED96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Blad1!$D$3:$D$16</c:f>
              <c:strCache>
                <c:ptCount val="14"/>
                <c:pt idx="0">
                  <c:v>Bulgaria</c:v>
                </c:pt>
                <c:pt idx="1">
                  <c:v>Cyprus</c:v>
                </c:pt>
                <c:pt idx="2">
                  <c:v>Czech Republic</c:v>
                </c:pt>
                <c:pt idx="3">
                  <c:v>Estonia</c:v>
                </c:pt>
                <c:pt idx="4">
                  <c:v>France</c:v>
                </c:pt>
                <c:pt idx="5">
                  <c:v>Greece</c:v>
                </c:pt>
                <c:pt idx="6">
                  <c:v>Ireland</c:v>
                </c:pt>
                <c:pt idx="7">
                  <c:v>Lithuania</c:v>
                </c:pt>
                <c:pt idx="8">
                  <c:v>Poland</c:v>
                </c:pt>
                <c:pt idx="9">
                  <c:v>Slovakia</c:v>
                </c:pt>
                <c:pt idx="10">
                  <c:v>Spain</c:v>
                </c:pt>
                <c:pt idx="11">
                  <c:v>Switzerland</c:v>
                </c:pt>
                <c:pt idx="12">
                  <c:v>UK (England)</c:v>
                </c:pt>
                <c:pt idx="13">
                  <c:v>Total average (13)</c:v>
                </c:pt>
              </c:strCache>
            </c:strRef>
          </c:cat>
          <c:val>
            <c:numRef>
              <c:f>Blad1!$E$3:$E$16</c:f>
              <c:numCache>
                <c:formatCode>0.00</c:formatCode>
                <c:ptCount val="14"/>
                <c:pt idx="0">
                  <c:v>62.650602409638559</c:v>
                </c:pt>
                <c:pt idx="1">
                  <c:v>72.142857142857139</c:v>
                </c:pt>
                <c:pt idx="2">
                  <c:v>65.378055713473557</c:v>
                </c:pt>
                <c:pt idx="3">
                  <c:v>72.386272944932159</c:v>
                </c:pt>
                <c:pt idx="4">
                  <c:v>64.114206836427044</c:v>
                </c:pt>
                <c:pt idx="5">
                  <c:v>69.020866773675763</c:v>
                </c:pt>
                <c:pt idx="6">
                  <c:v>76.701183431952657</c:v>
                </c:pt>
                <c:pt idx="7">
                  <c:v>69.354838709677423</c:v>
                </c:pt>
                <c:pt idx="8">
                  <c:v>69.319587628865975</c:v>
                </c:pt>
                <c:pt idx="9">
                  <c:v>64.708461201227536</c:v>
                </c:pt>
                <c:pt idx="10">
                  <c:v>63.743263106320434</c:v>
                </c:pt>
                <c:pt idx="11">
                  <c:v>70.777202072538856</c:v>
                </c:pt>
                <c:pt idx="12">
                  <c:v>69.792284866468847</c:v>
                </c:pt>
                <c:pt idx="13">
                  <c:v>65.88</c:v>
                </c:pt>
              </c:numCache>
            </c:numRef>
          </c:val>
          <c:extLst>
            <c:ext xmlns:c16="http://schemas.microsoft.com/office/drawing/2014/chart" uri="{C3380CC4-5D6E-409C-BE32-E72D297353CC}">
              <c16:uniqueId val="{00000000-3008-4243-B078-FA3A1B391244}"/>
            </c:ext>
          </c:extLst>
        </c:ser>
        <c:ser>
          <c:idx val="1"/>
          <c:order val="1"/>
          <c:tx>
            <c:strRef>
              <c:f>Blad1!$F$2</c:f>
              <c:strCache>
                <c:ptCount val="1"/>
                <c:pt idx="0">
                  <c:v>Girls</c:v>
                </c:pt>
              </c:strCache>
            </c:strRef>
          </c:tx>
          <c:spPr>
            <a:solidFill>
              <a:srgbClr val="F9C623"/>
            </a:solidFill>
            <a:ln>
              <a:noFill/>
            </a:ln>
            <a:effectLst/>
          </c:spPr>
          <c:invertIfNegative val="0"/>
          <c:dLbls>
            <c:dLbl>
              <c:idx val="1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4D-CD41-BD21-7639F17ED96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Blad1!$D$3:$D$16</c:f>
              <c:strCache>
                <c:ptCount val="14"/>
                <c:pt idx="0">
                  <c:v>Bulgaria</c:v>
                </c:pt>
                <c:pt idx="1">
                  <c:v>Cyprus</c:v>
                </c:pt>
                <c:pt idx="2">
                  <c:v>Czech Republic</c:v>
                </c:pt>
                <c:pt idx="3">
                  <c:v>Estonia</c:v>
                </c:pt>
                <c:pt idx="4">
                  <c:v>France</c:v>
                </c:pt>
                <c:pt idx="5">
                  <c:v>Greece</c:v>
                </c:pt>
                <c:pt idx="6">
                  <c:v>Ireland</c:v>
                </c:pt>
                <c:pt idx="7">
                  <c:v>Lithuania</c:v>
                </c:pt>
                <c:pt idx="8">
                  <c:v>Poland</c:v>
                </c:pt>
                <c:pt idx="9">
                  <c:v>Slovakia</c:v>
                </c:pt>
                <c:pt idx="10">
                  <c:v>Spain</c:v>
                </c:pt>
                <c:pt idx="11">
                  <c:v>Switzerland</c:v>
                </c:pt>
                <c:pt idx="12">
                  <c:v>UK (England)</c:v>
                </c:pt>
                <c:pt idx="13">
                  <c:v>Total average (13)</c:v>
                </c:pt>
              </c:strCache>
            </c:strRef>
          </c:cat>
          <c:val>
            <c:numRef>
              <c:f>Blad1!$F$3:$F$16</c:f>
              <c:numCache>
                <c:formatCode>0.00</c:formatCode>
                <c:ptCount val="14"/>
                <c:pt idx="0">
                  <c:v>37.349397590361441</c:v>
                </c:pt>
                <c:pt idx="1">
                  <c:v>27.857142857142858</c:v>
                </c:pt>
                <c:pt idx="2">
                  <c:v>34.621944286526436</c:v>
                </c:pt>
                <c:pt idx="3">
                  <c:v>27.613727055067837</c:v>
                </c:pt>
                <c:pt idx="4">
                  <c:v>35.885793163572963</c:v>
                </c:pt>
                <c:pt idx="5">
                  <c:v>30.97913322632424</c:v>
                </c:pt>
                <c:pt idx="6">
                  <c:v>23.298816568047336</c:v>
                </c:pt>
                <c:pt idx="7">
                  <c:v>30.64516129032258</c:v>
                </c:pt>
                <c:pt idx="8">
                  <c:v>30.680412371134018</c:v>
                </c:pt>
                <c:pt idx="9">
                  <c:v>35.291538798772471</c:v>
                </c:pt>
                <c:pt idx="10">
                  <c:v>36.256736893679573</c:v>
                </c:pt>
                <c:pt idx="11">
                  <c:v>29.222797927461141</c:v>
                </c:pt>
                <c:pt idx="12">
                  <c:v>30.20771513353116</c:v>
                </c:pt>
                <c:pt idx="13">
                  <c:v>34.119999999999997</c:v>
                </c:pt>
              </c:numCache>
            </c:numRef>
          </c:val>
          <c:extLst>
            <c:ext xmlns:c16="http://schemas.microsoft.com/office/drawing/2014/chart" uri="{C3380CC4-5D6E-409C-BE32-E72D297353CC}">
              <c16:uniqueId val="{00000001-3008-4243-B078-FA3A1B391244}"/>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50F5-4738-9130-7E5698593823}"/>
              </c:ext>
            </c:extLst>
          </c:dPt>
          <c:dPt>
            <c:idx val="27"/>
            <c:invertIfNegative val="0"/>
            <c:bubble3D val="0"/>
            <c:extLst>
              <c:ext xmlns:c16="http://schemas.microsoft.com/office/drawing/2014/chart" uri="{C3380CC4-5D6E-409C-BE32-E72D297353CC}">
                <c16:uniqueId val="{00000003-50F5-4738-9130-7E5698593823}"/>
              </c:ext>
            </c:extLst>
          </c:dPt>
          <c:dPt>
            <c:idx val="31"/>
            <c:invertIfNegative val="0"/>
            <c:bubble3D val="0"/>
            <c:spPr>
              <a:solidFill>
                <a:srgbClr val="F9C623"/>
              </a:solidFill>
              <a:ln>
                <a:noFill/>
              </a:ln>
              <a:effectLst/>
            </c:spPr>
            <c:extLst>
              <c:ext xmlns:c16="http://schemas.microsoft.com/office/drawing/2014/chart" uri="{C3380CC4-5D6E-409C-BE32-E72D297353CC}">
                <c16:uniqueId val="{00000005-50F5-4738-9130-7E5698593823}"/>
              </c:ext>
            </c:extLst>
          </c:dPt>
          <c:dLbls>
            <c:dLbl>
              <c:idx val="0"/>
              <c:tx>
                <c:rich>
                  <a:bodyPr rot="0" spcFirstLastPara="1" vertOverflow="ellipsis" vert="horz" wrap="none" lIns="38100" tIns="19050" rIns="38100" bIns="19050" anchor="ctr" anchorCtr="1">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fld id="{22812488-1748-2043-873A-53B6C9130EF3}" type="CATEGORYNAME">
                      <a:rPr lang="en-US" sz="1000">
                        <a:latin typeface="Calibri" panose="020F0502020204030204" pitchFamily="34" charset="0"/>
                        <a:cs typeface="Calibri" panose="020F0502020204030204" pitchFamily="34" charset="0"/>
                      </a:rPr>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t>[CATEGORY NAME]</a:t>
                    </a:fld>
                    <a:r>
                      <a:rPr lang="en-US" sz="1000" baseline="0">
                        <a:latin typeface="Calibri" panose="020F0502020204030204" pitchFamily="34" charset="0"/>
                        <a:cs typeface="Calibri" panose="020F0502020204030204" pitchFamily="34" charset="0"/>
                      </a:rPr>
                      <a:t> 98.96</a:t>
                    </a:r>
                  </a:p>
                </c:rich>
              </c:tx>
              <c:spPr>
                <a:noFill/>
                <a:ln>
                  <a:noFill/>
                </a:ln>
                <a:effectLst/>
              </c:sp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4500818330605562"/>
                      <c:h val="2.9598245424801353E-2"/>
                    </c:manualLayout>
                  </c15:layout>
                  <c15:dlblFieldTable/>
                  <c15:showDataLabelsRange val="0"/>
                </c:ext>
                <c:ext xmlns:c16="http://schemas.microsoft.com/office/drawing/2014/chart" uri="{C3380CC4-5D6E-409C-BE32-E72D297353CC}">
                  <c16:uniqueId val="{00000004-3D97-754D-AD01-7CEA637B3442}"/>
                </c:ext>
              </c:extLst>
            </c:dLbl>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CD2E-1942-B1F6-800AF4EE170E}"/>
                </c:ext>
              </c:extLst>
            </c:dLbl>
            <c:dLbl>
              <c:idx val="3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50F5-4738-9130-7E569859382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'1.1, 1.2 - ISCED 1&amp;2'!$H$3:$H$34</c:f>
              <c:strCache>
                <c:ptCount val="32"/>
                <c:pt idx="0">
                  <c:v>Austria</c:v>
                </c:pt>
                <c:pt idx="1">
                  <c:v>Belgium (Fl)</c:v>
                </c:pt>
                <c:pt idx="2">
                  <c:v>Bulgaria</c:v>
                </c:pt>
                <c:pt idx="3">
                  <c:v>Cyprus</c:v>
                </c:pt>
                <c:pt idx="4">
                  <c:v>Czech Republic</c:v>
                </c:pt>
                <c:pt idx="5">
                  <c:v>Estonia</c:v>
                </c:pt>
                <c:pt idx="6">
                  <c:v>Finland</c:v>
                </c:pt>
                <c:pt idx="7">
                  <c:v>France</c:v>
                </c:pt>
                <c:pt idx="8">
                  <c:v>Greece</c:v>
                </c:pt>
                <c:pt idx="9">
                  <c:v>Hungary</c:v>
                </c:pt>
                <c:pt idx="10">
                  <c:v>Iceland </c:v>
                </c:pt>
                <c:pt idx="11">
                  <c:v>Ireland</c:v>
                </c:pt>
                <c:pt idx="12">
                  <c:v>Italy</c:v>
                </c:pt>
                <c:pt idx="13">
                  <c:v>Latvia</c:v>
                </c:pt>
                <c:pt idx="14">
                  <c:v>Lithuania</c:v>
                </c:pt>
                <c:pt idx="15">
                  <c:v>Luxembourg</c:v>
                </c:pt>
                <c:pt idx="16">
                  <c:v>Malta</c:v>
                </c:pt>
                <c:pt idx="17">
                  <c:v>Netherlands</c:v>
                </c:pt>
                <c:pt idx="18">
                  <c:v>Norway</c:v>
                </c:pt>
                <c:pt idx="19">
                  <c:v>Poland</c:v>
                </c:pt>
                <c:pt idx="20">
                  <c:v>Portugal</c:v>
                </c:pt>
                <c:pt idx="21">
                  <c:v>Serbia</c:v>
                </c:pt>
                <c:pt idx="22">
                  <c:v>Slovakia</c:v>
                </c:pt>
                <c:pt idx="23">
                  <c:v>Slovenia</c:v>
                </c:pt>
                <c:pt idx="24">
                  <c:v>Spain</c:v>
                </c:pt>
                <c:pt idx="25">
                  <c:v>Sweden</c:v>
                </c:pt>
                <c:pt idx="26">
                  <c:v>Switzerland</c:v>
                </c:pt>
                <c:pt idx="27">
                  <c:v>UK (England)</c:v>
                </c:pt>
                <c:pt idx="28">
                  <c:v>UK (N. Ireland)</c:v>
                </c:pt>
                <c:pt idx="29">
                  <c:v>UK (Scotland)</c:v>
                </c:pt>
                <c:pt idx="30">
                  <c:v>UK (Wales)</c:v>
                </c:pt>
                <c:pt idx="31">
                  <c:v>Total average (31)</c:v>
                </c:pt>
              </c:strCache>
            </c:strRef>
          </c:cat>
          <c:val>
            <c:numRef>
              <c:f>'1.1, 1.2 - ISCED 1&amp;2'!$I$3:$I$34</c:f>
              <c:numCache>
                <c:formatCode>0.00</c:formatCode>
                <c:ptCount val="32"/>
                <c:pt idx="0">
                  <c:v>98.96</c:v>
                </c:pt>
                <c:pt idx="1">
                  <c:v>80.716236172643434</c:v>
                </c:pt>
                <c:pt idx="2">
                  <c:v>99.471554328679503</c:v>
                </c:pt>
                <c:pt idx="3">
                  <c:v>99.845660258124099</c:v>
                </c:pt>
                <c:pt idx="4">
                  <c:v>97.394660193669253</c:v>
                </c:pt>
                <c:pt idx="5">
                  <c:v>97.368378011481667</c:v>
                </c:pt>
                <c:pt idx="6">
                  <c:v>99.270639903596319</c:v>
                </c:pt>
                <c:pt idx="7">
                  <c:v>99.416244973017612</c:v>
                </c:pt>
                <c:pt idx="8">
                  <c:v>99.045499758374191</c:v>
                </c:pt>
                <c:pt idx="9">
                  <c:v>91.950054723509794</c:v>
                </c:pt>
                <c:pt idx="10">
                  <c:v>99.631684146697509</c:v>
                </c:pt>
                <c:pt idx="11">
                  <c:v>97.698918916052961</c:v>
                </c:pt>
                <c:pt idx="12">
                  <c:v>99.948580603497845</c:v>
                </c:pt>
                <c:pt idx="13">
                  <c:v>96.514950390352553</c:v>
                </c:pt>
                <c:pt idx="14">
                  <c:v>98.897755862655629</c:v>
                </c:pt>
                <c:pt idx="15">
                  <c:v>99.644729875143042</c:v>
                </c:pt>
                <c:pt idx="16">
                  <c:v>99.47038872945474</c:v>
                </c:pt>
                <c:pt idx="17">
                  <c:v>96.801493565969011</c:v>
                </c:pt>
                <c:pt idx="18">
                  <c:v>99.777839577291331</c:v>
                </c:pt>
                <c:pt idx="19">
                  <c:v>98.408028612976906</c:v>
                </c:pt>
                <c:pt idx="20">
                  <c:v>99.891543085735464</c:v>
                </c:pt>
                <c:pt idx="21">
                  <c:v>99.193105223252488</c:v>
                </c:pt>
                <c:pt idx="22">
                  <c:v>95.778325412192686</c:v>
                </c:pt>
                <c:pt idx="23">
                  <c:v>97.733592648525743</c:v>
                </c:pt>
                <c:pt idx="24">
                  <c:v>99.430844318626953</c:v>
                </c:pt>
                <c:pt idx="25">
                  <c:v>99.091576932742569</c:v>
                </c:pt>
                <c:pt idx="26">
                  <c:v>98.038650960513806</c:v>
                </c:pt>
                <c:pt idx="27">
                  <c:v>98.656642071603969</c:v>
                </c:pt>
                <c:pt idx="28">
                  <c:v>99.795936380165585</c:v>
                </c:pt>
                <c:pt idx="29">
                  <c:v>99.137443952855961</c:v>
                </c:pt>
                <c:pt idx="30">
                  <c:v>97.344441482271392</c:v>
                </c:pt>
                <c:pt idx="31">
                  <c:v>98.49020369589168</c:v>
                </c:pt>
              </c:numCache>
            </c:numRef>
          </c:val>
          <c:extLst>
            <c:ext xmlns:c16="http://schemas.microsoft.com/office/drawing/2014/chart" uri="{C3380CC4-5D6E-409C-BE32-E72D297353CC}">
              <c16:uniqueId val="{00000006-50F5-4738-9130-7E5698593823}"/>
            </c:ext>
          </c:extLst>
        </c:ser>
        <c:dLbls>
          <c:showLegendKey val="0"/>
          <c:showVal val="0"/>
          <c:showCatName val="0"/>
          <c:showSerName val="0"/>
          <c:showPercent val="0"/>
          <c:showBubbleSize val="0"/>
        </c:dLbls>
        <c:gapWidth val="10"/>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min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141B-4A21-AD26-4B6A6B1ACEF0}"/>
              </c:ext>
            </c:extLst>
          </c:dPt>
          <c:dPt>
            <c:idx val="27"/>
            <c:invertIfNegative val="0"/>
            <c:bubble3D val="0"/>
            <c:extLst>
              <c:ext xmlns:c16="http://schemas.microsoft.com/office/drawing/2014/chart" uri="{C3380CC4-5D6E-409C-BE32-E72D297353CC}">
                <c16:uniqueId val="{00000003-141B-4A21-AD26-4B6A6B1ACEF0}"/>
              </c:ext>
            </c:extLst>
          </c:dPt>
          <c:dPt>
            <c:idx val="31"/>
            <c:invertIfNegative val="0"/>
            <c:bubble3D val="0"/>
            <c:spPr>
              <a:solidFill>
                <a:srgbClr val="F9C623"/>
              </a:solidFill>
              <a:ln>
                <a:noFill/>
              </a:ln>
              <a:effectLst/>
            </c:spPr>
            <c:extLst>
              <c:ext xmlns:c16="http://schemas.microsoft.com/office/drawing/2014/chart" uri="{C3380CC4-5D6E-409C-BE32-E72D297353CC}">
                <c16:uniqueId val="{00000005-141B-4A21-AD26-4B6A6B1ACEF0}"/>
              </c:ext>
            </c:extLst>
          </c:dPt>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08B0-0F44-B612-6C7FA25251D8}"/>
                </c:ext>
              </c:extLst>
            </c:dLbl>
            <c:dLbl>
              <c:idx val="3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141B-4A21-AD26-4B6A6B1ACEF0}"/>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'1.1, 1.2 - ISCED 1&amp;2'!$H$38:$H$69</c:f>
              <c:strCache>
                <c:ptCount val="32"/>
                <c:pt idx="0">
                  <c:v>Austria</c:v>
                </c:pt>
                <c:pt idx="1">
                  <c:v>Belgium (Fl)</c:v>
                </c:pt>
                <c:pt idx="2">
                  <c:v>Bulgaria</c:v>
                </c:pt>
                <c:pt idx="3">
                  <c:v>Cyprus</c:v>
                </c:pt>
                <c:pt idx="4">
                  <c:v>Czech Republic</c:v>
                </c:pt>
                <c:pt idx="5">
                  <c:v>Estonia</c:v>
                </c:pt>
                <c:pt idx="6">
                  <c:v>Finland</c:v>
                </c:pt>
                <c:pt idx="7">
                  <c:v>Germany</c:v>
                </c:pt>
                <c:pt idx="8">
                  <c:v>France</c:v>
                </c:pt>
                <c:pt idx="9">
                  <c:v>Greece</c:v>
                </c:pt>
                <c:pt idx="10">
                  <c:v>Hungary</c:v>
                </c:pt>
                <c:pt idx="11">
                  <c:v>Iceland </c:v>
                </c:pt>
                <c:pt idx="12">
                  <c:v>Ireland</c:v>
                </c:pt>
                <c:pt idx="13">
                  <c:v>Italy</c:v>
                </c:pt>
                <c:pt idx="14">
                  <c:v>Latvia</c:v>
                </c:pt>
                <c:pt idx="15">
                  <c:v>Lithuania</c:v>
                </c:pt>
                <c:pt idx="16">
                  <c:v>Luxembourg</c:v>
                </c:pt>
                <c:pt idx="17">
                  <c:v>Malta</c:v>
                </c:pt>
                <c:pt idx="18">
                  <c:v>Netherlands</c:v>
                </c:pt>
                <c:pt idx="19">
                  <c:v>Norway</c:v>
                </c:pt>
                <c:pt idx="20">
                  <c:v>Poland</c:v>
                </c:pt>
                <c:pt idx="21">
                  <c:v>Portugal</c:v>
                </c:pt>
                <c:pt idx="22">
                  <c:v>Serbia</c:v>
                </c:pt>
                <c:pt idx="23">
                  <c:v>Slovakia</c:v>
                </c:pt>
                <c:pt idx="24">
                  <c:v>Slovenia</c:v>
                </c:pt>
                <c:pt idx="25">
                  <c:v>Spain</c:v>
                </c:pt>
                <c:pt idx="26">
                  <c:v>Sweden</c:v>
                </c:pt>
                <c:pt idx="27">
                  <c:v>Switzerland</c:v>
                </c:pt>
                <c:pt idx="28">
                  <c:v>UK (England)</c:v>
                </c:pt>
                <c:pt idx="29">
                  <c:v>UK (N. Ireland)</c:v>
                </c:pt>
                <c:pt idx="30">
                  <c:v>UK (Scotland)</c:v>
                </c:pt>
                <c:pt idx="31">
                  <c:v>Total average (31)</c:v>
                </c:pt>
              </c:strCache>
            </c:strRef>
          </c:cat>
          <c:val>
            <c:numRef>
              <c:f>'1.1, 1.2 - ISCED 1&amp;2'!$I$38:$I$69</c:f>
              <c:numCache>
                <c:formatCode>0.00</c:formatCode>
                <c:ptCount val="32"/>
                <c:pt idx="0">
                  <c:v>98.955061370384954</c:v>
                </c:pt>
                <c:pt idx="1">
                  <c:v>80.716236172643434</c:v>
                </c:pt>
                <c:pt idx="2">
                  <c:v>99.448126791598796</c:v>
                </c:pt>
                <c:pt idx="3">
                  <c:v>98.579345210606903</c:v>
                </c:pt>
                <c:pt idx="4">
                  <c:v>96.75517053578217</c:v>
                </c:pt>
                <c:pt idx="5">
                  <c:v>95.377896992198359</c:v>
                </c:pt>
                <c:pt idx="6">
                  <c:v>95.456958255495806</c:v>
                </c:pt>
                <c:pt idx="7">
                  <c:v>96.911904092699999</c:v>
                </c:pt>
                <c:pt idx="8">
                  <c:v>98.608025998721672</c:v>
                </c:pt>
                <c:pt idx="9">
                  <c:v>97.936421620865616</c:v>
                </c:pt>
                <c:pt idx="10">
                  <c:v>89.473588432411916</c:v>
                </c:pt>
                <c:pt idx="11">
                  <c:v>98.744581939048217</c:v>
                </c:pt>
                <c:pt idx="12">
                  <c:v>97.038683611955008</c:v>
                </c:pt>
                <c:pt idx="13">
                  <c:v>99.948580603497845</c:v>
                </c:pt>
                <c:pt idx="14">
                  <c:v>96.139221994735308</c:v>
                </c:pt>
                <c:pt idx="15">
                  <c:v>98.56902903032794</c:v>
                </c:pt>
                <c:pt idx="16">
                  <c:v>99.248467043571836</c:v>
                </c:pt>
                <c:pt idx="17">
                  <c:v>99.47038872945474</c:v>
                </c:pt>
                <c:pt idx="18">
                  <c:v>96.801493565969011</c:v>
                </c:pt>
                <c:pt idx="19">
                  <c:v>99.363871121528746</c:v>
                </c:pt>
                <c:pt idx="20">
                  <c:v>98.408028612976906</c:v>
                </c:pt>
                <c:pt idx="21">
                  <c:v>98.880332237863996</c:v>
                </c:pt>
                <c:pt idx="22">
                  <c:v>99.193105223252488</c:v>
                </c:pt>
                <c:pt idx="23">
                  <c:v>93.805165086629614</c:v>
                </c:pt>
                <c:pt idx="24">
                  <c:v>97.455516113392818</c:v>
                </c:pt>
                <c:pt idx="25">
                  <c:v>99.27525011259965</c:v>
                </c:pt>
                <c:pt idx="26">
                  <c:v>99.091576932742569</c:v>
                </c:pt>
                <c:pt idx="27">
                  <c:v>96.136736740405993</c:v>
                </c:pt>
                <c:pt idx="28">
                  <c:v>98.434883112822973</c:v>
                </c:pt>
                <c:pt idx="29">
                  <c:v>98.977210542110186</c:v>
                </c:pt>
                <c:pt idx="30">
                  <c:v>98.617200897415131</c:v>
                </c:pt>
                <c:pt idx="31">
                  <c:v>97.832068451888119</c:v>
                </c:pt>
              </c:numCache>
            </c:numRef>
          </c:val>
          <c:extLst>
            <c:ext xmlns:c16="http://schemas.microsoft.com/office/drawing/2014/chart" uri="{C3380CC4-5D6E-409C-BE32-E72D297353CC}">
              <c16:uniqueId val="{00000006-141B-4A21-AD26-4B6A6B1ACEF0}"/>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min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6EA2-412A-A8B3-5F96F2FC687B}"/>
              </c:ext>
            </c:extLst>
          </c:dPt>
          <c:dPt>
            <c:idx val="26"/>
            <c:invertIfNegative val="0"/>
            <c:bubble3D val="0"/>
            <c:spPr>
              <a:solidFill>
                <a:srgbClr val="F9C623"/>
              </a:solidFill>
              <a:ln>
                <a:noFill/>
              </a:ln>
              <a:effectLst/>
            </c:spPr>
            <c:extLst>
              <c:ext xmlns:c16="http://schemas.microsoft.com/office/drawing/2014/chart" uri="{C3380CC4-5D6E-409C-BE32-E72D297353CC}">
                <c16:uniqueId val="{00000003-6EA2-412A-A8B3-5F96F2FC687B}"/>
              </c:ext>
            </c:extLst>
          </c:dPt>
          <c:dPt>
            <c:idx val="27"/>
            <c:invertIfNegative val="0"/>
            <c:bubble3D val="0"/>
            <c:extLst>
              <c:ext xmlns:c16="http://schemas.microsoft.com/office/drawing/2014/chart" uri="{C3380CC4-5D6E-409C-BE32-E72D297353CC}">
                <c16:uniqueId val="{00000005-6EA2-412A-A8B3-5F96F2FC687B}"/>
              </c:ext>
            </c:extLst>
          </c:dPt>
          <c:dLbls>
            <c:dLbl>
              <c:idx val="2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6EA2-412A-A8B3-5F96F2FC687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'2.1 - ISCED 1&amp;2'!$D$3:$D$29</c:f>
              <c:strCache>
                <c:ptCount val="27"/>
                <c:pt idx="0">
                  <c:v>Austria</c:v>
                </c:pt>
                <c:pt idx="1">
                  <c:v>Belgium (Fl)</c:v>
                </c:pt>
                <c:pt idx="2">
                  <c:v>Bulgaria</c:v>
                </c:pt>
                <c:pt idx="3">
                  <c:v>Cyprus</c:v>
                </c:pt>
                <c:pt idx="4">
                  <c:v>Czech Republic</c:v>
                </c:pt>
                <c:pt idx="5">
                  <c:v>Estonia</c:v>
                </c:pt>
                <c:pt idx="6">
                  <c:v>Greece</c:v>
                </c:pt>
                <c:pt idx="7">
                  <c:v>Hungary</c:v>
                </c:pt>
                <c:pt idx="8">
                  <c:v>Iceland </c:v>
                </c:pt>
                <c:pt idx="9">
                  <c:v>Ireland</c:v>
                </c:pt>
                <c:pt idx="10">
                  <c:v>Italy</c:v>
                </c:pt>
                <c:pt idx="11">
                  <c:v>Latvia</c:v>
                </c:pt>
                <c:pt idx="12">
                  <c:v>Lithuania</c:v>
                </c:pt>
                <c:pt idx="13">
                  <c:v>Luxembourg</c:v>
                </c:pt>
                <c:pt idx="14">
                  <c:v>Malta</c:v>
                </c:pt>
                <c:pt idx="15">
                  <c:v>Netherlands</c:v>
                </c:pt>
                <c:pt idx="16">
                  <c:v>Poland</c:v>
                </c:pt>
                <c:pt idx="17">
                  <c:v>Portugal</c:v>
                </c:pt>
                <c:pt idx="18">
                  <c:v>Slovakia</c:v>
                </c:pt>
                <c:pt idx="19">
                  <c:v>Slovenia</c:v>
                </c:pt>
                <c:pt idx="20">
                  <c:v>Spain</c:v>
                </c:pt>
                <c:pt idx="21">
                  <c:v>Switzerland</c:v>
                </c:pt>
                <c:pt idx="22">
                  <c:v>UK (England)</c:v>
                </c:pt>
                <c:pt idx="23">
                  <c:v>UK (N. Ireland)</c:v>
                </c:pt>
                <c:pt idx="24">
                  <c:v>UK (Scotland)</c:v>
                </c:pt>
                <c:pt idx="25">
                  <c:v>UK (Wales)</c:v>
                </c:pt>
                <c:pt idx="26">
                  <c:v>Total average (26)</c:v>
                </c:pt>
              </c:strCache>
            </c:strRef>
          </c:cat>
          <c:val>
            <c:numRef>
              <c:f>'2.1 - ISCED 1&amp;2'!$E$3:$E$29</c:f>
              <c:numCache>
                <c:formatCode>0.00</c:formatCode>
                <c:ptCount val="27"/>
                <c:pt idx="0">
                  <c:v>99.088676000982559</c:v>
                </c:pt>
                <c:pt idx="1">
                  <c:v>94.846333811878552</c:v>
                </c:pt>
                <c:pt idx="2">
                  <c:v>99.573377506211813</c:v>
                </c:pt>
                <c:pt idx="3">
                  <c:v>99.811467228568262</c:v>
                </c:pt>
                <c:pt idx="4">
                  <c:v>98.08027469240173</c:v>
                </c:pt>
                <c:pt idx="5">
                  <c:v>97.988565130536614</c:v>
                </c:pt>
                <c:pt idx="6">
                  <c:v>99.516816132813616</c:v>
                </c:pt>
                <c:pt idx="7">
                  <c:v>94.768269618988938</c:v>
                </c:pt>
                <c:pt idx="8">
                  <c:v>99.621717846016907</c:v>
                </c:pt>
                <c:pt idx="9">
                  <c:v>97.837693163729583</c:v>
                </c:pt>
                <c:pt idx="10">
                  <c:v>99.956868549297823</c:v>
                </c:pt>
                <c:pt idx="11">
                  <c:v>97.484514634261672</c:v>
                </c:pt>
                <c:pt idx="12">
                  <c:v>99.105795768169273</c:v>
                </c:pt>
                <c:pt idx="13">
                  <c:v>99.709208400646204</c:v>
                </c:pt>
                <c:pt idx="14">
                  <c:v>99.902462813947807</c:v>
                </c:pt>
                <c:pt idx="15">
                  <c:v>97.85863755136559</c:v>
                </c:pt>
                <c:pt idx="16">
                  <c:v>99.197876452960159</c:v>
                </c:pt>
                <c:pt idx="17">
                  <c:v>100</c:v>
                </c:pt>
                <c:pt idx="18">
                  <c:v>96.859011348336225</c:v>
                </c:pt>
                <c:pt idx="19">
                  <c:v>99.697210364340322</c:v>
                </c:pt>
                <c:pt idx="20">
                  <c:v>99.719260934238378</c:v>
                </c:pt>
                <c:pt idx="21">
                  <c:v>98.33110001218175</c:v>
                </c:pt>
                <c:pt idx="22">
                  <c:v>98.808333306537449</c:v>
                </c:pt>
                <c:pt idx="23">
                  <c:v>98.499876022811804</c:v>
                </c:pt>
                <c:pt idx="24">
                  <c:v>99.196635481932887</c:v>
                </c:pt>
                <c:pt idx="25">
                  <c:v>98.049538275653745</c:v>
                </c:pt>
                <c:pt idx="26">
                  <c:v>98.910797698955861</c:v>
                </c:pt>
              </c:numCache>
            </c:numRef>
          </c:val>
          <c:extLst>
            <c:ext xmlns:c16="http://schemas.microsoft.com/office/drawing/2014/chart" uri="{C3380CC4-5D6E-409C-BE32-E72D297353CC}">
              <c16:uniqueId val="{00000006-6EA2-412A-A8B3-5F96F2FC687B}"/>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min val="9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DF33-4510-BD35-4F77613AB461}"/>
              </c:ext>
            </c:extLst>
          </c:dPt>
          <c:dPt>
            <c:idx val="26"/>
            <c:invertIfNegative val="0"/>
            <c:bubble3D val="0"/>
            <c:spPr>
              <a:solidFill>
                <a:srgbClr val="F9C623"/>
              </a:solidFill>
              <a:ln>
                <a:noFill/>
              </a:ln>
              <a:effectLst/>
            </c:spPr>
            <c:extLst>
              <c:ext xmlns:c16="http://schemas.microsoft.com/office/drawing/2014/chart" uri="{C3380CC4-5D6E-409C-BE32-E72D297353CC}">
                <c16:uniqueId val="{00000003-DF33-4510-BD35-4F77613AB461}"/>
              </c:ext>
            </c:extLst>
          </c:dPt>
          <c:dPt>
            <c:idx val="27"/>
            <c:invertIfNegative val="0"/>
            <c:bubble3D val="0"/>
            <c:extLst>
              <c:ext xmlns:c16="http://schemas.microsoft.com/office/drawing/2014/chart" uri="{C3380CC4-5D6E-409C-BE32-E72D297353CC}">
                <c16:uniqueId val="{00000005-DF33-4510-BD35-4F77613AB461}"/>
              </c:ext>
            </c:extLst>
          </c:dPt>
          <c:dLbls>
            <c:dLbl>
              <c:idx val="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CBD8-0E4A-BCB9-872FC66D2C82}"/>
                </c:ext>
              </c:extLst>
            </c:dLbl>
            <c:dLbl>
              <c:idx val="2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F33-4510-BD35-4F77613AB46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'2.1 - ISCED 1&amp;2'!$D$33:$D$59</c:f>
              <c:strCache>
                <c:ptCount val="27"/>
                <c:pt idx="0">
                  <c:v>Austria</c:v>
                </c:pt>
                <c:pt idx="1">
                  <c:v>Belgium (Fl)</c:v>
                </c:pt>
                <c:pt idx="2">
                  <c:v>Bulgaria</c:v>
                </c:pt>
                <c:pt idx="3">
                  <c:v>Cyprus</c:v>
                </c:pt>
                <c:pt idx="4">
                  <c:v>Czech Republic</c:v>
                </c:pt>
                <c:pt idx="5">
                  <c:v>Estonia</c:v>
                </c:pt>
                <c:pt idx="6">
                  <c:v>Greece</c:v>
                </c:pt>
                <c:pt idx="7">
                  <c:v>Hungary</c:v>
                </c:pt>
                <c:pt idx="8">
                  <c:v>Iceland </c:v>
                </c:pt>
                <c:pt idx="9">
                  <c:v>Ireland</c:v>
                </c:pt>
                <c:pt idx="10">
                  <c:v>Italy</c:v>
                </c:pt>
                <c:pt idx="11">
                  <c:v>Latvia</c:v>
                </c:pt>
                <c:pt idx="12">
                  <c:v>Lithuania</c:v>
                </c:pt>
                <c:pt idx="13">
                  <c:v>Luxembourg</c:v>
                </c:pt>
                <c:pt idx="14">
                  <c:v>Malta</c:v>
                </c:pt>
                <c:pt idx="15">
                  <c:v>Netherlands</c:v>
                </c:pt>
                <c:pt idx="16">
                  <c:v>Poland</c:v>
                </c:pt>
                <c:pt idx="17">
                  <c:v>Portugal</c:v>
                </c:pt>
                <c:pt idx="18">
                  <c:v>Slovakia</c:v>
                </c:pt>
                <c:pt idx="19">
                  <c:v>Slovenia</c:v>
                </c:pt>
                <c:pt idx="20">
                  <c:v>Spain</c:v>
                </c:pt>
                <c:pt idx="21">
                  <c:v>Switzerland</c:v>
                </c:pt>
                <c:pt idx="22">
                  <c:v>UK (England)</c:v>
                </c:pt>
                <c:pt idx="23">
                  <c:v>UK (N. Ireland)</c:v>
                </c:pt>
                <c:pt idx="24">
                  <c:v>UK (Scotland)</c:v>
                </c:pt>
                <c:pt idx="25">
                  <c:v>UK (Wales)</c:v>
                </c:pt>
                <c:pt idx="26">
                  <c:v>Total average (26)</c:v>
                </c:pt>
              </c:strCache>
            </c:strRef>
          </c:cat>
          <c:val>
            <c:numRef>
              <c:f>'2.1 - ISCED 1&amp;2'!$E$33:$E$59</c:f>
              <c:numCache>
                <c:formatCode>0.00</c:formatCode>
                <c:ptCount val="27"/>
                <c:pt idx="0">
                  <c:v>98.423048945235365</c:v>
                </c:pt>
                <c:pt idx="1">
                  <c:v>95.100843524707386</c:v>
                </c:pt>
                <c:pt idx="2">
                  <c:v>99.253884847691538</c:v>
                </c:pt>
                <c:pt idx="3">
                  <c:v>99.719037986064279</c:v>
                </c:pt>
                <c:pt idx="4">
                  <c:v>96.922822673938185</c:v>
                </c:pt>
                <c:pt idx="5">
                  <c:v>96.857294617563738</c:v>
                </c:pt>
                <c:pt idx="6">
                  <c:v>99.077595945567793</c:v>
                </c:pt>
                <c:pt idx="7">
                  <c:v>82.120890328142906</c:v>
                </c:pt>
                <c:pt idx="8">
                  <c:v>99.736905046639563</c:v>
                </c:pt>
                <c:pt idx="9">
                  <c:v>98.758801579990944</c:v>
                </c:pt>
                <c:pt idx="10">
                  <c:v>99.949737837127756</c:v>
                </c:pt>
                <c:pt idx="11">
                  <c:v>94.043475780224796</c:v>
                </c:pt>
                <c:pt idx="12">
                  <c:v>98.769804287045673</c:v>
                </c:pt>
                <c:pt idx="13">
                  <c:v>99.468998906762451</c:v>
                </c:pt>
                <c:pt idx="14">
                  <c:v>99.781871061560835</c:v>
                </c:pt>
                <c:pt idx="15">
                  <c:v>96.432202561345193</c:v>
                </c:pt>
                <c:pt idx="16">
                  <c:v>95.470532679033354</c:v>
                </c:pt>
                <c:pt idx="17">
                  <c:v>99.847011794897099</c:v>
                </c:pt>
                <c:pt idx="18">
                  <c:v>95.276934373201556</c:v>
                </c:pt>
                <c:pt idx="19">
                  <c:v>90.552195340501797</c:v>
                </c:pt>
                <c:pt idx="20">
                  <c:v>99.437829254325223</c:v>
                </c:pt>
                <c:pt idx="21">
                  <c:v>98.04148189093101</c:v>
                </c:pt>
                <c:pt idx="22">
                  <c:v>96.652098162432623</c:v>
                </c:pt>
                <c:pt idx="23">
                  <c:v>98.320912274400655</c:v>
                </c:pt>
                <c:pt idx="24">
                  <c:v>98.528925941040441</c:v>
                </c:pt>
                <c:pt idx="25">
                  <c:v>95.605392386850582</c:v>
                </c:pt>
                <c:pt idx="26">
                  <c:v>97.34513419806963</c:v>
                </c:pt>
              </c:numCache>
            </c:numRef>
          </c:val>
          <c:extLst>
            <c:ext xmlns:c16="http://schemas.microsoft.com/office/drawing/2014/chart" uri="{C3380CC4-5D6E-409C-BE32-E72D297353CC}">
              <c16:uniqueId val="{00000006-DF33-4510-BD35-4F77613AB461}"/>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min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C354-4AA0-9878-305D934724B3}"/>
              </c:ext>
            </c:extLst>
          </c:dPt>
          <c:dPt>
            <c:idx val="23"/>
            <c:invertIfNegative val="0"/>
            <c:bubble3D val="0"/>
            <c:spPr>
              <a:solidFill>
                <a:srgbClr val="F9C623"/>
              </a:solidFill>
              <a:ln>
                <a:noFill/>
              </a:ln>
              <a:effectLst/>
            </c:spPr>
            <c:extLst>
              <c:ext xmlns:c16="http://schemas.microsoft.com/office/drawing/2014/chart" uri="{C3380CC4-5D6E-409C-BE32-E72D297353CC}">
                <c16:uniqueId val="{00000003-C354-4AA0-9878-305D934724B3}"/>
              </c:ext>
            </c:extLst>
          </c:dPt>
          <c:dPt>
            <c:idx val="27"/>
            <c:invertIfNegative val="0"/>
            <c:bubble3D val="0"/>
            <c:extLst>
              <c:ext xmlns:c16="http://schemas.microsoft.com/office/drawing/2014/chart" uri="{C3380CC4-5D6E-409C-BE32-E72D297353CC}">
                <c16:uniqueId val="{00000005-C354-4AA0-9878-305D934724B3}"/>
              </c:ext>
            </c:extLst>
          </c:dPt>
          <c:dLbls>
            <c:dLbl>
              <c:idx val="2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E15A-5F40-A45C-F10353478C2D}"/>
                </c:ext>
              </c:extLst>
            </c:dLbl>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C354-4AA0-9878-305D934724B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'2.1 - ISCED 1&amp;2'!$D$64:$D$87</c:f>
              <c:strCache>
                <c:ptCount val="24"/>
                <c:pt idx="0">
                  <c:v>Austria</c:v>
                </c:pt>
                <c:pt idx="1">
                  <c:v>Belgium (Fl)</c:v>
                </c:pt>
                <c:pt idx="2">
                  <c:v>Bulgaria</c:v>
                </c:pt>
                <c:pt idx="3">
                  <c:v>Cyprus</c:v>
                </c:pt>
                <c:pt idx="4">
                  <c:v>Czech Republic</c:v>
                </c:pt>
                <c:pt idx="5">
                  <c:v>Germany</c:v>
                </c:pt>
                <c:pt idx="6">
                  <c:v>Estonia</c:v>
                </c:pt>
                <c:pt idx="7">
                  <c:v>Greece</c:v>
                </c:pt>
                <c:pt idx="8">
                  <c:v>Iceland </c:v>
                </c:pt>
                <c:pt idx="9">
                  <c:v>Italy</c:v>
                </c:pt>
                <c:pt idx="10">
                  <c:v>Lithuania</c:v>
                </c:pt>
                <c:pt idx="11">
                  <c:v>Luxembourg</c:v>
                </c:pt>
                <c:pt idx="12">
                  <c:v>Malta</c:v>
                </c:pt>
                <c:pt idx="13">
                  <c:v>Netherlands</c:v>
                </c:pt>
                <c:pt idx="14">
                  <c:v>Portugal</c:v>
                </c:pt>
                <c:pt idx="15">
                  <c:v>Slovakia</c:v>
                </c:pt>
                <c:pt idx="16">
                  <c:v>Slovenia</c:v>
                </c:pt>
                <c:pt idx="17">
                  <c:v>Spain</c:v>
                </c:pt>
                <c:pt idx="18">
                  <c:v>Switzerland</c:v>
                </c:pt>
                <c:pt idx="19">
                  <c:v>UK (England)</c:v>
                </c:pt>
                <c:pt idx="20">
                  <c:v>UK (N. Ireland)</c:v>
                </c:pt>
                <c:pt idx="21">
                  <c:v>UK (Scotland)</c:v>
                </c:pt>
                <c:pt idx="22">
                  <c:v>UK (Wales)</c:v>
                </c:pt>
                <c:pt idx="23">
                  <c:v>Total average (23)</c:v>
                </c:pt>
              </c:strCache>
            </c:strRef>
          </c:cat>
          <c:val>
            <c:numRef>
              <c:f>'2.1 - ISCED 1&amp;2'!$E$64:$E$87</c:f>
              <c:numCache>
                <c:formatCode>0.00</c:formatCode>
                <c:ptCount val="24"/>
                <c:pt idx="0">
                  <c:v>99.088676000982559</c:v>
                </c:pt>
                <c:pt idx="1">
                  <c:v>94.846333811878552</c:v>
                </c:pt>
                <c:pt idx="2">
                  <c:v>99.573377506211813</c:v>
                </c:pt>
                <c:pt idx="3">
                  <c:v>95.408672507485861</c:v>
                </c:pt>
                <c:pt idx="4">
                  <c:v>97.605979415411554</c:v>
                </c:pt>
                <c:pt idx="5">
                  <c:v>96.358823626274102</c:v>
                </c:pt>
                <c:pt idx="6">
                  <c:v>95.949576358751813</c:v>
                </c:pt>
                <c:pt idx="7">
                  <c:v>98.768691210246928</c:v>
                </c:pt>
                <c:pt idx="8">
                  <c:v>98.842901646639973</c:v>
                </c:pt>
                <c:pt idx="9">
                  <c:v>99.956868549297823</c:v>
                </c:pt>
                <c:pt idx="10">
                  <c:v>96.599816007359706</c:v>
                </c:pt>
                <c:pt idx="11">
                  <c:v>99.321486268174482</c:v>
                </c:pt>
                <c:pt idx="12">
                  <c:v>99.902462813947807</c:v>
                </c:pt>
                <c:pt idx="13">
                  <c:v>97.85863755136559</c:v>
                </c:pt>
                <c:pt idx="14">
                  <c:v>99.549015985481574</c:v>
                </c:pt>
                <c:pt idx="15">
                  <c:v>94.922100403923835</c:v>
                </c:pt>
                <c:pt idx="16">
                  <c:v>99.558224957808008</c:v>
                </c:pt>
                <c:pt idx="17">
                  <c:v>99.63547366700665</c:v>
                </c:pt>
                <c:pt idx="18">
                  <c:v>97.424777683030811</c:v>
                </c:pt>
                <c:pt idx="19">
                  <c:v>98.610579659349256</c:v>
                </c:pt>
                <c:pt idx="20">
                  <c:v>97.706422018348633</c:v>
                </c:pt>
                <c:pt idx="21">
                  <c:v>97.837095528280841</c:v>
                </c:pt>
                <c:pt idx="22">
                  <c:v>55.553637697419525</c:v>
                </c:pt>
                <c:pt idx="23">
                  <c:v>97.835269026320702</c:v>
                </c:pt>
              </c:numCache>
            </c:numRef>
          </c:val>
          <c:extLst>
            <c:ext xmlns:c16="http://schemas.microsoft.com/office/drawing/2014/chart" uri="{C3380CC4-5D6E-409C-BE32-E72D297353CC}">
              <c16:uniqueId val="{00000006-C354-4AA0-9878-305D934724B3}"/>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min val="5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CD69-4C96-B79F-ED9EE74A04B0}"/>
              </c:ext>
            </c:extLst>
          </c:dPt>
          <c:dPt>
            <c:idx val="22"/>
            <c:invertIfNegative val="0"/>
            <c:bubble3D val="0"/>
            <c:spPr>
              <a:solidFill>
                <a:srgbClr val="F9C623"/>
              </a:solidFill>
              <a:ln>
                <a:noFill/>
              </a:ln>
              <a:effectLst/>
            </c:spPr>
            <c:extLst>
              <c:ext xmlns:c16="http://schemas.microsoft.com/office/drawing/2014/chart" uri="{C3380CC4-5D6E-409C-BE32-E72D297353CC}">
                <c16:uniqueId val="{00000003-CD69-4C96-B79F-ED9EE74A04B0}"/>
              </c:ext>
            </c:extLst>
          </c:dPt>
          <c:dPt>
            <c:idx val="27"/>
            <c:invertIfNegative val="0"/>
            <c:bubble3D val="0"/>
            <c:extLst>
              <c:ext xmlns:c16="http://schemas.microsoft.com/office/drawing/2014/chart" uri="{C3380CC4-5D6E-409C-BE32-E72D297353CC}">
                <c16:uniqueId val="{00000005-CD69-4C96-B79F-ED9EE74A04B0}"/>
              </c:ext>
            </c:extLst>
          </c:dPt>
          <c:dLbls>
            <c:dLbl>
              <c:idx val="22"/>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CD69-4C96-B79F-ED9EE74A04B0}"/>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'2.1 - ISCED 1&amp;2'!$D$91:$D$113</c:f>
              <c:strCache>
                <c:ptCount val="23"/>
                <c:pt idx="0">
                  <c:v>Austria</c:v>
                </c:pt>
                <c:pt idx="1">
                  <c:v>Belgium (Fl)</c:v>
                </c:pt>
                <c:pt idx="2">
                  <c:v>Bulgaria</c:v>
                </c:pt>
                <c:pt idx="3">
                  <c:v>Cyprus</c:v>
                </c:pt>
                <c:pt idx="4">
                  <c:v>Czech Republic</c:v>
                </c:pt>
                <c:pt idx="5">
                  <c:v>Germany</c:v>
                </c:pt>
                <c:pt idx="6">
                  <c:v>Estonia</c:v>
                </c:pt>
                <c:pt idx="7">
                  <c:v>Greece</c:v>
                </c:pt>
                <c:pt idx="8">
                  <c:v>Iceland </c:v>
                </c:pt>
                <c:pt idx="9">
                  <c:v>Italy</c:v>
                </c:pt>
                <c:pt idx="10">
                  <c:v>Lithuania</c:v>
                </c:pt>
                <c:pt idx="11">
                  <c:v>Luxembourg</c:v>
                </c:pt>
                <c:pt idx="12">
                  <c:v>Malta</c:v>
                </c:pt>
                <c:pt idx="13">
                  <c:v>Netherlands</c:v>
                </c:pt>
                <c:pt idx="14">
                  <c:v>Portugal</c:v>
                </c:pt>
                <c:pt idx="15">
                  <c:v>Slovakia</c:v>
                </c:pt>
                <c:pt idx="16">
                  <c:v>Slovenia</c:v>
                </c:pt>
                <c:pt idx="17">
                  <c:v>Spain</c:v>
                </c:pt>
                <c:pt idx="18">
                  <c:v>Switzerland</c:v>
                </c:pt>
                <c:pt idx="19">
                  <c:v>UK (England)</c:v>
                </c:pt>
                <c:pt idx="20">
                  <c:v>UK (N. Ireland)</c:v>
                </c:pt>
                <c:pt idx="21">
                  <c:v>UK (Scotland)</c:v>
                </c:pt>
                <c:pt idx="22">
                  <c:v>Total average (22)</c:v>
                </c:pt>
              </c:strCache>
            </c:strRef>
          </c:cat>
          <c:val>
            <c:numRef>
              <c:f>'2.1 - ISCED 1&amp;2'!$E$91:$E$113</c:f>
              <c:numCache>
                <c:formatCode>0.00</c:formatCode>
                <c:ptCount val="23"/>
                <c:pt idx="0">
                  <c:v>98.423048945235365</c:v>
                </c:pt>
                <c:pt idx="1">
                  <c:v>95.100843524707386</c:v>
                </c:pt>
                <c:pt idx="2">
                  <c:v>99.253884847691538</c:v>
                </c:pt>
                <c:pt idx="3">
                  <c:v>99.28073724432457</c:v>
                </c:pt>
                <c:pt idx="4">
                  <c:v>96.066765823830764</c:v>
                </c:pt>
                <c:pt idx="5">
                  <c:v>95.744554142683654</c:v>
                </c:pt>
                <c:pt idx="6">
                  <c:v>94.812322946175641</c:v>
                </c:pt>
                <c:pt idx="7">
                  <c:v>98.838185455035401</c:v>
                </c:pt>
                <c:pt idx="8">
                  <c:v>98.373594833771833</c:v>
                </c:pt>
                <c:pt idx="9">
                  <c:v>99.965920730476768</c:v>
                </c:pt>
                <c:pt idx="10">
                  <c:v>94.717614165890026</c:v>
                </c:pt>
                <c:pt idx="11">
                  <c:v>99.016086209589261</c:v>
                </c:pt>
                <c:pt idx="12">
                  <c:v>99.781871061560835</c:v>
                </c:pt>
                <c:pt idx="13">
                  <c:v>96.432202561345193</c:v>
                </c:pt>
                <c:pt idx="14">
                  <c:v>98.293441247594131</c:v>
                </c:pt>
                <c:pt idx="15">
                  <c:v>93.296421980115497</c:v>
                </c:pt>
                <c:pt idx="16">
                  <c:v>90.552195340501797</c:v>
                </c:pt>
                <c:pt idx="17">
                  <c:v>99.262835357437012</c:v>
                </c:pt>
                <c:pt idx="18">
                  <c:v>96.135726938103801</c:v>
                </c:pt>
                <c:pt idx="19">
                  <c:v>96.243894630252839</c:v>
                </c:pt>
                <c:pt idx="20">
                  <c:v>97.104247104247094</c:v>
                </c:pt>
                <c:pt idx="21">
                  <c:v>96.529275734079562</c:v>
                </c:pt>
                <c:pt idx="22">
                  <c:v>97.293422080186758</c:v>
                </c:pt>
              </c:numCache>
            </c:numRef>
          </c:val>
          <c:extLst>
            <c:ext xmlns:c16="http://schemas.microsoft.com/office/drawing/2014/chart" uri="{C3380CC4-5D6E-409C-BE32-E72D297353CC}">
              <c16:uniqueId val="{00000006-CD69-4C96-B79F-ED9EE74A04B0}"/>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min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016E-416D-B110-BB1CB675B9FD}"/>
              </c:ext>
            </c:extLst>
          </c:dPt>
          <c:dPt>
            <c:idx val="27"/>
            <c:invertIfNegative val="0"/>
            <c:bubble3D val="0"/>
            <c:extLst>
              <c:ext xmlns:c16="http://schemas.microsoft.com/office/drawing/2014/chart" uri="{C3380CC4-5D6E-409C-BE32-E72D297353CC}">
                <c16:uniqueId val="{00000003-016E-416D-B110-BB1CB675B9FD}"/>
              </c:ext>
            </c:extLst>
          </c:dPt>
          <c:dPt>
            <c:idx val="31"/>
            <c:invertIfNegative val="0"/>
            <c:bubble3D val="0"/>
            <c:spPr>
              <a:solidFill>
                <a:srgbClr val="F9C623"/>
              </a:solidFill>
              <a:ln>
                <a:noFill/>
              </a:ln>
              <a:effectLst/>
            </c:spPr>
            <c:extLst>
              <c:ext xmlns:c16="http://schemas.microsoft.com/office/drawing/2014/chart" uri="{C3380CC4-5D6E-409C-BE32-E72D297353CC}">
                <c16:uniqueId val="{00000005-016E-416D-B110-BB1CB675B9FD}"/>
              </c:ext>
            </c:extLst>
          </c:dPt>
          <c:dLbls>
            <c:dLbl>
              <c:idx val="1"/>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93F-EB40-B1FF-B335BA23B4AA}"/>
                </c:ext>
              </c:extLst>
            </c:dLbl>
            <c:dLbl>
              <c:idx val="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093F-EB40-B1FF-B335BA23B4AA}"/>
                </c:ext>
              </c:extLst>
            </c:dLbl>
            <c:dLbl>
              <c:idx val="5"/>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093F-EB40-B1FF-B335BA23B4AA}"/>
                </c:ext>
              </c:extLst>
            </c:dLbl>
            <c:dLbl>
              <c:idx val="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093F-EB40-B1FF-B335BA23B4AA}"/>
                </c:ext>
              </c:extLst>
            </c:dLbl>
            <c:dLbl>
              <c:idx val="7"/>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2976-7941-8E70-A12FCCD80EF7}"/>
                </c:ext>
              </c:extLst>
            </c:dLbl>
            <c:dLbl>
              <c:idx val="1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093F-EB40-B1FF-B335BA23B4AA}"/>
                </c:ext>
              </c:extLst>
            </c:dLbl>
            <c:dLbl>
              <c:idx val="15"/>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093F-EB40-B1FF-B335BA23B4AA}"/>
                </c:ext>
              </c:extLst>
            </c:dLbl>
            <c:dLbl>
              <c:idx val="1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F-093F-EB40-B1FF-B335BA23B4AA}"/>
                </c:ext>
              </c:extLst>
            </c:dLbl>
            <c:dLbl>
              <c:idx val="1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0-093F-EB40-B1FF-B335BA23B4AA}"/>
                </c:ext>
              </c:extLst>
            </c:dLbl>
            <c:dLbl>
              <c:idx val="2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002060"/>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093F-EB40-B1FF-B335BA23B4AA}"/>
                </c:ext>
              </c:extLst>
            </c:dLbl>
            <c:dLbl>
              <c:idx val="2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093F-EB40-B1FF-B335BA23B4AA}"/>
                </c:ext>
              </c:extLst>
            </c:dLbl>
            <c:dLbl>
              <c:idx val="3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016E-416D-B110-BB1CB675B9F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'3a.1 - ISCED 1 &amp; 2'!$N$3:$N$34</c:f>
              <c:strCache>
                <c:ptCount val="32"/>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Netherlands</c:v>
                </c:pt>
                <c:pt idx="19">
                  <c:v>Norway</c:v>
                </c:pt>
                <c:pt idx="20">
                  <c:v>Poland</c:v>
                </c:pt>
                <c:pt idx="21">
                  <c:v>Portugal</c:v>
                </c:pt>
                <c:pt idx="22">
                  <c:v>Slovakia</c:v>
                </c:pt>
                <c:pt idx="23">
                  <c:v>Slovenia</c:v>
                </c:pt>
                <c:pt idx="24">
                  <c:v>Spain</c:v>
                </c:pt>
                <c:pt idx="25">
                  <c:v>Sweden</c:v>
                </c:pt>
                <c:pt idx="26">
                  <c:v>Switzerland</c:v>
                </c:pt>
                <c:pt idx="27">
                  <c:v>UK (England)</c:v>
                </c:pt>
                <c:pt idx="28">
                  <c:v>UK (N. Ireland)</c:v>
                </c:pt>
                <c:pt idx="29">
                  <c:v>UK (Scotland)</c:v>
                </c:pt>
                <c:pt idx="30">
                  <c:v>UK (Wales)</c:v>
                </c:pt>
                <c:pt idx="31">
                  <c:v>Total average (31)</c:v>
                </c:pt>
              </c:strCache>
            </c:strRef>
          </c:cat>
          <c:val>
            <c:numRef>
              <c:f>'3a.1 - ISCED 1 &amp; 2'!$O$3:$O$34</c:f>
              <c:numCache>
                <c:formatCode>0.00</c:formatCode>
                <c:ptCount val="32"/>
                <c:pt idx="0">
                  <c:v>3.3424953973914691</c:v>
                </c:pt>
                <c:pt idx="1">
                  <c:v>7.4986764746858361</c:v>
                </c:pt>
                <c:pt idx="2">
                  <c:v>2.9638044552103064</c:v>
                </c:pt>
                <c:pt idx="3">
                  <c:v>8.1022288117055155</c:v>
                </c:pt>
                <c:pt idx="4">
                  <c:v>10.191430359565842</c:v>
                </c:pt>
                <c:pt idx="5">
                  <c:v>7.3763922735970944</c:v>
                </c:pt>
                <c:pt idx="6">
                  <c:v>7.445395774702976</c:v>
                </c:pt>
                <c:pt idx="7">
                  <c:v>3.3874860272791358</c:v>
                </c:pt>
                <c:pt idx="8">
                  <c:v>5.4546556194115441</c:v>
                </c:pt>
                <c:pt idx="9">
                  <c:v>6.2479320900998125</c:v>
                </c:pt>
                <c:pt idx="10">
                  <c:v>7.4678743101068212</c:v>
                </c:pt>
                <c:pt idx="11">
                  <c:v>15.336761964650661</c:v>
                </c:pt>
                <c:pt idx="12">
                  <c:v>6.9320067653904678</c:v>
                </c:pt>
                <c:pt idx="13">
                  <c:v>3.5455056130076699</c:v>
                </c:pt>
                <c:pt idx="14">
                  <c:v>6.7085517582738996</c:v>
                </c:pt>
                <c:pt idx="15">
                  <c:v>13.483567262844495</c:v>
                </c:pt>
                <c:pt idx="16">
                  <c:v>1.5030659128563377</c:v>
                </c:pt>
                <c:pt idx="17">
                  <c:v>9.9008609444299491</c:v>
                </c:pt>
                <c:pt idx="18">
                  <c:v>3.1985064340309926</c:v>
                </c:pt>
                <c:pt idx="19">
                  <c:v>7.844900877994518</c:v>
                </c:pt>
                <c:pt idx="20">
                  <c:v>3.7726050721923574</c:v>
                </c:pt>
                <c:pt idx="21">
                  <c:v>7.2079702206743947</c:v>
                </c:pt>
                <c:pt idx="22">
                  <c:v>15.074894594345395</c:v>
                </c:pt>
                <c:pt idx="23">
                  <c:v>7.746576983733358</c:v>
                </c:pt>
                <c:pt idx="24">
                  <c:v>3.6946181538281637</c:v>
                </c:pt>
                <c:pt idx="25">
                  <c:v>1.0230633904923876</c:v>
                </c:pt>
                <c:pt idx="26">
                  <c:v>3.8632632595940102</c:v>
                </c:pt>
                <c:pt idx="27">
                  <c:v>2.8154779613303087</c:v>
                </c:pt>
                <c:pt idx="28">
                  <c:v>5.4422849476601529</c:v>
                </c:pt>
                <c:pt idx="29">
                  <c:v>25.121676408489098</c:v>
                </c:pt>
                <c:pt idx="30">
                  <c:v>2.9106904825379898</c:v>
                </c:pt>
                <c:pt idx="31">
                  <c:v>4.7528896797674687</c:v>
                </c:pt>
              </c:numCache>
            </c:numRef>
          </c:val>
          <c:extLst>
            <c:ext xmlns:c16="http://schemas.microsoft.com/office/drawing/2014/chart" uri="{C3380CC4-5D6E-409C-BE32-E72D297353CC}">
              <c16:uniqueId val="{00000006-016E-416D-B110-BB1CB675B9FD}"/>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28"/>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1997742738151024E-2"/>
          <c:w val="0.82704582651391167"/>
          <c:h val="0.91595210908778912"/>
        </c:manualLayout>
      </c:layout>
      <c:barChart>
        <c:barDir val="bar"/>
        <c:grouping val="clustered"/>
        <c:varyColors val="0"/>
        <c:ser>
          <c:idx val="0"/>
          <c:order val="0"/>
          <c:tx>
            <c:strRef>
              <c:f>Blad1!$B$2</c:f>
              <c:strCache>
                <c:ptCount val="1"/>
                <c:pt idx="0">
                  <c:v>Boys</c:v>
                </c:pt>
              </c:strCache>
            </c:strRef>
          </c:tx>
          <c:spPr>
            <a:solidFill>
              <a:srgbClr val="17255B"/>
            </a:solidFill>
            <a:ln>
              <a:noFill/>
            </a:ln>
            <a:effectLst/>
          </c:spPr>
          <c:invertIfNegative val="0"/>
          <c:dLbls>
            <c:dLbl>
              <c:idx val="2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C509-1C48-8453-9F31EB09A286}"/>
                </c:ext>
              </c:extLst>
            </c:dLbl>
            <c:dLbl>
              <c:idx val="2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509-1C48-8453-9F31EB09A28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Blad1!$A$3:$A$32</c:f>
              <c:strCache>
                <c:ptCount val="30"/>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Blad1!$B$3:$B$32</c:f>
              <c:numCache>
                <c:formatCode>0.00</c:formatCode>
                <c:ptCount val="30"/>
                <c:pt idx="0">
                  <c:v>2.1303502343208103</c:v>
                </c:pt>
                <c:pt idx="1">
                  <c:v>4.9813313271475934</c:v>
                </c:pt>
                <c:pt idx="2">
                  <c:v>1.8861377494977447</c:v>
                </c:pt>
                <c:pt idx="3">
                  <c:v>5.4626546435602652</c:v>
                </c:pt>
                <c:pt idx="4">
                  <c:v>6.8877649310577871</c:v>
                </c:pt>
                <c:pt idx="5">
                  <c:v>5.0767897155754724</c:v>
                </c:pt>
                <c:pt idx="6">
                  <c:v>5.2118701679427986</c:v>
                </c:pt>
                <c:pt idx="7">
                  <c:v>2.3717674177159096</c:v>
                </c:pt>
                <c:pt idx="8">
                  <c:v>3.5759309276966391</c:v>
                </c:pt>
                <c:pt idx="9">
                  <c:v>4.3148212125545227</c:v>
                </c:pt>
                <c:pt idx="10">
                  <c:v>4.9165368987238107</c:v>
                </c:pt>
                <c:pt idx="11">
                  <c:v>10.137669279313675</c:v>
                </c:pt>
                <c:pt idx="12">
                  <c:v>5.0557508469993166</c:v>
                </c:pt>
                <c:pt idx="13">
                  <c:v>2.50893481126317</c:v>
                </c:pt>
                <c:pt idx="14">
                  <c:v>8.8821125024330101</c:v>
                </c:pt>
                <c:pt idx="15">
                  <c:v>6.717975476128359</c:v>
                </c:pt>
                <c:pt idx="16">
                  <c:v>2.3238152946050845</c:v>
                </c:pt>
                <c:pt idx="17">
                  <c:v>5.3164355806285011</c:v>
                </c:pt>
                <c:pt idx="18">
                  <c:v>2.472215187088965</c:v>
                </c:pt>
                <c:pt idx="19">
                  <c:v>4.4954573448221362</c:v>
                </c:pt>
                <c:pt idx="20">
                  <c:v>8.9894468613004079</c:v>
                </c:pt>
                <c:pt idx="21">
                  <c:v>5.1825887309344818</c:v>
                </c:pt>
                <c:pt idx="22">
                  <c:v>2.4896572151485574</c:v>
                </c:pt>
                <c:pt idx="23">
                  <c:v>0.54884296402265464</c:v>
                </c:pt>
                <c:pt idx="24">
                  <c:v>2.5062118550209331</c:v>
                </c:pt>
                <c:pt idx="25">
                  <c:v>2.0740783694791669</c:v>
                </c:pt>
                <c:pt idx="26">
                  <c:v>3.9626471782379213</c:v>
                </c:pt>
                <c:pt idx="27">
                  <c:v>15.277864971402327</c:v>
                </c:pt>
                <c:pt idx="28">
                  <c:v>2.1359637430018661</c:v>
                </c:pt>
                <c:pt idx="29">
                  <c:v>3.1801718782589083</c:v>
                </c:pt>
              </c:numCache>
            </c:numRef>
          </c:val>
          <c:extLst>
            <c:ext xmlns:c16="http://schemas.microsoft.com/office/drawing/2014/chart" uri="{C3380CC4-5D6E-409C-BE32-E72D297353CC}">
              <c16:uniqueId val="{00000000-F033-4A39-8FBF-A74CD79A1EAB}"/>
            </c:ext>
          </c:extLst>
        </c:ser>
        <c:ser>
          <c:idx val="1"/>
          <c:order val="1"/>
          <c:tx>
            <c:strRef>
              <c:f>Blad1!$C$2</c:f>
              <c:strCache>
                <c:ptCount val="1"/>
                <c:pt idx="0">
                  <c:v>Girls</c:v>
                </c:pt>
              </c:strCache>
            </c:strRef>
          </c:tx>
          <c:spPr>
            <a:solidFill>
              <a:srgbClr val="F9C623"/>
            </a:solidFill>
            <a:ln>
              <a:noFill/>
            </a:ln>
            <a:effectLst/>
          </c:spPr>
          <c:invertIfNegative val="0"/>
          <c:dLbls>
            <c:dLbl>
              <c:idx val="27"/>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09-1C48-8453-9F31EB09A286}"/>
                </c:ext>
              </c:extLst>
            </c:dLbl>
            <c:dLbl>
              <c:idx val="2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C509-1C48-8453-9F31EB09A28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Blad1!$A$3:$A$32</c:f>
              <c:strCache>
                <c:ptCount val="30"/>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Blad1!$C$3:$C$32</c:f>
              <c:numCache>
                <c:formatCode>0.00</c:formatCode>
                <c:ptCount val="30"/>
                <c:pt idx="0">
                  <c:v>1.2121451630706588</c:v>
                </c:pt>
                <c:pt idx="1">
                  <c:v>2.5173451475382431</c:v>
                </c:pt>
                <c:pt idx="2">
                  <c:v>1.077666705712562</c:v>
                </c:pt>
                <c:pt idx="3">
                  <c:v>2.6395741681452494</c:v>
                </c:pt>
                <c:pt idx="4">
                  <c:v>3.3036654285080553</c:v>
                </c:pt>
                <c:pt idx="5">
                  <c:v>2.2996025580216224</c:v>
                </c:pt>
                <c:pt idx="6">
                  <c:v>2.2335256067601774</c:v>
                </c:pt>
                <c:pt idx="7">
                  <c:v>1.0157186095632265</c:v>
                </c:pt>
                <c:pt idx="8">
                  <c:v>1.8787246917149054</c:v>
                </c:pt>
                <c:pt idx="9">
                  <c:v>1.9331108775452905</c:v>
                </c:pt>
                <c:pt idx="10">
                  <c:v>2.5513374113830101</c:v>
                </c:pt>
                <c:pt idx="11">
                  <c:v>5.1990926853369865</c:v>
                </c:pt>
                <c:pt idx="12">
                  <c:v>1.876255918391152</c:v>
                </c:pt>
                <c:pt idx="13">
                  <c:v>1.0365708017444999</c:v>
                </c:pt>
                <c:pt idx="14">
                  <c:v>4.6014547604114853</c:v>
                </c:pt>
                <c:pt idx="15">
                  <c:v>3.182885468301591</c:v>
                </c:pt>
                <c:pt idx="16">
                  <c:v>0.87469113942590815</c:v>
                </c:pt>
                <c:pt idx="17">
                  <c:v>2.5286242104008578</c:v>
                </c:pt>
                <c:pt idx="18">
                  <c:v>1.3003898851033928</c:v>
                </c:pt>
                <c:pt idx="19">
                  <c:v>2.7125128758522585</c:v>
                </c:pt>
                <c:pt idx="20">
                  <c:v>6.0854477330449877</c:v>
                </c:pt>
                <c:pt idx="21">
                  <c:v>2.5639882527988767</c:v>
                </c:pt>
                <c:pt idx="22">
                  <c:v>1.2049609386796061</c:v>
                </c:pt>
                <c:pt idx="23">
                  <c:v>0.474220426469733</c:v>
                </c:pt>
                <c:pt idx="24">
                  <c:v>1.3570514045730775</c:v>
                </c:pt>
                <c:pt idx="25">
                  <c:v>0.74139959185114168</c:v>
                </c:pt>
                <c:pt idx="26">
                  <c:v>1.4796377694222316</c:v>
                </c:pt>
                <c:pt idx="27">
                  <c:v>9.8438114370867709</c:v>
                </c:pt>
                <c:pt idx="28">
                  <c:v>0.7747267395361237</c:v>
                </c:pt>
                <c:pt idx="29">
                  <c:v>1.5455905457001475</c:v>
                </c:pt>
              </c:numCache>
            </c:numRef>
          </c:val>
          <c:extLst>
            <c:ext xmlns:c16="http://schemas.microsoft.com/office/drawing/2014/chart" uri="{C3380CC4-5D6E-409C-BE32-E72D297353CC}">
              <c16:uniqueId val="{00000001-F033-4A39-8FBF-A74CD79A1EAB}"/>
            </c:ext>
          </c:extLst>
        </c:ser>
        <c:dLbls>
          <c:showLegendKey val="0"/>
          <c:showVal val="0"/>
          <c:showCatName val="0"/>
          <c:showSerName val="0"/>
          <c:showPercent val="0"/>
          <c:showBubbleSize val="0"/>
        </c:dLbls>
        <c:gapWidth val="3"/>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6"/>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7"/>
            <c:invertIfNegative val="0"/>
            <c:bubble3D val="0"/>
            <c:spPr>
              <a:solidFill>
                <a:srgbClr val="F9C623"/>
              </a:solidFill>
              <a:ln>
                <a:noFill/>
              </a:ln>
              <a:effectLst/>
            </c:spPr>
            <c:extLst>
              <c:ext xmlns:c16="http://schemas.microsoft.com/office/drawing/2014/chart" uri="{C3380CC4-5D6E-409C-BE32-E72D297353CC}">
                <c16:uniqueId val="{00000001-0982-484C-9942-697C5DDEFC9D}"/>
              </c:ext>
            </c:extLst>
          </c:dPt>
          <c:dPt>
            <c:idx val="22"/>
            <c:invertIfNegative val="0"/>
            <c:bubble3D val="0"/>
            <c:extLst>
              <c:ext xmlns:c16="http://schemas.microsoft.com/office/drawing/2014/chart" uri="{C3380CC4-5D6E-409C-BE32-E72D297353CC}">
                <c16:uniqueId val="{00000003-0982-484C-9942-697C5DDEFC9D}"/>
              </c:ext>
            </c:extLst>
          </c:dPt>
          <c:dPt>
            <c:idx val="25"/>
            <c:invertIfNegative val="0"/>
            <c:bubble3D val="0"/>
            <c:extLst>
              <c:ext xmlns:c16="http://schemas.microsoft.com/office/drawing/2014/chart" uri="{C3380CC4-5D6E-409C-BE32-E72D297353CC}">
                <c16:uniqueId val="{00000005-0982-484C-9942-697C5DDEFC9D}"/>
              </c:ext>
            </c:extLst>
          </c:dPt>
          <c:dLbls>
            <c:dLbl>
              <c:idx val="17"/>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0982-484C-9942-697C5DDEFC9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'2.1 - ISCED02'!$D$32:$D$49</c:f>
              <c:strCache>
                <c:ptCount val="18"/>
                <c:pt idx="0">
                  <c:v>Belgium (Fl)</c:v>
                </c:pt>
                <c:pt idx="1">
                  <c:v>Czech Republic</c:v>
                </c:pt>
                <c:pt idx="2">
                  <c:v>Bulgaria</c:v>
                </c:pt>
                <c:pt idx="3">
                  <c:v>Cyprus</c:v>
                </c:pt>
                <c:pt idx="4">
                  <c:v>Estonia</c:v>
                </c:pt>
                <c:pt idx="5">
                  <c:v>Italy</c:v>
                </c:pt>
                <c:pt idx="6">
                  <c:v>Lithuania</c:v>
                </c:pt>
                <c:pt idx="7">
                  <c:v>Luxembourg</c:v>
                </c:pt>
                <c:pt idx="8">
                  <c:v>Malta</c:v>
                </c:pt>
                <c:pt idx="9">
                  <c:v>Netherlands</c:v>
                </c:pt>
                <c:pt idx="10">
                  <c:v>Portugal</c:v>
                </c:pt>
                <c:pt idx="11">
                  <c:v>Slovakia</c:v>
                </c:pt>
                <c:pt idx="12">
                  <c:v>Slovenia</c:v>
                </c:pt>
                <c:pt idx="13">
                  <c:v>Spain</c:v>
                </c:pt>
                <c:pt idx="14">
                  <c:v>Switzerland</c:v>
                </c:pt>
                <c:pt idx="15">
                  <c:v>UK (England)</c:v>
                </c:pt>
                <c:pt idx="16">
                  <c:v>UK (N. Ireland)</c:v>
                </c:pt>
                <c:pt idx="17">
                  <c:v>Total average (17)</c:v>
                </c:pt>
              </c:strCache>
            </c:strRef>
          </c:cat>
          <c:val>
            <c:numRef>
              <c:f>'2.1 - ISCED02'!$E$32:$E$49</c:f>
              <c:numCache>
                <c:formatCode>0.00</c:formatCode>
                <c:ptCount val="18"/>
                <c:pt idx="0">
                  <c:v>99.365497426074469</c:v>
                </c:pt>
                <c:pt idx="1">
                  <c:v>98.111655078783883</c:v>
                </c:pt>
                <c:pt idx="2">
                  <c:v>99.972604348081333</c:v>
                </c:pt>
                <c:pt idx="3">
                  <c:v>98.967320261437905</c:v>
                </c:pt>
                <c:pt idx="4">
                  <c:v>97.633495145631059</c:v>
                </c:pt>
                <c:pt idx="5">
                  <c:v>99.982790134593017</c:v>
                </c:pt>
                <c:pt idx="6">
                  <c:v>97.484052458496777</c:v>
                </c:pt>
                <c:pt idx="7">
                  <c:v>99.386205782587624</c:v>
                </c:pt>
                <c:pt idx="8">
                  <c:v>100</c:v>
                </c:pt>
                <c:pt idx="9">
                  <c:v>99.162803731770254</c:v>
                </c:pt>
                <c:pt idx="10">
                  <c:v>100</c:v>
                </c:pt>
                <c:pt idx="11">
                  <c:v>99.217804473530862</c:v>
                </c:pt>
                <c:pt idx="12">
                  <c:v>99.844976746511975</c:v>
                </c:pt>
                <c:pt idx="13">
                  <c:v>99.841999393169786</c:v>
                </c:pt>
                <c:pt idx="14">
                  <c:v>99.271779634184952</c:v>
                </c:pt>
                <c:pt idx="15">
                  <c:v>99.480076405274815</c:v>
                </c:pt>
                <c:pt idx="16">
                  <c:v>97.903687159594057</c:v>
                </c:pt>
                <c:pt idx="17">
                  <c:v>99.547706477520464</c:v>
                </c:pt>
              </c:numCache>
            </c:numRef>
          </c:val>
          <c:extLst>
            <c:ext xmlns:c16="http://schemas.microsoft.com/office/drawing/2014/chart" uri="{C3380CC4-5D6E-409C-BE32-E72D297353CC}">
              <c16:uniqueId val="{00000006-0982-484C-9942-697C5DDEFC9D}"/>
            </c:ext>
          </c:extLst>
        </c:ser>
        <c:dLbls>
          <c:showLegendKey val="0"/>
          <c:showVal val="0"/>
          <c:showCatName val="0"/>
          <c:showSerName val="0"/>
          <c:showPercent val="0"/>
          <c:showBubbleSize val="0"/>
        </c:dLbls>
        <c:gapWidth val="20"/>
        <c:overlap val="-66"/>
        <c:axId val="643091152"/>
        <c:axId val="636381088"/>
      </c:barChart>
      <c:catAx>
        <c:axId val="643091152"/>
        <c:scaling>
          <c:orientation val="maxMin"/>
        </c:scaling>
        <c:delete val="1"/>
        <c:axPos val="l"/>
        <c:numFmt formatCode="General" sourceLinked="1"/>
        <c:majorTickMark val="none"/>
        <c:minorTickMark val="none"/>
        <c:tickLblPos val="nextTo"/>
        <c:crossAx val="636381088"/>
        <c:crosses val="autoZero"/>
        <c:auto val="1"/>
        <c:lblAlgn val="ctr"/>
        <c:lblOffset val="100"/>
        <c:noMultiLvlLbl val="0"/>
      </c:catAx>
      <c:valAx>
        <c:axId val="636381088"/>
        <c:scaling>
          <c:orientation val="minMax"/>
          <c:max val="100"/>
          <c:min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43091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Blad1!$E$2</c:f>
              <c:strCache>
                <c:ptCount val="1"/>
                <c:pt idx="0">
                  <c:v>Boys</c:v>
                </c:pt>
              </c:strCache>
            </c:strRef>
          </c:tx>
          <c:spPr>
            <a:solidFill>
              <a:srgbClr val="17255B"/>
            </a:solidFill>
            <a:ln>
              <a:noFill/>
            </a:ln>
            <a:effectLst/>
          </c:spPr>
          <c:invertIfNegative val="0"/>
          <c:dLbls>
            <c:dLbl>
              <c:idx val="2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6B1-2548-A5F3-EA62038B152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Blad1!$D$3:$D$32</c:f>
              <c:strCache>
                <c:ptCount val="30"/>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Blad1!$E$3:$E$32</c:f>
              <c:numCache>
                <c:formatCode>0.00</c:formatCode>
                <c:ptCount val="30"/>
                <c:pt idx="0">
                  <c:v>63.735322896281801</c:v>
                </c:pt>
                <c:pt idx="1">
                  <c:v>66.429473840665878</c:v>
                </c:pt>
                <c:pt idx="2">
                  <c:v>63.639075316927659</c:v>
                </c:pt>
                <c:pt idx="3">
                  <c:v>67.421628918554077</c:v>
                </c:pt>
                <c:pt idx="4">
                  <c:v>67.583888502881422</c:v>
                </c:pt>
                <c:pt idx="5">
                  <c:v>68.824833702882486</c:v>
                </c:pt>
                <c:pt idx="6">
                  <c:v>70.001250781738591</c:v>
                </c:pt>
                <c:pt idx="7">
                  <c:v>70.015563123102766</c:v>
                </c:pt>
                <c:pt idx="8">
                  <c:v>65.557409618508871</c:v>
                </c:pt>
                <c:pt idx="9">
                  <c:v>69.059988974457497</c:v>
                </c:pt>
                <c:pt idx="10">
                  <c:v>65.835828169602451</c:v>
                </c:pt>
                <c:pt idx="11">
                  <c:v>66.10045394640504</c:v>
                </c:pt>
                <c:pt idx="12">
                  <c:v>72.933437864504654</c:v>
                </c:pt>
                <c:pt idx="13">
                  <c:v>70.763808751520443</c:v>
                </c:pt>
                <c:pt idx="14">
                  <c:v>65.873609923011117</c:v>
                </c:pt>
                <c:pt idx="15">
                  <c:v>67.852437417654812</c:v>
                </c:pt>
                <c:pt idx="16">
                  <c:v>72.653138035943925</c:v>
                </c:pt>
                <c:pt idx="17">
                  <c:v>67.769314913098086</c:v>
                </c:pt>
                <c:pt idx="18">
                  <c:v>65.53071789336002</c:v>
                </c:pt>
                <c:pt idx="19">
                  <c:v>62.367867890574203</c:v>
                </c:pt>
                <c:pt idx="20">
                  <c:v>59.631905251744556</c:v>
                </c:pt>
                <c:pt idx="21">
                  <c:v>66.901661750953167</c:v>
                </c:pt>
                <c:pt idx="22">
                  <c:v>67.386049423508339</c:v>
                </c:pt>
                <c:pt idx="23">
                  <c:v>53.647014361300073</c:v>
                </c:pt>
                <c:pt idx="24">
                  <c:v>64.872924432395791</c:v>
                </c:pt>
                <c:pt idx="25">
                  <c:v>73.667007803505186</c:v>
                </c:pt>
                <c:pt idx="26">
                  <c:v>72.81219591307169</c:v>
                </c:pt>
                <c:pt idx="27">
                  <c:v>60.815467578587402</c:v>
                </c:pt>
                <c:pt idx="28">
                  <c:v>73.383403553764424</c:v>
                </c:pt>
                <c:pt idx="29">
                  <c:v>67.290000000000006</c:v>
                </c:pt>
              </c:numCache>
            </c:numRef>
          </c:val>
          <c:extLst>
            <c:ext xmlns:c16="http://schemas.microsoft.com/office/drawing/2014/chart" uri="{C3380CC4-5D6E-409C-BE32-E72D297353CC}">
              <c16:uniqueId val="{00000000-12DE-4A9F-B69E-1C32B804E0AE}"/>
            </c:ext>
          </c:extLst>
        </c:ser>
        <c:ser>
          <c:idx val="1"/>
          <c:order val="1"/>
          <c:tx>
            <c:strRef>
              <c:f>Blad1!$F$2</c:f>
              <c:strCache>
                <c:ptCount val="1"/>
                <c:pt idx="0">
                  <c:v>Girls</c:v>
                </c:pt>
              </c:strCache>
            </c:strRef>
          </c:tx>
          <c:spPr>
            <a:solidFill>
              <a:srgbClr val="F9C623"/>
            </a:solidFill>
            <a:ln>
              <a:noFill/>
            </a:ln>
            <a:effectLst/>
          </c:spPr>
          <c:invertIfNegative val="0"/>
          <c:dLbls>
            <c:dLbl>
              <c:idx val="2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46B1-2548-A5F3-EA62038B152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Blad1!$D$3:$D$32</c:f>
              <c:strCache>
                <c:ptCount val="30"/>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Blad1!$F$3:$F$32</c:f>
              <c:numCache>
                <c:formatCode>0.00</c:formatCode>
                <c:ptCount val="30"/>
                <c:pt idx="0">
                  <c:v>36.264677103718199</c:v>
                </c:pt>
                <c:pt idx="1">
                  <c:v>33.570526159334122</c:v>
                </c:pt>
                <c:pt idx="2">
                  <c:v>36.360924683072334</c:v>
                </c:pt>
                <c:pt idx="3">
                  <c:v>32.57837108144593</c:v>
                </c:pt>
                <c:pt idx="4">
                  <c:v>32.416111497118564</c:v>
                </c:pt>
                <c:pt idx="5">
                  <c:v>31.175166297117517</c:v>
                </c:pt>
                <c:pt idx="6">
                  <c:v>29.998749218261413</c:v>
                </c:pt>
                <c:pt idx="7">
                  <c:v>29.984436876897234</c:v>
                </c:pt>
                <c:pt idx="8">
                  <c:v>34.442590381491122</c:v>
                </c:pt>
                <c:pt idx="9">
                  <c:v>30.940011025542507</c:v>
                </c:pt>
                <c:pt idx="10">
                  <c:v>34.164171830397549</c:v>
                </c:pt>
                <c:pt idx="11">
                  <c:v>33.899546053594968</c:v>
                </c:pt>
                <c:pt idx="12">
                  <c:v>27.066562135495342</c:v>
                </c:pt>
                <c:pt idx="13">
                  <c:v>29.236191248479553</c:v>
                </c:pt>
                <c:pt idx="14">
                  <c:v>34.126390076988876</c:v>
                </c:pt>
                <c:pt idx="15">
                  <c:v>32.147562582345188</c:v>
                </c:pt>
                <c:pt idx="16">
                  <c:v>27.346861964056078</c:v>
                </c:pt>
                <c:pt idx="17">
                  <c:v>32.232710772596526</c:v>
                </c:pt>
                <c:pt idx="18">
                  <c:v>34.46928210663998</c:v>
                </c:pt>
                <c:pt idx="19">
                  <c:v>37.632132109425804</c:v>
                </c:pt>
                <c:pt idx="20">
                  <c:v>40.368094748255437</c:v>
                </c:pt>
                <c:pt idx="21">
                  <c:v>33.098338249046833</c:v>
                </c:pt>
                <c:pt idx="22">
                  <c:v>32.613950576491661</c:v>
                </c:pt>
                <c:pt idx="23">
                  <c:v>46.35298563869992</c:v>
                </c:pt>
                <c:pt idx="24">
                  <c:v>35.127075567604201</c:v>
                </c:pt>
                <c:pt idx="25">
                  <c:v>26.332992196494821</c:v>
                </c:pt>
                <c:pt idx="26">
                  <c:v>27.18780408692832</c:v>
                </c:pt>
                <c:pt idx="27">
                  <c:v>39.184532421412598</c:v>
                </c:pt>
                <c:pt idx="28">
                  <c:v>26.616596446235576</c:v>
                </c:pt>
                <c:pt idx="29">
                  <c:v>32.71</c:v>
                </c:pt>
              </c:numCache>
            </c:numRef>
          </c:val>
          <c:extLst>
            <c:ext xmlns:c16="http://schemas.microsoft.com/office/drawing/2014/chart" uri="{C3380CC4-5D6E-409C-BE32-E72D297353CC}">
              <c16:uniqueId val="{00000001-12DE-4A9F-B69E-1C32B804E0AE}"/>
            </c:ext>
          </c:extLst>
        </c:ser>
        <c:dLbls>
          <c:showLegendKey val="0"/>
          <c:showVal val="0"/>
          <c:showCatName val="0"/>
          <c:showSerName val="0"/>
          <c:showPercent val="0"/>
          <c:showBubbleSize val="0"/>
        </c:dLbls>
        <c:gapWidth val="1"/>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266999233791424E-2"/>
          <c:y val="4.1962568749258099E-2"/>
          <c:w val="0.8456728778467909"/>
          <c:h val="0.92104762658436534"/>
        </c:manualLayout>
      </c:layout>
      <c:barChart>
        <c:barDir val="bar"/>
        <c:grouping val="clustered"/>
        <c:varyColors val="0"/>
        <c:ser>
          <c:idx val="0"/>
          <c:order val="0"/>
          <c:tx>
            <c:strRef>
              <c:f>'3a.1 - ISCED 1 &amp; 2'!$W$2</c:f>
              <c:strCache>
                <c:ptCount val="1"/>
                <c:pt idx="0">
                  <c:v>ISCED 1</c:v>
                </c:pt>
              </c:strCache>
            </c:strRef>
          </c:tx>
          <c:spPr>
            <a:solidFill>
              <a:srgbClr val="17255B"/>
            </a:solidFill>
            <a:ln>
              <a:noFill/>
            </a:ln>
            <a:effectLst/>
          </c:spPr>
          <c:invertIfNegative val="0"/>
          <c:dLbls>
            <c:dLbl>
              <c:idx val="4"/>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57-B24D-9492-B47761A0BEC7}"/>
                </c:ext>
              </c:extLst>
            </c:dLbl>
            <c:dLbl>
              <c:idx val="29"/>
              <c:spPr>
                <a:noFill/>
                <a:ln>
                  <a:noFill/>
                </a:ln>
                <a:effectLst/>
              </c:spPr>
              <c:txPr>
                <a:bodyPr rot="0" spcFirstLastPara="1" vertOverflow="ellipsis" vert="horz" wrap="none" lIns="38100" tIns="19050" rIns="38100" bIns="19050" anchor="ctr" anchorCtr="1">
                  <a:spAutoFit/>
                </a:bodyPr>
                <a:lstStyle/>
                <a:p>
                  <a:pPr>
                    <a:defRPr sz="95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1591-D14A-9FE2-CA3B9B7DE3D8}"/>
                </c:ext>
              </c:extLst>
            </c:dLbl>
            <c:dLbl>
              <c:idx val="31"/>
              <c:spPr>
                <a:noFill/>
                <a:ln>
                  <a:noFill/>
                </a:ln>
                <a:effectLst/>
              </c:spPr>
              <c:txPr>
                <a:bodyPr rot="0" spcFirstLastPara="1" vertOverflow="ellipsis" vert="horz" wrap="none" lIns="38100" tIns="19050" rIns="38100" bIns="19050" anchor="ctr" anchorCtr="1">
                  <a:spAutoFit/>
                </a:bodyPr>
                <a:lstStyle/>
                <a:p>
                  <a:pPr>
                    <a:defRPr sz="95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591-D14A-9FE2-CA3B9B7DE3D8}"/>
                </c:ext>
              </c:extLst>
            </c:dLbl>
            <c:spPr>
              <a:noFill/>
              <a:ln>
                <a:noFill/>
              </a:ln>
              <a:effectLst/>
            </c:spPr>
            <c:txPr>
              <a:bodyPr rot="0" spcFirstLastPara="1" vertOverflow="ellipsis" vert="horz" wrap="none" lIns="38100" tIns="19050" rIns="38100" bIns="19050" anchor="ctr" anchorCtr="1">
                <a:spAutoFit/>
              </a:bodyPr>
              <a:lstStyle/>
              <a:p>
                <a:pPr>
                  <a:defRPr sz="95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'3a.1 - ISCED 1 &amp; 2'!$V$3:$V$34</c:f>
              <c:strCache>
                <c:ptCount val="32"/>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Netherlands</c:v>
                </c:pt>
                <c:pt idx="19">
                  <c:v>Norway</c:v>
                </c:pt>
                <c:pt idx="20">
                  <c:v>Poland</c:v>
                </c:pt>
                <c:pt idx="21">
                  <c:v>Portugal</c:v>
                </c:pt>
                <c:pt idx="22">
                  <c:v>Slovakia</c:v>
                </c:pt>
                <c:pt idx="23">
                  <c:v>Slovenia</c:v>
                </c:pt>
                <c:pt idx="24">
                  <c:v>Spain</c:v>
                </c:pt>
                <c:pt idx="25">
                  <c:v>Sweden</c:v>
                </c:pt>
                <c:pt idx="26">
                  <c:v>Switzerland</c:v>
                </c:pt>
                <c:pt idx="27">
                  <c:v>UK (England)</c:v>
                </c:pt>
                <c:pt idx="28">
                  <c:v>UK (N. Ireland)</c:v>
                </c:pt>
                <c:pt idx="29">
                  <c:v>UK (Scotland)</c:v>
                </c:pt>
                <c:pt idx="30">
                  <c:v>UK (Wales)</c:v>
                </c:pt>
                <c:pt idx="31">
                  <c:v>Total average (31)</c:v>
                </c:pt>
              </c:strCache>
            </c:strRef>
          </c:cat>
          <c:val>
            <c:numRef>
              <c:f>'3a.1 - ISCED 1 &amp; 2'!$W$3:$W$34</c:f>
              <c:numCache>
                <c:formatCode>0.00</c:formatCode>
                <c:ptCount val="32"/>
                <c:pt idx="0">
                  <c:v>1.3048105605847733</c:v>
                </c:pt>
                <c:pt idx="1">
                  <c:v>4.313299339630527</c:v>
                </c:pt>
                <c:pt idx="2">
                  <c:v>1.5749493324257002</c:v>
                </c:pt>
                <c:pt idx="3">
                  <c:v>5.1503293391342391</c:v>
                </c:pt>
                <c:pt idx="4">
                  <c:v>4.9544047310363357</c:v>
                </c:pt>
                <c:pt idx="5">
                  <c:v>4.6360052992263787</c:v>
                </c:pt>
                <c:pt idx="6">
                  <c:v>4.46034616666884</c:v>
                </c:pt>
                <c:pt idx="7">
                  <c:v>2.2079835096447336</c:v>
                </c:pt>
                <c:pt idx="8">
                  <c:v>2.208183157873945</c:v>
                </c:pt>
                <c:pt idx="9">
                  <c:v>3.1429099262806433</c:v>
                </c:pt>
                <c:pt idx="10">
                  <c:v>3.285490340845576</c:v>
                </c:pt>
                <c:pt idx="11">
                  <c:v>10.283648123610394</c:v>
                </c:pt>
                <c:pt idx="12">
                  <c:v>5.1089036992264338</c:v>
                </c:pt>
                <c:pt idx="13">
                  <c:v>2.0091161613927691</c:v>
                </c:pt>
                <c:pt idx="14">
                  <c:v>4.3534996737687583</c:v>
                </c:pt>
                <c:pt idx="15">
                  <c:v>7.5949595219043085</c:v>
                </c:pt>
                <c:pt idx="16">
                  <c:v>0.96332860778519813</c:v>
                </c:pt>
                <c:pt idx="17">
                  <c:v>6.1727106704930863</c:v>
                </c:pt>
                <c:pt idx="18">
                  <c:v>1.3054155811193517</c:v>
                </c:pt>
                <c:pt idx="19">
                  <c:v>4.8598784315283456</c:v>
                </c:pt>
                <c:pt idx="20">
                  <c:v>2.3442748481897513</c:v>
                </c:pt>
                <c:pt idx="21">
                  <c:v>4.2703683720017658</c:v>
                </c:pt>
                <c:pt idx="22">
                  <c:v>6.8046370105866671</c:v>
                </c:pt>
                <c:pt idx="23">
                  <c:v>4.5250129564718273</c:v>
                </c:pt>
                <c:pt idx="24">
                  <c:v>2.3319855641130585</c:v>
                </c:pt>
                <c:pt idx="25">
                  <c:v>0.60413323796082985</c:v>
                </c:pt>
                <c:pt idx="26">
                  <c:v>2.3102340475111998</c:v>
                </c:pt>
                <c:pt idx="27">
                  <c:v>1.7151112324496349</c:v>
                </c:pt>
                <c:pt idx="28">
                  <c:v>2.8268813218238629</c:v>
                </c:pt>
                <c:pt idx="29">
                  <c:v>15.166348914742258</c:v>
                </c:pt>
                <c:pt idx="30">
                  <c:v>1.3103172487336712</c:v>
                </c:pt>
                <c:pt idx="31">
                  <c:v>2.6115311300194581</c:v>
                </c:pt>
              </c:numCache>
            </c:numRef>
          </c:val>
          <c:extLst>
            <c:ext xmlns:c16="http://schemas.microsoft.com/office/drawing/2014/chart" uri="{C3380CC4-5D6E-409C-BE32-E72D297353CC}">
              <c16:uniqueId val="{00000000-6771-425D-BF01-548A70FF9881}"/>
            </c:ext>
          </c:extLst>
        </c:ser>
        <c:ser>
          <c:idx val="1"/>
          <c:order val="1"/>
          <c:tx>
            <c:strRef>
              <c:f>'3a.1 - ISCED 1 &amp; 2'!$X$2</c:f>
              <c:strCache>
                <c:ptCount val="1"/>
                <c:pt idx="0">
                  <c:v>ISCED 2</c:v>
                </c:pt>
              </c:strCache>
            </c:strRef>
          </c:tx>
          <c:spPr>
            <a:solidFill>
              <a:schemeClr val="accent4"/>
            </a:solidFill>
            <a:ln>
              <a:noFill/>
            </a:ln>
            <a:effectLst/>
          </c:spPr>
          <c:invertIfNegative val="0"/>
          <c:dLbls>
            <c:dLbl>
              <c:idx val="29"/>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91-D14A-9FE2-CA3B9B7DE3D8}"/>
                </c:ext>
              </c:extLst>
            </c:dLbl>
            <c:dLbl>
              <c:idx val="31"/>
              <c:spPr>
                <a:noFill/>
                <a:ln>
                  <a:noFill/>
                </a:ln>
                <a:effectLst/>
              </c:spPr>
              <c:txPr>
                <a:bodyPr rot="0" spcFirstLastPara="1" vertOverflow="ellipsis" vert="horz" wrap="square" lIns="38100" tIns="19050" rIns="38100" bIns="19050" anchor="ctr" anchorCtr="1">
                  <a:spAutoFit/>
                </a:bodyPr>
                <a:lstStyle/>
                <a:p>
                  <a:pPr>
                    <a:defRPr sz="95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1591-D14A-9FE2-CA3B9B7DE3D8}"/>
                </c:ext>
              </c:extLst>
            </c:dLbl>
            <c:spPr>
              <a:noFill/>
              <a:ln>
                <a:noFill/>
              </a:ln>
              <a:effectLst/>
            </c:spPr>
            <c:txPr>
              <a:bodyPr rot="0" spcFirstLastPara="1" vertOverflow="ellipsis" vert="horz" wrap="square" lIns="38100" tIns="19050" rIns="38100" bIns="19050" anchor="ctr" anchorCtr="1">
                <a:spAutoFit/>
              </a:bodyPr>
              <a:lstStyle/>
              <a:p>
                <a:pPr>
                  <a:defRPr sz="95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'3a.1 - ISCED 1 &amp; 2'!$V$3:$V$34</c:f>
              <c:strCache>
                <c:ptCount val="32"/>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Netherlands</c:v>
                </c:pt>
                <c:pt idx="19">
                  <c:v>Norway</c:v>
                </c:pt>
                <c:pt idx="20">
                  <c:v>Poland</c:v>
                </c:pt>
                <c:pt idx="21">
                  <c:v>Portugal</c:v>
                </c:pt>
                <c:pt idx="22">
                  <c:v>Slovakia</c:v>
                </c:pt>
                <c:pt idx="23">
                  <c:v>Slovenia</c:v>
                </c:pt>
                <c:pt idx="24">
                  <c:v>Spain</c:v>
                </c:pt>
                <c:pt idx="25">
                  <c:v>Sweden</c:v>
                </c:pt>
                <c:pt idx="26">
                  <c:v>Switzerland</c:v>
                </c:pt>
                <c:pt idx="27">
                  <c:v>UK (England)</c:v>
                </c:pt>
                <c:pt idx="28">
                  <c:v>UK (N. Ireland)</c:v>
                </c:pt>
                <c:pt idx="29">
                  <c:v>UK (Scotland)</c:v>
                </c:pt>
                <c:pt idx="30">
                  <c:v>UK (Wales)</c:v>
                </c:pt>
                <c:pt idx="31">
                  <c:v>Total average (31)</c:v>
                </c:pt>
              </c:strCache>
            </c:strRef>
          </c:cat>
          <c:val>
            <c:numRef>
              <c:f>'3a.1 - ISCED 1 &amp; 2'!$X$3:$X$34</c:f>
              <c:numCache>
                <c:formatCode>0.00</c:formatCode>
                <c:ptCount val="32"/>
                <c:pt idx="0">
                  <c:v>2.037684836806696</c:v>
                </c:pt>
                <c:pt idx="1">
                  <c:v>3.1853771350553095</c:v>
                </c:pt>
                <c:pt idx="2">
                  <c:v>1.3888551227846058</c:v>
                </c:pt>
                <c:pt idx="3">
                  <c:v>2.9518994725712755</c:v>
                </c:pt>
                <c:pt idx="4">
                  <c:v>5.2370256285295067</c:v>
                </c:pt>
                <c:pt idx="5">
                  <c:v>2.740386974370717</c:v>
                </c:pt>
                <c:pt idx="6">
                  <c:v>2.9850496080341364</c:v>
                </c:pt>
                <c:pt idx="7">
                  <c:v>1.1795025176344023</c:v>
                </c:pt>
                <c:pt idx="8">
                  <c:v>3.2464724615375995</c:v>
                </c:pt>
                <c:pt idx="9">
                  <c:v>3.1050221638191702</c:v>
                </c:pt>
                <c:pt idx="10">
                  <c:v>4.1823839692612452</c:v>
                </c:pt>
                <c:pt idx="11">
                  <c:v>5.0531138410402683</c:v>
                </c:pt>
                <c:pt idx="12">
                  <c:v>1.8231030661640342</c:v>
                </c:pt>
                <c:pt idx="13">
                  <c:v>1.5363894516149008</c:v>
                </c:pt>
                <c:pt idx="14">
                  <c:v>2.3550520845051408</c:v>
                </c:pt>
                <c:pt idx="15">
                  <c:v>5.8886077409401878</c:v>
                </c:pt>
                <c:pt idx="16">
                  <c:v>0.53973730507113937</c:v>
                </c:pt>
                <c:pt idx="17">
                  <c:v>3.7281502739368646</c:v>
                </c:pt>
                <c:pt idx="18">
                  <c:v>1.893090852911641</c:v>
                </c:pt>
                <c:pt idx="19">
                  <c:v>2.9850224464661714</c:v>
                </c:pt>
                <c:pt idx="20">
                  <c:v>1.4283302240026063</c:v>
                </c:pt>
                <c:pt idx="21">
                  <c:v>2.937601848672629</c:v>
                </c:pt>
                <c:pt idx="22">
                  <c:v>8.2702575837587275</c:v>
                </c:pt>
                <c:pt idx="23">
                  <c:v>3.2215640272615316</c:v>
                </c:pt>
                <c:pt idx="24">
                  <c:v>1.362632589715105</c:v>
                </c:pt>
                <c:pt idx="25">
                  <c:v>0.41893015253155785</c:v>
                </c:pt>
                <c:pt idx="26">
                  <c:v>1.5530292120828106</c:v>
                </c:pt>
                <c:pt idx="27">
                  <c:v>1.1003667288806738</c:v>
                </c:pt>
                <c:pt idx="28">
                  <c:v>2.61540362583629</c:v>
                </c:pt>
                <c:pt idx="29">
                  <c:v>9.9553274937468412</c:v>
                </c:pt>
                <c:pt idx="30">
                  <c:v>1.6003732338043186</c:v>
                </c:pt>
                <c:pt idx="31">
                  <c:v>2.1413585497480101</c:v>
                </c:pt>
              </c:numCache>
            </c:numRef>
          </c:val>
          <c:extLst>
            <c:ext xmlns:c16="http://schemas.microsoft.com/office/drawing/2014/chart" uri="{C3380CC4-5D6E-409C-BE32-E72D297353CC}">
              <c16:uniqueId val="{00000001-6771-425D-BF01-548A70FF9881}"/>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layout>
        <c:manualLayout>
          <c:xMode val="edge"/>
          <c:yMode val="edge"/>
          <c:x val="0.29232519848062472"/>
          <c:y val="0.96301019533362342"/>
          <c:w val="0.41534960303875057"/>
          <c:h val="3.0289637162188899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734276472702328E-2"/>
          <c:y val="3.884422110552764E-2"/>
          <c:w val="0.85381775410853722"/>
          <c:h val="0.93086614173228344"/>
        </c:manualLayout>
      </c:layout>
      <c:barChart>
        <c:barDir val="bar"/>
        <c:grouping val="clustered"/>
        <c:varyColors val="0"/>
        <c:ser>
          <c:idx val="0"/>
          <c:order val="0"/>
          <c:tx>
            <c:strRef>
              <c:f>'3a.1 - ISCED 1 &amp; 2'!$Z$2</c:f>
              <c:strCache>
                <c:ptCount val="1"/>
                <c:pt idx="0">
                  <c:v>ISCED 1</c:v>
                </c:pt>
              </c:strCache>
            </c:strRef>
          </c:tx>
          <c:spPr>
            <a:solidFill>
              <a:srgbClr val="17255B"/>
            </a:solidFill>
            <a:ln>
              <a:noFill/>
            </a:ln>
            <a:effectLst/>
          </c:spPr>
          <c:invertIfNegative val="0"/>
          <c:dLbls>
            <c:dLbl>
              <c:idx val="2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38B1-1C4B-BBD4-A968CC95F49A}"/>
                </c:ext>
              </c:extLst>
            </c:dLbl>
            <c:dLbl>
              <c:idx val="3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707-1940-8C20-C2BFEEAC437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'3a.1 - ISCED 1 &amp; 2'!$Y$3:$Y$34</c:f>
              <c:strCache>
                <c:ptCount val="32"/>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Netherlands</c:v>
                </c:pt>
                <c:pt idx="19">
                  <c:v>Norway</c:v>
                </c:pt>
                <c:pt idx="20">
                  <c:v>Poland</c:v>
                </c:pt>
                <c:pt idx="21">
                  <c:v>Portugal</c:v>
                </c:pt>
                <c:pt idx="22">
                  <c:v>Slovakia</c:v>
                </c:pt>
                <c:pt idx="23">
                  <c:v>Slovenia</c:v>
                </c:pt>
                <c:pt idx="24">
                  <c:v>Spain</c:v>
                </c:pt>
                <c:pt idx="25">
                  <c:v>Sweden</c:v>
                </c:pt>
                <c:pt idx="26">
                  <c:v>Switzerland</c:v>
                </c:pt>
                <c:pt idx="27">
                  <c:v>UK (England)</c:v>
                </c:pt>
                <c:pt idx="28">
                  <c:v>UK (N. Ireland)</c:v>
                </c:pt>
                <c:pt idx="29">
                  <c:v>UK (Scotland)</c:v>
                </c:pt>
                <c:pt idx="30">
                  <c:v>UK (Wales)</c:v>
                </c:pt>
                <c:pt idx="31">
                  <c:v>Total average (31)</c:v>
                </c:pt>
              </c:strCache>
            </c:strRef>
          </c:cat>
          <c:val>
            <c:numRef>
              <c:f>'3a.1 - ISCED 1 &amp; 2'!$Z$3:$Z$34</c:f>
              <c:numCache>
                <c:formatCode>0.00</c:formatCode>
                <c:ptCount val="32"/>
                <c:pt idx="0">
                  <c:v>2.3867865502396759</c:v>
                </c:pt>
                <c:pt idx="1">
                  <c:v>6.5336028936938924</c:v>
                </c:pt>
                <c:pt idx="2">
                  <c:v>2.6897366503984026</c:v>
                </c:pt>
                <c:pt idx="3">
                  <c:v>7.5856020333279632</c:v>
                </c:pt>
                <c:pt idx="4">
                  <c:v>8.2601826452307368</c:v>
                </c:pt>
                <c:pt idx="5">
                  <c:v>6.6220446687225483</c:v>
                </c:pt>
                <c:pt idx="6">
                  <c:v>6.6589736816494511</c:v>
                </c:pt>
                <c:pt idx="7">
                  <c:v>3.926002255813732</c:v>
                </c:pt>
                <c:pt idx="8">
                  <c:v>5.5996480273455678</c:v>
                </c:pt>
                <c:pt idx="9">
                  <c:v>4.7011656117978768</c:v>
                </c:pt>
                <c:pt idx="10">
                  <c:v>6.4684370673484164</c:v>
                </c:pt>
                <c:pt idx="11">
                  <c:v>14.317876239016917</c:v>
                </c:pt>
                <c:pt idx="12">
                  <c:v>6.8493613210028368</c:v>
                </c:pt>
                <c:pt idx="13">
                  <c:v>3.2532783462624093</c:v>
                </c:pt>
                <c:pt idx="14">
                  <c:v>6.3700557997135947</c:v>
                </c:pt>
                <c:pt idx="15">
                  <c:v>18.502647500461009</c:v>
                </c:pt>
                <c:pt idx="16">
                  <c:v>1.5265935850588714</c:v>
                </c:pt>
                <c:pt idx="17">
                  <c:v>9.1719646456815003</c:v>
                </c:pt>
                <c:pt idx="18">
                  <c:v>2.2019741195064868</c:v>
                </c:pt>
                <c:pt idx="19">
                  <c:v>6.877954650749599</c:v>
                </c:pt>
                <c:pt idx="20">
                  <c:v>3.4259601967745246</c:v>
                </c:pt>
                <c:pt idx="21">
                  <c:v>6.6801712628332028</c:v>
                </c:pt>
                <c:pt idx="22">
                  <c:v>14.404663150376839</c:v>
                </c:pt>
                <c:pt idx="23">
                  <c:v>6.4631671110757347</c:v>
                </c:pt>
                <c:pt idx="24">
                  <c:v>3.5789226648996384</c:v>
                </c:pt>
                <c:pt idx="25">
                  <c:v>0.89034763445317056</c:v>
                </c:pt>
                <c:pt idx="26">
                  <c:v>3.4759674286862352</c:v>
                </c:pt>
                <c:pt idx="27">
                  <c:v>2.4806213665062202</c:v>
                </c:pt>
                <c:pt idx="28">
                  <c:v>4.6964906826833399</c:v>
                </c:pt>
                <c:pt idx="29">
                  <c:v>22.977593336069923</c:v>
                </c:pt>
                <c:pt idx="30">
                  <c:v>2.3083787337967312</c:v>
                </c:pt>
                <c:pt idx="31">
                  <c:v>4.4126750608366079</c:v>
                </c:pt>
              </c:numCache>
            </c:numRef>
          </c:val>
          <c:extLst>
            <c:ext xmlns:c16="http://schemas.microsoft.com/office/drawing/2014/chart" uri="{C3380CC4-5D6E-409C-BE32-E72D297353CC}">
              <c16:uniqueId val="{00000000-DC31-4672-8E17-CD08A7FAD42C}"/>
            </c:ext>
          </c:extLst>
        </c:ser>
        <c:ser>
          <c:idx val="1"/>
          <c:order val="1"/>
          <c:tx>
            <c:strRef>
              <c:f>'3a.1 - ISCED 1 &amp; 2'!$AA$2</c:f>
              <c:strCache>
                <c:ptCount val="1"/>
                <c:pt idx="0">
                  <c:v>ISCED2</c:v>
                </c:pt>
              </c:strCache>
            </c:strRef>
          </c:tx>
          <c:spPr>
            <a:solidFill>
              <a:srgbClr val="F9C623"/>
            </a:solidFill>
            <a:ln>
              <a:noFill/>
            </a:ln>
            <a:effectLst/>
          </c:spPr>
          <c:invertIfNegative val="0"/>
          <c:dLbls>
            <c:dLbl>
              <c:idx val="29"/>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B1-1C4B-BBD4-A968CC95F49A}"/>
                </c:ext>
              </c:extLst>
            </c:dLbl>
            <c:dLbl>
              <c:idx val="3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1707-1940-8C20-C2BFEEAC437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'3a.1 - ISCED 1 &amp; 2'!$Y$3:$Y$34</c:f>
              <c:strCache>
                <c:ptCount val="32"/>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Netherlands</c:v>
                </c:pt>
                <c:pt idx="19">
                  <c:v>Norway</c:v>
                </c:pt>
                <c:pt idx="20">
                  <c:v>Poland</c:v>
                </c:pt>
                <c:pt idx="21">
                  <c:v>Portugal</c:v>
                </c:pt>
                <c:pt idx="22">
                  <c:v>Slovakia</c:v>
                </c:pt>
                <c:pt idx="23">
                  <c:v>Slovenia</c:v>
                </c:pt>
                <c:pt idx="24">
                  <c:v>Spain</c:v>
                </c:pt>
                <c:pt idx="25">
                  <c:v>Sweden</c:v>
                </c:pt>
                <c:pt idx="26">
                  <c:v>Switzerland</c:v>
                </c:pt>
                <c:pt idx="27">
                  <c:v>UK (England)</c:v>
                </c:pt>
                <c:pt idx="28">
                  <c:v>UK (N. Ireland)</c:v>
                </c:pt>
                <c:pt idx="29">
                  <c:v>UK (Scotland)</c:v>
                </c:pt>
                <c:pt idx="30">
                  <c:v>UK (Wales)</c:v>
                </c:pt>
                <c:pt idx="31">
                  <c:v>Total average (31)</c:v>
                </c:pt>
              </c:strCache>
            </c:strRef>
          </c:cat>
          <c:val>
            <c:numRef>
              <c:f>'3a.1 - ISCED 1 &amp; 2'!$AA$3:$AA$34</c:f>
              <c:numCache>
                <c:formatCode>0.00</c:formatCode>
                <c:ptCount val="32"/>
                <c:pt idx="0">
                  <c:v>4.495033908902891</c:v>
                </c:pt>
                <c:pt idx="1">
                  <c:v>9.3734882462426512</c:v>
                </c:pt>
                <c:pt idx="2">
                  <c:v>3.3510019943901113</c:v>
                </c:pt>
                <c:pt idx="3">
                  <c:v>9.1948366582125143</c:v>
                </c:pt>
                <c:pt idx="4">
                  <c:v>13.0858119729286</c:v>
                </c:pt>
                <c:pt idx="5">
                  <c:v>9.1372634563996282</c:v>
                </c:pt>
                <c:pt idx="6">
                  <c:v>9.0408068865146607</c:v>
                </c:pt>
                <c:pt idx="7">
                  <c:v>2.6953894160332537</c:v>
                </c:pt>
                <c:pt idx="8">
                  <c:v>5.360251046301701</c:v>
                </c:pt>
                <c:pt idx="9">
                  <c:v>9.3676689622163227</c:v>
                </c:pt>
                <c:pt idx="10">
                  <c:v>8.4995099890903223</c:v>
                </c:pt>
                <c:pt idx="11">
                  <c:v>17.934002869440459</c:v>
                </c:pt>
                <c:pt idx="12">
                  <c:v>7.1746025122063184</c:v>
                </c:pt>
                <c:pt idx="13">
                  <c:v>4.0174043184638677</c:v>
                </c:pt>
                <c:pt idx="14">
                  <c:v>7.4393234071283896</c:v>
                </c:pt>
                <c:pt idx="15">
                  <c:v>9.9888109664756985</c:v>
                </c:pt>
                <c:pt idx="16">
                  <c:v>1.4628275159707433</c:v>
                </c:pt>
                <c:pt idx="17">
                  <c:v>11.400989309079304</c:v>
                </c:pt>
                <c:pt idx="18">
                  <c:v>4.6494867713656367</c:v>
                </c:pt>
                <c:pt idx="19">
                  <c:v>10.173475522240938</c:v>
                </c:pt>
                <c:pt idx="20">
                  <c:v>4.523868703302</c:v>
                </c:pt>
                <c:pt idx="21">
                  <c:v>8.1432732634734162</c:v>
                </c:pt>
                <c:pt idx="22">
                  <c:v>15.67498222633521</c:v>
                </c:pt>
                <c:pt idx="23">
                  <c:v>10.742956961272579</c:v>
                </c:pt>
                <c:pt idx="24">
                  <c:v>3.9109884982859002</c:v>
                </c:pt>
                <c:pt idx="25">
                  <c:v>1.3031960477136932</c:v>
                </c:pt>
                <c:pt idx="26">
                  <c:v>4.6308006995190807</c:v>
                </c:pt>
                <c:pt idx="27">
                  <c:v>3.5657179405180686</c:v>
                </c:pt>
                <c:pt idx="28">
                  <c:v>6.5699386285430483</c:v>
                </c:pt>
                <c:pt idx="29">
                  <c:v>29.284638188268453</c:v>
                </c:pt>
                <c:pt idx="30">
                  <c:v>3.7014428412874585</c:v>
                </c:pt>
                <c:pt idx="31">
                  <c:v>5.2461767808280495</c:v>
                </c:pt>
              </c:numCache>
            </c:numRef>
          </c:val>
          <c:extLst>
            <c:ext xmlns:c16="http://schemas.microsoft.com/office/drawing/2014/chart" uri="{C3380CC4-5D6E-409C-BE32-E72D297353CC}">
              <c16:uniqueId val="{00000001-DC31-4672-8E17-CD08A7FAD42C}"/>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3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layout>
        <c:manualLayout>
          <c:xMode val="edge"/>
          <c:yMode val="edge"/>
          <c:x val="0.28922207338190614"/>
          <c:y val="0.96971036283781109"/>
          <c:w val="0.40495834286274379"/>
          <c:h val="3.0289637162188899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1523-4698-8370-C98C0FEF1454}"/>
              </c:ext>
            </c:extLst>
          </c:dPt>
          <c:dPt>
            <c:idx val="27"/>
            <c:invertIfNegative val="0"/>
            <c:bubble3D val="0"/>
            <c:extLst>
              <c:ext xmlns:c16="http://schemas.microsoft.com/office/drawing/2014/chart" uri="{C3380CC4-5D6E-409C-BE32-E72D297353CC}">
                <c16:uniqueId val="{00000003-1523-4698-8370-C98C0FEF1454}"/>
              </c:ext>
            </c:extLst>
          </c:dPt>
          <c:dPt>
            <c:idx val="30"/>
            <c:invertIfNegative val="0"/>
            <c:bubble3D val="0"/>
            <c:spPr>
              <a:solidFill>
                <a:srgbClr val="F9C624"/>
              </a:solidFill>
              <a:ln>
                <a:noFill/>
              </a:ln>
              <a:effectLst/>
            </c:spPr>
            <c:extLst>
              <c:ext xmlns:c16="http://schemas.microsoft.com/office/drawing/2014/chart" uri="{C3380CC4-5D6E-409C-BE32-E72D297353CC}">
                <c16:uniqueId val="{00000005-1523-4698-8370-C98C0FEF1454}"/>
              </c:ext>
            </c:extLst>
          </c:dPt>
          <c:dLbls>
            <c:dLbl>
              <c:idx val="2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5873-2F49-A37A-34F7150F663E}"/>
                </c:ext>
              </c:extLst>
            </c:dLbl>
            <c:dLbl>
              <c:idx val="3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1523-4698-8370-C98C0FEF145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'3b.1 - ISCED 1&amp;2 - ISCED'!$N$3:$N$33</c:f>
              <c:strCache>
                <c:ptCount val="31"/>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Serbia</c:v>
                </c:pt>
                <c:pt idx="22">
                  <c:v>Slovakia</c:v>
                </c:pt>
                <c:pt idx="23">
                  <c:v>Slovenia</c:v>
                </c:pt>
                <c:pt idx="24">
                  <c:v>Spain</c:v>
                </c:pt>
                <c:pt idx="25">
                  <c:v>Sweden</c:v>
                </c:pt>
                <c:pt idx="26">
                  <c:v>UK (England)</c:v>
                </c:pt>
                <c:pt idx="27">
                  <c:v>UK (N. Ireland)</c:v>
                </c:pt>
                <c:pt idx="28">
                  <c:v>UK (Scotland)</c:v>
                </c:pt>
                <c:pt idx="29">
                  <c:v>UK (Wales)</c:v>
                </c:pt>
                <c:pt idx="30">
                  <c:v>Total average (30)</c:v>
                </c:pt>
              </c:strCache>
            </c:strRef>
          </c:cat>
          <c:val>
            <c:numRef>
              <c:f>'3b.1 - ISCED 1&amp;2 - ISCED'!$O$3:$O$33</c:f>
              <c:numCache>
                <c:formatCode>0.00</c:formatCode>
                <c:ptCount val="31"/>
                <c:pt idx="0">
                  <c:v>2.2975567677764257</c:v>
                </c:pt>
                <c:pt idx="1">
                  <c:v>1.4327509821951017</c:v>
                </c:pt>
                <c:pt idx="2">
                  <c:v>2.411931246809103</c:v>
                </c:pt>
                <c:pt idx="3">
                  <c:v>6.6815740223124225</c:v>
                </c:pt>
                <c:pt idx="4">
                  <c:v>6.946809164248144</c:v>
                </c:pt>
                <c:pt idx="5">
                  <c:v>2.7542892657954567</c:v>
                </c:pt>
                <c:pt idx="6">
                  <c:v>2.902354030198786</c:v>
                </c:pt>
                <c:pt idx="7">
                  <c:v>1.9955120260008095</c:v>
                </c:pt>
                <c:pt idx="8">
                  <c:v>2.3665597121115423</c:v>
                </c:pt>
                <c:pt idx="9">
                  <c:v>4.4826546065987332</c:v>
                </c:pt>
                <c:pt idx="10">
                  <c:v>4.9914080190089454</c:v>
                </c:pt>
                <c:pt idx="11">
                  <c:v>14.081343903698878</c:v>
                </c:pt>
                <c:pt idx="12">
                  <c:v>5.5074838155529751</c:v>
                </c:pt>
                <c:pt idx="13">
                  <c:v>3.5143664688033547</c:v>
                </c:pt>
                <c:pt idx="14">
                  <c:v>2.6199743514747902</c:v>
                </c:pt>
                <c:pt idx="15">
                  <c:v>12.057282092317452</c:v>
                </c:pt>
                <c:pt idx="16">
                  <c:v>0.75153295642816886</c:v>
                </c:pt>
                <c:pt idx="17">
                  <c:v>9.3712496738846855</c:v>
                </c:pt>
                <c:pt idx="18">
                  <c:v>7.2087719995232611</c:v>
                </c:pt>
                <c:pt idx="19">
                  <c:v>2.1459435421638329</c:v>
                </c:pt>
                <c:pt idx="20">
                  <c:v>6.0883024585383927</c:v>
                </c:pt>
                <c:pt idx="21">
                  <c:v>2.3113013960670834</c:v>
                </c:pt>
                <c:pt idx="22">
                  <c:v>9.4483700891023545</c:v>
                </c:pt>
                <c:pt idx="23">
                  <c:v>5.7170083645867589</c:v>
                </c:pt>
                <c:pt idx="24">
                  <c:v>2.9698682664278246</c:v>
                </c:pt>
                <c:pt idx="25">
                  <c:v>0.11464032323544708</c:v>
                </c:pt>
                <c:pt idx="26">
                  <c:v>1.4627915336124919</c:v>
                </c:pt>
                <c:pt idx="27">
                  <c:v>3.2653709685960917</c:v>
                </c:pt>
                <c:pt idx="28">
                  <c:v>23.739703350768387</c:v>
                </c:pt>
                <c:pt idx="29">
                  <c:v>1.25326579578779</c:v>
                </c:pt>
                <c:pt idx="30">
                  <c:v>3.1326117945310807</c:v>
                </c:pt>
              </c:numCache>
            </c:numRef>
          </c:val>
          <c:extLst>
            <c:ext xmlns:c16="http://schemas.microsoft.com/office/drawing/2014/chart" uri="{C3380CC4-5D6E-409C-BE32-E72D297353CC}">
              <c16:uniqueId val="{00000006-1523-4698-8370-C98C0FEF1454}"/>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24"/>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127532698580045E-2"/>
          <c:y val="4.1997742738151024E-2"/>
          <c:w val="0.84405857740585777"/>
          <c:h val="0.92098144689164485"/>
        </c:manualLayout>
      </c:layout>
      <c:barChart>
        <c:barDir val="bar"/>
        <c:grouping val="clustered"/>
        <c:varyColors val="0"/>
        <c:ser>
          <c:idx val="0"/>
          <c:order val="0"/>
          <c:tx>
            <c:strRef>
              <c:f>Blad1!$B$2</c:f>
              <c:strCache>
                <c:ptCount val="1"/>
                <c:pt idx="0">
                  <c:v>Boys</c:v>
                </c:pt>
              </c:strCache>
            </c:strRef>
          </c:tx>
          <c:spPr>
            <a:solidFill>
              <a:srgbClr val="17255B"/>
            </a:solidFill>
            <a:ln>
              <a:noFill/>
            </a:ln>
            <a:effectLst/>
          </c:spPr>
          <c:invertIfNegative val="0"/>
          <c:dLbls>
            <c:dLbl>
              <c:idx val="2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B6D2-BB4F-A0C3-8C604FFDA0FB}"/>
                </c:ext>
              </c:extLst>
            </c:dLbl>
            <c:dLbl>
              <c:idx val="2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B6D2-BB4F-A0C3-8C604FFDA0F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Blad1!$A$3:$A$29</c:f>
              <c:strCache>
                <c:ptCount val="27"/>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Poland</c:v>
                </c:pt>
                <c:pt idx="17">
                  <c:v>Portugal</c:v>
                </c:pt>
                <c:pt idx="18">
                  <c:v>Slovakia</c:v>
                </c:pt>
                <c:pt idx="19">
                  <c:v>Slovenia</c:v>
                </c:pt>
                <c:pt idx="20">
                  <c:v>Spain</c:v>
                </c:pt>
                <c:pt idx="21">
                  <c:v>Sweden</c:v>
                </c:pt>
                <c:pt idx="22">
                  <c:v>UK (England)</c:v>
                </c:pt>
                <c:pt idx="23">
                  <c:v>UK (N. Ireland)</c:v>
                </c:pt>
                <c:pt idx="24">
                  <c:v>UK (Scotland)</c:v>
                </c:pt>
                <c:pt idx="25">
                  <c:v>UK (Wales)</c:v>
                </c:pt>
                <c:pt idx="26">
                  <c:v>Total average (26)</c:v>
                </c:pt>
              </c:strCache>
            </c:strRef>
          </c:cat>
          <c:val>
            <c:numRef>
              <c:f>Blad1!$B$3:$B$29</c:f>
              <c:numCache>
                <c:formatCode>0.00</c:formatCode>
                <c:ptCount val="27"/>
                <c:pt idx="0">
                  <c:v>1.4359048435385646</c:v>
                </c:pt>
                <c:pt idx="1">
                  <c:v>1.0631391234082865</c:v>
                </c:pt>
                <c:pt idx="2">
                  <c:v>1.5515217953449927</c:v>
                </c:pt>
                <c:pt idx="3">
                  <c:v>4.4989427120044727</c:v>
                </c:pt>
                <c:pt idx="4">
                  <c:v>4.8437098106106751</c:v>
                </c:pt>
                <c:pt idx="5">
                  <c:v>1.7901244663973439</c:v>
                </c:pt>
                <c:pt idx="6">
                  <c:v>2.0316291960090069</c:v>
                </c:pt>
                <c:pt idx="7">
                  <c:v>1.459035231744247</c:v>
                </c:pt>
                <c:pt idx="8">
                  <c:v>1.5410851496522975</c:v>
                </c:pt>
                <c:pt idx="9">
                  <c:v>3.1294456801166484</c:v>
                </c:pt>
                <c:pt idx="10">
                  <c:v>3.3187663943056354</c:v>
                </c:pt>
                <c:pt idx="11">
                  <c:v>9.1787005637029218</c:v>
                </c:pt>
                <c:pt idx="12">
                  <c:v>4.0011770506927098</c:v>
                </c:pt>
                <c:pt idx="13">
                  <c:v>2.4871064481029008</c:v>
                </c:pt>
                <c:pt idx="14">
                  <c:v>7.9572078404233082</c:v>
                </c:pt>
                <c:pt idx="15">
                  <c:v>6.3709887816331854</c:v>
                </c:pt>
                <c:pt idx="16">
                  <c:v>1.4239605144723591</c:v>
                </c:pt>
                <c:pt idx="17">
                  <c:v>3.7899968934451698</c:v>
                </c:pt>
                <c:pt idx="18">
                  <c:v>5.7449225069362369</c:v>
                </c:pt>
                <c:pt idx="19">
                  <c:v>3.9181485341075635</c:v>
                </c:pt>
                <c:pt idx="20">
                  <c:v>2.0289998472970834</c:v>
                </c:pt>
                <c:pt idx="21">
                  <c:v>6.7759583969686676E-2</c:v>
                </c:pt>
                <c:pt idx="22">
                  <c:v>1.0756768204440366</c:v>
                </c:pt>
                <c:pt idx="23">
                  <c:v>2.3936874437324578</c:v>
                </c:pt>
                <c:pt idx="24">
                  <c:v>14.267281684602853</c:v>
                </c:pt>
                <c:pt idx="25">
                  <c:v>0.92455345241268994</c:v>
                </c:pt>
                <c:pt idx="26">
                  <c:v>2.09</c:v>
                </c:pt>
              </c:numCache>
            </c:numRef>
          </c:val>
          <c:extLst>
            <c:ext xmlns:c16="http://schemas.microsoft.com/office/drawing/2014/chart" uri="{C3380CC4-5D6E-409C-BE32-E72D297353CC}">
              <c16:uniqueId val="{00000000-6EA7-4856-B0DB-48F72AA15700}"/>
            </c:ext>
          </c:extLst>
        </c:ser>
        <c:ser>
          <c:idx val="1"/>
          <c:order val="1"/>
          <c:tx>
            <c:strRef>
              <c:f>Blad1!$C$2</c:f>
              <c:strCache>
                <c:ptCount val="1"/>
                <c:pt idx="0">
                  <c:v>Girls</c:v>
                </c:pt>
              </c:strCache>
            </c:strRef>
          </c:tx>
          <c:spPr>
            <a:solidFill>
              <a:srgbClr val="F9C623"/>
            </a:solidFill>
            <a:ln>
              <a:noFill/>
            </a:ln>
            <a:effectLst/>
          </c:spPr>
          <c:invertIfNegative val="0"/>
          <c:dLbls>
            <c:dLbl>
              <c:idx val="24"/>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D2-BB4F-A0C3-8C604FFDA0FB}"/>
                </c:ext>
              </c:extLst>
            </c:dLbl>
            <c:dLbl>
              <c:idx val="2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B6D2-BB4F-A0C3-8C604FFDA0F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Blad1!$A$3:$A$29</c:f>
              <c:strCache>
                <c:ptCount val="27"/>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Poland</c:v>
                </c:pt>
                <c:pt idx="17">
                  <c:v>Portugal</c:v>
                </c:pt>
                <c:pt idx="18">
                  <c:v>Slovakia</c:v>
                </c:pt>
                <c:pt idx="19">
                  <c:v>Slovenia</c:v>
                </c:pt>
                <c:pt idx="20">
                  <c:v>Spain</c:v>
                </c:pt>
                <c:pt idx="21">
                  <c:v>Sweden</c:v>
                </c:pt>
                <c:pt idx="22">
                  <c:v>UK (England)</c:v>
                </c:pt>
                <c:pt idx="23">
                  <c:v>UK (N. Ireland)</c:v>
                </c:pt>
                <c:pt idx="24">
                  <c:v>UK (Scotland)</c:v>
                </c:pt>
                <c:pt idx="25">
                  <c:v>UK (Wales)</c:v>
                </c:pt>
                <c:pt idx="26">
                  <c:v>Total average (26)</c:v>
                </c:pt>
              </c:strCache>
            </c:strRef>
          </c:cat>
          <c:val>
            <c:numRef>
              <c:f>Blad1!$C$3:$C$29</c:f>
              <c:numCache>
                <c:formatCode>0.00</c:formatCode>
                <c:ptCount val="27"/>
                <c:pt idx="0">
                  <c:v>0.86165192423786119</c:v>
                </c:pt>
                <c:pt idx="1">
                  <c:v>0.36961185878681491</c:v>
                </c:pt>
                <c:pt idx="2">
                  <c:v>0.86040945146411052</c:v>
                </c:pt>
                <c:pt idx="3">
                  <c:v>2.1826313103079502</c:v>
                </c:pt>
                <c:pt idx="4">
                  <c:v>2.1030993536374685</c:v>
                </c:pt>
                <c:pt idx="5">
                  <c:v>0.96416479939811262</c:v>
                </c:pt>
                <c:pt idx="6">
                  <c:v>0.87072483418977886</c:v>
                </c:pt>
                <c:pt idx="7">
                  <c:v>0.53647679425656247</c:v>
                </c:pt>
                <c:pt idx="8">
                  <c:v>0.82547456245924478</c:v>
                </c:pt>
                <c:pt idx="9">
                  <c:v>1.3532089264820846</c:v>
                </c:pt>
                <c:pt idx="10">
                  <c:v>1.6726416247033102</c:v>
                </c:pt>
                <c:pt idx="11">
                  <c:v>4.902643339995957</c:v>
                </c:pt>
                <c:pt idx="12">
                  <c:v>1.506306764860265</c:v>
                </c:pt>
                <c:pt idx="13">
                  <c:v>1.0272600207004539</c:v>
                </c:pt>
                <c:pt idx="14">
                  <c:v>4.1000742518941449</c:v>
                </c:pt>
                <c:pt idx="15">
                  <c:v>3.0002608922515002</c:v>
                </c:pt>
                <c:pt idx="16">
                  <c:v>0.72198302769147349</c:v>
                </c:pt>
                <c:pt idx="17">
                  <c:v>2.2983055650932238</c:v>
                </c:pt>
                <c:pt idx="18">
                  <c:v>3.7034475821661172</c:v>
                </c:pt>
                <c:pt idx="19">
                  <c:v>1.7988598304791943</c:v>
                </c:pt>
                <c:pt idx="20">
                  <c:v>0.94086841913074126</c:v>
                </c:pt>
                <c:pt idx="21">
                  <c:v>4.6880739265760397E-2</c:v>
                </c:pt>
                <c:pt idx="22">
                  <c:v>0.38711471316845542</c:v>
                </c:pt>
                <c:pt idx="23">
                  <c:v>0.87168352486363399</c:v>
                </c:pt>
                <c:pt idx="24">
                  <c:v>9.4724216661655323</c:v>
                </c:pt>
                <c:pt idx="25">
                  <c:v>0.32871234337509997</c:v>
                </c:pt>
                <c:pt idx="26">
                  <c:v>1</c:v>
                </c:pt>
              </c:numCache>
            </c:numRef>
          </c:val>
          <c:extLst>
            <c:ext xmlns:c16="http://schemas.microsoft.com/office/drawing/2014/chart" uri="{C3380CC4-5D6E-409C-BE32-E72D297353CC}">
              <c16:uniqueId val="{00000001-6EA7-4856-B0DB-48F72AA15700}"/>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4190604239384521E-2"/>
          <c:w val="0.84750409165302787"/>
          <c:h val="0.90803569072299561"/>
        </c:manualLayout>
      </c:layout>
      <c:barChart>
        <c:barDir val="bar"/>
        <c:grouping val="clustered"/>
        <c:varyColors val="0"/>
        <c:ser>
          <c:idx val="0"/>
          <c:order val="0"/>
          <c:tx>
            <c:strRef>
              <c:f>Blad1!$E$2</c:f>
              <c:strCache>
                <c:ptCount val="1"/>
                <c:pt idx="0">
                  <c:v>Boys</c:v>
                </c:pt>
              </c:strCache>
            </c:strRef>
          </c:tx>
          <c:spPr>
            <a:solidFill>
              <a:srgbClr val="17255B"/>
            </a:solidFill>
            <a:ln>
              <a:noFill/>
            </a:ln>
            <a:effectLst/>
          </c:spPr>
          <c:invertIfNegative val="0"/>
          <c:dLbls>
            <c:dLbl>
              <c:idx val="2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A866-7840-A32B-4CBA2002444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Blad1!$D$3:$D$29</c:f>
              <c:strCache>
                <c:ptCount val="27"/>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Poland</c:v>
                </c:pt>
                <c:pt idx="17">
                  <c:v>Portugal</c:v>
                </c:pt>
                <c:pt idx="18">
                  <c:v>Slovakia</c:v>
                </c:pt>
                <c:pt idx="19">
                  <c:v>Slovenia</c:v>
                </c:pt>
                <c:pt idx="20">
                  <c:v>Spain</c:v>
                </c:pt>
                <c:pt idx="21">
                  <c:v>Sweden</c:v>
                </c:pt>
                <c:pt idx="22">
                  <c:v>UK (England)</c:v>
                </c:pt>
                <c:pt idx="23">
                  <c:v>UK (N. Ireland)</c:v>
                </c:pt>
                <c:pt idx="24">
                  <c:v>UK (Scotland)</c:v>
                </c:pt>
                <c:pt idx="25">
                  <c:v>UK (Wales)</c:v>
                </c:pt>
                <c:pt idx="26">
                  <c:v>Total average (26)</c:v>
                </c:pt>
              </c:strCache>
            </c:strRef>
          </c:cat>
          <c:val>
            <c:numRef>
              <c:f>Blad1!$E$3:$E$29</c:f>
              <c:numCache>
                <c:formatCode>0.00</c:formatCode>
                <c:ptCount val="27"/>
                <c:pt idx="0">
                  <c:v>62.497034400948991</c:v>
                </c:pt>
                <c:pt idx="1">
                  <c:v>74.20264488525865</c:v>
                </c:pt>
                <c:pt idx="2">
                  <c:v>64.326949509759004</c:v>
                </c:pt>
                <c:pt idx="3">
                  <c:v>67.333575845762098</c:v>
                </c:pt>
                <c:pt idx="4">
                  <c:v>69.725678309099081</c:v>
                </c:pt>
                <c:pt idx="5">
                  <c:v>64.994061757719706</c:v>
                </c:pt>
                <c:pt idx="6">
                  <c:v>69.999358275043321</c:v>
                </c:pt>
                <c:pt idx="7">
                  <c:v>73.115832564952683</c:v>
                </c:pt>
                <c:pt idx="8">
                  <c:v>65.11921680088426</c:v>
                </c:pt>
                <c:pt idx="9">
                  <c:v>69.812331191207974</c:v>
                </c:pt>
                <c:pt idx="10">
                  <c:v>66.489583333333329</c:v>
                </c:pt>
                <c:pt idx="11">
                  <c:v>65.183413078149925</c:v>
                </c:pt>
                <c:pt idx="12">
                  <c:v>72.649819494584833</c:v>
                </c:pt>
                <c:pt idx="13">
                  <c:v>70.769695482263202</c:v>
                </c:pt>
                <c:pt idx="14">
                  <c:v>65.995037517563006</c:v>
                </c:pt>
                <c:pt idx="15">
                  <c:v>67.98440979955457</c:v>
                </c:pt>
                <c:pt idx="16">
                  <c:v>66.355916942555169</c:v>
                </c:pt>
                <c:pt idx="17">
                  <c:v>62.250469966878526</c:v>
                </c:pt>
                <c:pt idx="18">
                  <c:v>60.803317955997159</c:v>
                </c:pt>
                <c:pt idx="19">
                  <c:v>68.534944926406084</c:v>
                </c:pt>
                <c:pt idx="20">
                  <c:v>68.319523469556998</c:v>
                </c:pt>
                <c:pt idx="21">
                  <c:v>59.106239460370993</c:v>
                </c:pt>
                <c:pt idx="22">
                  <c:v>73.53589323747029</c:v>
                </c:pt>
                <c:pt idx="23">
                  <c:v>73.305222186182291</c:v>
                </c:pt>
                <c:pt idx="24">
                  <c:v>60.09882041824698</c:v>
                </c:pt>
                <c:pt idx="25">
                  <c:v>73.771537970644545</c:v>
                </c:pt>
                <c:pt idx="26">
                  <c:v>67.680000000000007</c:v>
                </c:pt>
              </c:numCache>
            </c:numRef>
          </c:val>
          <c:extLst>
            <c:ext xmlns:c16="http://schemas.microsoft.com/office/drawing/2014/chart" uri="{C3380CC4-5D6E-409C-BE32-E72D297353CC}">
              <c16:uniqueId val="{00000000-D3BA-4BFA-9AB6-5DBBC8EB1EE6}"/>
            </c:ext>
          </c:extLst>
        </c:ser>
        <c:ser>
          <c:idx val="1"/>
          <c:order val="1"/>
          <c:tx>
            <c:strRef>
              <c:f>Blad1!$F$2</c:f>
              <c:strCache>
                <c:ptCount val="1"/>
                <c:pt idx="0">
                  <c:v>Girls</c:v>
                </c:pt>
              </c:strCache>
            </c:strRef>
          </c:tx>
          <c:spPr>
            <a:solidFill>
              <a:schemeClr val="accent4"/>
            </a:solidFill>
            <a:ln>
              <a:noFill/>
            </a:ln>
            <a:effectLst/>
          </c:spPr>
          <c:invertIfNegative val="0"/>
          <c:dLbls>
            <c:dLbl>
              <c:idx val="2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66-7840-A32B-4CBA2002444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Blad1!$D$3:$D$29</c:f>
              <c:strCache>
                <c:ptCount val="27"/>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Poland</c:v>
                </c:pt>
                <c:pt idx="17">
                  <c:v>Portugal</c:v>
                </c:pt>
                <c:pt idx="18">
                  <c:v>Slovakia</c:v>
                </c:pt>
                <c:pt idx="19">
                  <c:v>Slovenia</c:v>
                </c:pt>
                <c:pt idx="20">
                  <c:v>Spain</c:v>
                </c:pt>
                <c:pt idx="21">
                  <c:v>Sweden</c:v>
                </c:pt>
                <c:pt idx="22">
                  <c:v>UK (England)</c:v>
                </c:pt>
                <c:pt idx="23">
                  <c:v>UK (N. Ireland)</c:v>
                </c:pt>
                <c:pt idx="24">
                  <c:v>UK (Scotland)</c:v>
                </c:pt>
                <c:pt idx="25">
                  <c:v>UK (Wales)</c:v>
                </c:pt>
                <c:pt idx="26">
                  <c:v>Total average (26)</c:v>
                </c:pt>
              </c:strCache>
            </c:strRef>
          </c:cat>
          <c:val>
            <c:numRef>
              <c:f>Blad1!$F$3:$F$29</c:f>
              <c:numCache>
                <c:formatCode>0.00</c:formatCode>
                <c:ptCount val="27"/>
                <c:pt idx="0">
                  <c:v>37.502965599051009</c:v>
                </c:pt>
                <c:pt idx="1">
                  <c:v>25.797355114741343</c:v>
                </c:pt>
                <c:pt idx="2">
                  <c:v>35.673050490240996</c:v>
                </c:pt>
                <c:pt idx="3">
                  <c:v>32.666424154237902</c:v>
                </c:pt>
                <c:pt idx="4">
                  <c:v>30.274321690900912</c:v>
                </c:pt>
                <c:pt idx="5">
                  <c:v>35.00593824228028</c:v>
                </c:pt>
                <c:pt idx="6">
                  <c:v>30.000641724956683</c:v>
                </c:pt>
                <c:pt idx="7">
                  <c:v>26.884167435047313</c:v>
                </c:pt>
                <c:pt idx="8">
                  <c:v>34.880783199115747</c:v>
                </c:pt>
                <c:pt idx="9">
                  <c:v>30.187668808792029</c:v>
                </c:pt>
                <c:pt idx="10">
                  <c:v>33.510416666666664</c:v>
                </c:pt>
                <c:pt idx="11">
                  <c:v>34.816586921850082</c:v>
                </c:pt>
                <c:pt idx="12">
                  <c:v>27.35018050541516</c:v>
                </c:pt>
                <c:pt idx="13">
                  <c:v>29.230304517736787</c:v>
                </c:pt>
                <c:pt idx="14">
                  <c:v>34.004962482436994</c:v>
                </c:pt>
                <c:pt idx="15">
                  <c:v>32.01559020044543</c:v>
                </c:pt>
                <c:pt idx="16">
                  <c:v>33.644083057444831</c:v>
                </c:pt>
                <c:pt idx="17">
                  <c:v>37.749530033121474</c:v>
                </c:pt>
                <c:pt idx="18">
                  <c:v>39.196682044002841</c:v>
                </c:pt>
                <c:pt idx="19">
                  <c:v>31.465055073593916</c:v>
                </c:pt>
                <c:pt idx="20">
                  <c:v>31.680476530442998</c:v>
                </c:pt>
                <c:pt idx="21">
                  <c:v>40.893760539629007</c:v>
                </c:pt>
                <c:pt idx="22">
                  <c:v>26.464106762529699</c:v>
                </c:pt>
                <c:pt idx="23">
                  <c:v>26.694777813817712</c:v>
                </c:pt>
                <c:pt idx="24">
                  <c:v>39.90117958175302</c:v>
                </c:pt>
                <c:pt idx="25">
                  <c:v>26.228462029355455</c:v>
                </c:pt>
                <c:pt idx="26">
                  <c:v>32.32</c:v>
                </c:pt>
              </c:numCache>
            </c:numRef>
          </c:val>
          <c:extLst>
            <c:ext xmlns:c16="http://schemas.microsoft.com/office/drawing/2014/chart" uri="{C3380CC4-5D6E-409C-BE32-E72D297353CC}">
              <c16:uniqueId val="{00000001-D3BA-4BFA-9AB6-5DBBC8EB1EE6}"/>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609065758672051E-2"/>
          <c:y val="4.1962568749258099E-2"/>
          <c:w val="0.84503118503118502"/>
          <c:h val="0.91769754283227156"/>
        </c:manualLayout>
      </c:layout>
      <c:barChart>
        <c:barDir val="bar"/>
        <c:grouping val="clustered"/>
        <c:varyColors val="0"/>
        <c:ser>
          <c:idx val="0"/>
          <c:order val="0"/>
          <c:tx>
            <c:strRef>
              <c:f>'3b.1 - ISCED 1&amp;2 - ISCED'!$W$2</c:f>
              <c:strCache>
                <c:ptCount val="1"/>
                <c:pt idx="0">
                  <c:v>ISCED 1</c:v>
                </c:pt>
              </c:strCache>
            </c:strRef>
          </c:tx>
          <c:spPr>
            <a:solidFill>
              <a:srgbClr val="17255B"/>
            </a:solidFill>
            <a:ln>
              <a:noFill/>
            </a:ln>
            <a:effectLst/>
          </c:spPr>
          <c:invertIfNegative val="0"/>
          <c:dLbls>
            <c:dLbl>
              <c:idx val="2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755D-2245-BC4C-B9AB387BBAFE}"/>
                </c:ext>
              </c:extLst>
            </c:dLbl>
            <c:dLbl>
              <c:idx val="3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DF79-814E-848F-E2C7FBE5154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'3b.1 - ISCED 1&amp;2 - ISCED'!$V$3:$V$33</c:f>
              <c:strCache>
                <c:ptCount val="31"/>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Serbia</c:v>
                </c:pt>
                <c:pt idx="22">
                  <c:v>Slovakia</c:v>
                </c:pt>
                <c:pt idx="23">
                  <c:v>Slovenia</c:v>
                </c:pt>
                <c:pt idx="24">
                  <c:v>Spain</c:v>
                </c:pt>
                <c:pt idx="25">
                  <c:v>Sweden</c:v>
                </c:pt>
                <c:pt idx="26">
                  <c:v>UK (England)</c:v>
                </c:pt>
                <c:pt idx="27">
                  <c:v>UK (N. Ireland)</c:v>
                </c:pt>
                <c:pt idx="28">
                  <c:v>UK (Scotland)</c:v>
                </c:pt>
                <c:pt idx="29">
                  <c:v>UK (Wales)</c:v>
                </c:pt>
                <c:pt idx="30">
                  <c:v>Total average (30)</c:v>
                </c:pt>
              </c:strCache>
            </c:strRef>
          </c:cat>
          <c:val>
            <c:numRef>
              <c:f>'3b.1 - ISCED 1&amp;2 - ISCED'!$W$3:$W$33</c:f>
              <c:numCache>
                <c:formatCode>0.00</c:formatCode>
                <c:ptCount val="31"/>
                <c:pt idx="0">
                  <c:v>0.90457780690984069</c:v>
                </c:pt>
                <c:pt idx="1">
                  <c:v>0.87979603778316484</c:v>
                </c:pt>
                <c:pt idx="2">
                  <c:v>1.2918297569503534</c:v>
                </c:pt>
                <c:pt idx="3">
                  <c:v>4.4235957514036413</c:v>
                </c:pt>
                <c:pt idx="4">
                  <c:v>3.4252944661911888</c:v>
                </c:pt>
                <c:pt idx="5">
                  <c:v>1.8432802865507598</c:v>
                </c:pt>
                <c:pt idx="6">
                  <c:v>1.614798783406499</c:v>
                </c:pt>
                <c:pt idx="7">
                  <c:v>1.1312586240690181</c:v>
                </c:pt>
                <c:pt idx="8">
                  <c:v>1.0560127437940598</c:v>
                </c:pt>
                <c:pt idx="9">
                  <c:v>2.4373416776868218</c:v>
                </c:pt>
                <c:pt idx="10">
                  <c:v>2.1351267739646076</c:v>
                </c:pt>
                <c:pt idx="11">
                  <c:v>9.5268039616412512</c:v>
                </c:pt>
                <c:pt idx="12">
                  <c:v>4.1754812917866246</c:v>
                </c:pt>
                <c:pt idx="13">
                  <c:v>1.9822011482559427</c:v>
                </c:pt>
                <c:pt idx="14">
                  <c:v>1.7250883074223233</c:v>
                </c:pt>
                <c:pt idx="15">
                  <c:v>7.0661851106929934</c:v>
                </c:pt>
                <c:pt idx="16">
                  <c:v>0.53290518728542879</c:v>
                </c:pt>
                <c:pt idx="17">
                  <c:v>6.0553091573180273</c:v>
                </c:pt>
                <c:pt idx="18">
                  <c:v>4.5347423622422633</c:v>
                </c:pt>
                <c:pt idx="19">
                  <c:v>1.4308272008770333</c:v>
                </c:pt>
                <c:pt idx="20">
                  <c:v>3.7526092335529717</c:v>
                </c:pt>
                <c:pt idx="21">
                  <c:v>0.91906010670487825</c:v>
                </c:pt>
                <c:pt idx="22">
                  <c:v>4.2438873102488666</c:v>
                </c:pt>
                <c:pt idx="23">
                  <c:v>3.0922779427909077</c:v>
                </c:pt>
                <c:pt idx="24">
                  <c:v>1.8811585803725994</c:v>
                </c:pt>
                <c:pt idx="25">
                  <c:v>7.0079455603456256E-2</c:v>
                </c:pt>
                <c:pt idx="26">
                  <c:v>0.95651334551680955</c:v>
                </c:pt>
                <c:pt idx="27">
                  <c:v>1.5763738106586169</c:v>
                </c:pt>
                <c:pt idx="28">
                  <c:v>14.245308891216499</c:v>
                </c:pt>
                <c:pt idx="29">
                  <c:v>0.57637963209810716</c:v>
                </c:pt>
                <c:pt idx="30">
                  <c:v>1.7751013010681378</c:v>
                </c:pt>
              </c:numCache>
            </c:numRef>
          </c:val>
          <c:extLst>
            <c:ext xmlns:c16="http://schemas.microsoft.com/office/drawing/2014/chart" uri="{C3380CC4-5D6E-409C-BE32-E72D297353CC}">
              <c16:uniqueId val="{00000000-0471-44B8-AFA8-970686DBCAAD}"/>
            </c:ext>
          </c:extLst>
        </c:ser>
        <c:ser>
          <c:idx val="1"/>
          <c:order val="1"/>
          <c:tx>
            <c:strRef>
              <c:f>'3b.1 - ISCED 1&amp;2 - ISCED'!$X$2</c:f>
              <c:strCache>
                <c:ptCount val="1"/>
                <c:pt idx="0">
                  <c:v>ISCED 2</c:v>
                </c:pt>
              </c:strCache>
            </c:strRef>
          </c:tx>
          <c:spPr>
            <a:solidFill>
              <a:srgbClr val="F9C623"/>
            </a:solidFill>
            <a:ln>
              <a:noFill/>
            </a:ln>
            <a:effectLst/>
          </c:spPr>
          <c:invertIfNegative val="0"/>
          <c:dLbls>
            <c:dLbl>
              <c:idx val="28"/>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5D-2245-BC4C-B9AB387BBAFE}"/>
                </c:ext>
              </c:extLst>
            </c:dLbl>
            <c:dLbl>
              <c:idx val="3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DF79-814E-848F-E2C7FBE5154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'3b.1 - ISCED 1&amp;2 - ISCED'!$V$3:$V$33</c:f>
              <c:strCache>
                <c:ptCount val="31"/>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Serbia</c:v>
                </c:pt>
                <c:pt idx="22">
                  <c:v>Slovakia</c:v>
                </c:pt>
                <c:pt idx="23">
                  <c:v>Slovenia</c:v>
                </c:pt>
                <c:pt idx="24">
                  <c:v>Spain</c:v>
                </c:pt>
                <c:pt idx="25">
                  <c:v>Sweden</c:v>
                </c:pt>
                <c:pt idx="26">
                  <c:v>UK (England)</c:v>
                </c:pt>
                <c:pt idx="27">
                  <c:v>UK (N. Ireland)</c:v>
                </c:pt>
                <c:pt idx="28">
                  <c:v>UK (Scotland)</c:v>
                </c:pt>
                <c:pt idx="29">
                  <c:v>UK (Wales)</c:v>
                </c:pt>
                <c:pt idx="30">
                  <c:v>Total average (30)</c:v>
                </c:pt>
              </c:strCache>
            </c:strRef>
          </c:cat>
          <c:val>
            <c:numRef>
              <c:f>'3b.1 - ISCED 1&amp;2 - ISCED'!$X$3:$X$33</c:f>
              <c:numCache>
                <c:formatCode>0.00</c:formatCode>
                <c:ptCount val="31"/>
                <c:pt idx="0">
                  <c:v>1.392978960866585</c:v>
                </c:pt>
                <c:pt idx="1">
                  <c:v>0.55295494441193682</c:v>
                </c:pt>
                <c:pt idx="2">
                  <c:v>1.1201014898587496</c:v>
                </c:pt>
                <c:pt idx="3">
                  <c:v>2.2579782709087817</c:v>
                </c:pt>
                <c:pt idx="4">
                  <c:v>3.5215146980569552</c:v>
                </c:pt>
                <c:pt idx="5">
                  <c:v>0.9110089792446967</c:v>
                </c:pt>
                <c:pt idx="6">
                  <c:v>1.2875552467922868</c:v>
                </c:pt>
                <c:pt idx="7">
                  <c:v>0.86425340193179134</c:v>
                </c:pt>
                <c:pt idx="8">
                  <c:v>1.3105469683174824</c:v>
                </c:pt>
                <c:pt idx="9">
                  <c:v>2.0453129289119114</c:v>
                </c:pt>
                <c:pt idx="10">
                  <c:v>2.8562812450443378</c:v>
                </c:pt>
                <c:pt idx="11">
                  <c:v>4.5545399420576285</c:v>
                </c:pt>
                <c:pt idx="12">
                  <c:v>1.3320025237663502</c:v>
                </c:pt>
                <c:pt idx="13">
                  <c:v>1.5321653205474119</c:v>
                </c:pt>
                <c:pt idx="14">
                  <c:v>0.89488604405246697</c:v>
                </c:pt>
                <c:pt idx="15">
                  <c:v>4.9910969816244588</c:v>
                </c:pt>
                <c:pt idx="16">
                  <c:v>0.21862776914274001</c:v>
                </c:pt>
                <c:pt idx="17">
                  <c:v>3.3159405165666582</c:v>
                </c:pt>
                <c:pt idx="18">
                  <c:v>2.6740296372809982</c:v>
                </c:pt>
                <c:pt idx="19">
                  <c:v>0.71511634128679913</c:v>
                </c:pt>
                <c:pt idx="20">
                  <c:v>2.335693224985421</c:v>
                </c:pt>
                <c:pt idx="21">
                  <c:v>1.3922412893622054</c:v>
                </c:pt>
                <c:pt idx="22">
                  <c:v>5.2044827788534889</c:v>
                </c:pt>
                <c:pt idx="23">
                  <c:v>2.6247304217958503</c:v>
                </c:pt>
                <c:pt idx="24">
                  <c:v>1.0887096860552252</c:v>
                </c:pt>
                <c:pt idx="25">
                  <c:v>4.4560867631990804E-2</c:v>
                </c:pt>
                <c:pt idx="26">
                  <c:v>0.50627818809568226</c:v>
                </c:pt>
                <c:pt idx="27">
                  <c:v>1.6889971579374747</c:v>
                </c:pt>
                <c:pt idx="28">
                  <c:v>9.4943944595518879</c:v>
                </c:pt>
                <c:pt idx="29">
                  <c:v>0.67688616368968268</c:v>
                </c:pt>
                <c:pt idx="30">
                  <c:v>1.3575104934629432</c:v>
                </c:pt>
              </c:numCache>
            </c:numRef>
          </c:val>
          <c:extLst>
            <c:ext xmlns:c16="http://schemas.microsoft.com/office/drawing/2014/chart" uri="{C3380CC4-5D6E-409C-BE32-E72D297353CC}">
              <c16:uniqueId val="{00000001-0471-44B8-AFA8-970686DBCAAD}"/>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63895511424411E-2"/>
          <c:y val="3.884422110552764E-2"/>
          <c:w val="0.85585138600719102"/>
          <c:h val="0.9291910998562366"/>
        </c:manualLayout>
      </c:layout>
      <c:barChart>
        <c:barDir val="bar"/>
        <c:grouping val="clustered"/>
        <c:varyColors val="0"/>
        <c:ser>
          <c:idx val="0"/>
          <c:order val="0"/>
          <c:tx>
            <c:strRef>
              <c:f>'3b.1 - ISCED 1&amp;2 - ISCED'!$Z$2</c:f>
              <c:strCache>
                <c:ptCount val="1"/>
                <c:pt idx="0">
                  <c:v>ISCED 1</c:v>
                </c:pt>
              </c:strCache>
            </c:strRef>
          </c:tx>
          <c:spPr>
            <a:solidFill>
              <a:srgbClr val="17255B"/>
            </a:solidFill>
            <a:ln>
              <a:noFill/>
            </a:ln>
            <a:effectLst/>
          </c:spPr>
          <c:invertIfNegative val="0"/>
          <c:dLbls>
            <c:dLbl>
              <c:idx val="6"/>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7B7-2046-890C-A05B3825E433}"/>
                </c:ext>
              </c:extLst>
            </c:dLbl>
            <c:dLbl>
              <c:idx val="2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37FA-4243-A447-0C378710B2B6}"/>
                </c:ext>
              </c:extLst>
            </c:dLbl>
            <c:dLbl>
              <c:idx val="3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37FA-4243-A447-0C378710B2B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'3b.1 - ISCED 1&amp;2 - ISCED'!$Y$3:$Y$33</c:f>
              <c:strCache>
                <c:ptCount val="31"/>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Serbia</c:v>
                </c:pt>
                <c:pt idx="22">
                  <c:v>Slovakia</c:v>
                </c:pt>
                <c:pt idx="23">
                  <c:v>Slovenia</c:v>
                </c:pt>
                <c:pt idx="24">
                  <c:v>Spain</c:v>
                </c:pt>
                <c:pt idx="25">
                  <c:v>Sweden</c:v>
                </c:pt>
                <c:pt idx="26">
                  <c:v>UK (England)</c:v>
                </c:pt>
                <c:pt idx="27">
                  <c:v>UK (N. Ireland)</c:v>
                </c:pt>
                <c:pt idx="28">
                  <c:v>UK (Scotland)</c:v>
                </c:pt>
                <c:pt idx="29">
                  <c:v>UK (Wales)</c:v>
                </c:pt>
                <c:pt idx="30">
                  <c:v>Total average (30)</c:v>
                </c:pt>
              </c:strCache>
            </c:strRef>
          </c:cat>
          <c:val>
            <c:numRef>
              <c:f>'3b.1 - ISCED 1&amp;2 - ISCED'!$Z$3:$Z$33</c:f>
              <c:numCache>
                <c:formatCode>0.00</c:formatCode>
                <c:ptCount val="31"/>
                <c:pt idx="0">
                  <c:v>1.6546724930016676</c:v>
                </c:pt>
                <c:pt idx="1">
                  <c:v>1.3326777220179884</c:v>
                </c:pt>
                <c:pt idx="2">
                  <c:v>2.2062181759161752</c:v>
                </c:pt>
                <c:pt idx="3">
                  <c:v>6.5152410102203362</c:v>
                </c:pt>
                <c:pt idx="4">
                  <c:v>5.7107885690475362</c:v>
                </c:pt>
                <c:pt idx="5">
                  <c:v>2.6329315017288102</c:v>
                </c:pt>
                <c:pt idx="6">
                  <c:v>2.4107775939494211</c:v>
                </c:pt>
                <c:pt idx="7">
                  <c:v>2.0114841848245133</c:v>
                </c:pt>
                <c:pt idx="8">
                  <c:v>2.6779027167889264</c:v>
                </c:pt>
                <c:pt idx="9">
                  <c:v>3.6457764136126474</c:v>
                </c:pt>
                <c:pt idx="10">
                  <c:v>4.2036139922560967</c:v>
                </c:pt>
                <c:pt idx="11">
                  <c:v>13.264125574559896</c:v>
                </c:pt>
                <c:pt idx="12">
                  <c:v>5.5979485502662056</c:v>
                </c:pt>
                <c:pt idx="13">
                  <c:v>3.2096959834752297</c:v>
                </c:pt>
                <c:pt idx="14">
                  <c:v>2.5241551857521438</c:v>
                </c:pt>
                <c:pt idx="15">
                  <c:v>17.214460708985698</c:v>
                </c:pt>
                <c:pt idx="16">
                  <c:v>0.84449857896873737</c:v>
                </c:pt>
                <c:pt idx="17">
                  <c:v>8.9975189951930528</c:v>
                </c:pt>
                <c:pt idx="18">
                  <c:v>6.4178050459025098</c:v>
                </c:pt>
                <c:pt idx="19">
                  <c:v>2.0910334137877706</c:v>
                </c:pt>
                <c:pt idx="20">
                  <c:v>5.8702365179967497</c:v>
                </c:pt>
                <c:pt idx="21">
                  <c:v>1.8293970431959239</c:v>
                </c:pt>
                <c:pt idx="22">
                  <c:v>8.9838395578169425</c:v>
                </c:pt>
                <c:pt idx="23">
                  <c:v>4.4167628447486766</c:v>
                </c:pt>
                <c:pt idx="24">
                  <c:v>2.88703377206649</c:v>
                </c:pt>
                <c:pt idx="25">
                  <c:v>0.1032803255965678</c:v>
                </c:pt>
                <c:pt idx="26">
                  <c:v>1.3834364776728969</c:v>
                </c:pt>
                <c:pt idx="27">
                  <c:v>2.6189372921420153</c:v>
                </c:pt>
                <c:pt idx="28">
                  <c:v>21.582182797529057</c:v>
                </c:pt>
                <c:pt idx="29">
                  <c:v>1.015404846890851</c:v>
                </c:pt>
                <c:pt idx="30">
                  <c:v>3.0116959769492966</c:v>
                </c:pt>
              </c:numCache>
            </c:numRef>
          </c:val>
          <c:extLst>
            <c:ext xmlns:c16="http://schemas.microsoft.com/office/drawing/2014/chart" uri="{C3380CC4-5D6E-409C-BE32-E72D297353CC}">
              <c16:uniqueId val="{00000000-32E2-46DD-81C9-DF9B58C4FAF7}"/>
            </c:ext>
          </c:extLst>
        </c:ser>
        <c:ser>
          <c:idx val="1"/>
          <c:order val="1"/>
          <c:tx>
            <c:strRef>
              <c:f>'3b.1 - ISCED 1&amp;2 - ISCED'!$AA$2</c:f>
              <c:strCache>
                <c:ptCount val="1"/>
                <c:pt idx="0">
                  <c:v>ISCED 2</c:v>
                </c:pt>
              </c:strCache>
            </c:strRef>
          </c:tx>
          <c:spPr>
            <a:solidFill>
              <a:schemeClr val="accent4"/>
            </a:solidFill>
            <a:ln>
              <a:noFill/>
            </a:ln>
            <a:effectLst/>
          </c:spPr>
          <c:invertIfNegative val="0"/>
          <c:dLbls>
            <c:dLbl>
              <c:idx val="28"/>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FA-4243-A447-0C378710B2B6}"/>
                </c:ext>
              </c:extLst>
            </c:dLbl>
            <c:dLbl>
              <c:idx val="3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37FA-4243-A447-0C378710B2B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'3b.1 - ISCED 1&amp;2 - ISCED'!$Y$3:$Y$33</c:f>
              <c:strCache>
                <c:ptCount val="31"/>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Serbia</c:v>
                </c:pt>
                <c:pt idx="22">
                  <c:v>Slovakia</c:v>
                </c:pt>
                <c:pt idx="23">
                  <c:v>Slovenia</c:v>
                </c:pt>
                <c:pt idx="24">
                  <c:v>Spain</c:v>
                </c:pt>
                <c:pt idx="25">
                  <c:v>Sweden</c:v>
                </c:pt>
                <c:pt idx="26">
                  <c:v>UK (England)</c:v>
                </c:pt>
                <c:pt idx="27">
                  <c:v>UK (N. Ireland)</c:v>
                </c:pt>
                <c:pt idx="28">
                  <c:v>UK (Scotland)</c:v>
                </c:pt>
                <c:pt idx="29">
                  <c:v>UK (Wales)</c:v>
                </c:pt>
                <c:pt idx="30">
                  <c:v>Total average (30)</c:v>
                </c:pt>
              </c:strCache>
            </c:strRef>
          </c:cat>
          <c:val>
            <c:numRef>
              <c:f>'3b.1 - ISCED 1&amp;2 - ISCED'!$AA$3:$AA$33</c:f>
              <c:numCache>
                <c:formatCode>0.00</c:formatCode>
                <c:ptCount val="31"/>
                <c:pt idx="0">
                  <c:v>3.0728440190467032</c:v>
                </c:pt>
                <c:pt idx="1">
                  <c:v>1.6271595018079552</c:v>
                </c:pt>
                <c:pt idx="2">
                  <c:v>2.7025585785437753</c:v>
                </c:pt>
                <c:pt idx="3">
                  <c:v>7.0333497369118367</c:v>
                </c:pt>
                <c:pt idx="4">
                  <c:v>8.7992464554000982</c:v>
                </c:pt>
                <c:pt idx="5">
                  <c:v>3.0375743033211537</c:v>
                </c:pt>
                <c:pt idx="6">
                  <c:v>3.8996130284192834</c:v>
                </c:pt>
                <c:pt idx="7">
                  <c:v>1.9749847393371429</c:v>
                </c:pt>
                <c:pt idx="8">
                  <c:v>2.1638442467564261</c:v>
                </c:pt>
                <c:pt idx="9">
                  <c:v>6.1705886242761459</c:v>
                </c:pt>
                <c:pt idx="10">
                  <c:v>5.8045820642799217</c:v>
                </c:pt>
                <c:pt idx="11">
                  <c:v>16.164514586322333</c:v>
                </c:pt>
                <c:pt idx="12">
                  <c:v>5.241935483870968</c:v>
                </c:pt>
                <c:pt idx="13">
                  <c:v>4.0063589143350846</c:v>
                </c:pt>
                <c:pt idx="14">
                  <c:v>2.8268362886891012</c:v>
                </c:pt>
                <c:pt idx="15">
                  <c:v>8.4663687000544172</c:v>
                </c:pt>
                <c:pt idx="16">
                  <c:v>0.5925377279881493</c:v>
                </c:pt>
                <c:pt idx="17">
                  <c:v>10.140418062868996</c:v>
                </c:pt>
                <c:pt idx="18">
                  <c:v>9.1135579542561889</c:v>
                </c:pt>
                <c:pt idx="19">
                  <c:v>2.2649471258134488</c:v>
                </c:pt>
                <c:pt idx="20">
                  <c:v>6.4747331907127403</c:v>
                </c:pt>
                <c:pt idx="21">
                  <c:v>2.797823526739379</c:v>
                </c:pt>
                <c:pt idx="22">
                  <c:v>9.8642846646039946</c:v>
                </c:pt>
                <c:pt idx="23">
                  <c:v>8.7526945662677456</c:v>
                </c:pt>
                <c:pt idx="24">
                  <c:v>3.1247829328848455</c:v>
                </c:pt>
                <c:pt idx="25">
                  <c:v>0.13861868435533287</c:v>
                </c:pt>
                <c:pt idx="26">
                  <c:v>1.640585062056634</c:v>
                </c:pt>
                <c:pt idx="27">
                  <c:v>4.2427897406789885</c:v>
                </c:pt>
                <c:pt idx="28">
                  <c:v>27.928755406521844</c:v>
                </c:pt>
                <c:pt idx="29">
                  <c:v>1.5655444567764212</c:v>
                </c:pt>
                <c:pt idx="30">
                  <c:v>3.3061834824054448</c:v>
                </c:pt>
              </c:numCache>
            </c:numRef>
          </c:val>
          <c:extLst>
            <c:ext xmlns:c16="http://schemas.microsoft.com/office/drawing/2014/chart" uri="{C3380CC4-5D6E-409C-BE32-E72D297353CC}">
              <c16:uniqueId val="{00000001-32E2-46DD-81C9-DF9B58C4FAF7}"/>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28"/>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layout>
        <c:manualLayout>
          <c:xMode val="edge"/>
          <c:yMode val="edge"/>
          <c:x val="0.29478942484889881"/>
          <c:y val="0.96971036283781109"/>
          <c:w val="0.41042115030220239"/>
          <c:h val="3.0289637162188899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2CCE-4B7B-88C0-6650AB5EAF48}"/>
              </c:ext>
            </c:extLst>
          </c:dPt>
          <c:dPt>
            <c:idx val="24"/>
            <c:invertIfNegative val="0"/>
            <c:bubble3D val="0"/>
            <c:spPr>
              <a:solidFill>
                <a:srgbClr val="F9C624"/>
              </a:solidFill>
              <a:ln>
                <a:noFill/>
              </a:ln>
              <a:effectLst/>
            </c:spPr>
            <c:extLst>
              <c:ext xmlns:c16="http://schemas.microsoft.com/office/drawing/2014/chart" uri="{C3380CC4-5D6E-409C-BE32-E72D297353CC}">
                <c16:uniqueId val="{00000003-2CCE-4B7B-88C0-6650AB5EAF48}"/>
              </c:ext>
            </c:extLst>
          </c:dPt>
          <c:dPt>
            <c:idx val="27"/>
            <c:invertIfNegative val="0"/>
            <c:bubble3D val="0"/>
            <c:extLst>
              <c:ext xmlns:c16="http://schemas.microsoft.com/office/drawing/2014/chart" uri="{C3380CC4-5D6E-409C-BE32-E72D297353CC}">
                <c16:uniqueId val="{00000005-2CCE-4B7B-88C0-6650AB5EAF48}"/>
              </c:ext>
            </c:extLst>
          </c:dPt>
          <c:dLbls>
            <c:dLbl>
              <c:idx val="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27C8-AC41-9F48-FAC3ED17E642}"/>
                </c:ext>
              </c:extLst>
            </c:dLbl>
            <c:dLbl>
              <c:idx val="24"/>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2CCE-4B7B-88C0-6650AB5EAF48}"/>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'3b.2 - ISCED 1&amp;2 '!$N$3:$N$27</c:f>
              <c:strCache>
                <c:ptCount val="25"/>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Serbia</c:v>
                </c:pt>
                <c:pt idx="17">
                  <c:v>Slovakia</c:v>
                </c:pt>
                <c:pt idx="18">
                  <c:v>Slovenia</c:v>
                </c:pt>
                <c:pt idx="19">
                  <c:v>Spain</c:v>
                </c:pt>
                <c:pt idx="20">
                  <c:v>Switzerland</c:v>
                </c:pt>
                <c:pt idx="21">
                  <c:v>UK (England)</c:v>
                </c:pt>
                <c:pt idx="22">
                  <c:v>UK (N. Ireland)</c:v>
                </c:pt>
                <c:pt idx="23">
                  <c:v>UK (Wales)</c:v>
                </c:pt>
                <c:pt idx="24">
                  <c:v>Total average (24)</c:v>
                </c:pt>
              </c:strCache>
            </c:strRef>
          </c:cat>
          <c:val>
            <c:numRef>
              <c:f>'3b.2 - ISCED 1&amp;2 '!$O$3:$O$27</c:f>
              <c:numCache>
                <c:formatCode>0.00</c:formatCode>
                <c:ptCount val="25"/>
                <c:pt idx="0">
                  <c:v>2.3427537080707866E-2</c:v>
                </c:pt>
                <c:pt idx="1">
                  <c:v>0.83489293439953338</c:v>
                </c:pt>
                <c:pt idx="2">
                  <c:v>0.63948965788709122</c:v>
                </c:pt>
                <c:pt idx="3">
                  <c:v>1.990481019283296</c:v>
                </c:pt>
                <c:pt idx="4">
                  <c:v>3.8136816481005162</c:v>
                </c:pt>
                <c:pt idx="5">
                  <c:v>0.80821897429593537</c:v>
                </c:pt>
                <c:pt idx="6">
                  <c:v>6.3563766774206679E-2</c:v>
                </c:pt>
                <c:pt idx="7">
                  <c:v>2.4764662910978759</c:v>
                </c:pt>
                <c:pt idx="8">
                  <c:v>0.88710220764929137</c:v>
                </c:pt>
                <c:pt idx="9">
                  <c:v>0.66023530409793907</c:v>
                </c:pt>
                <c:pt idx="10">
                  <c:v>0.83920174589961083</c:v>
                </c:pt>
                <c:pt idx="11">
                  <c:v>0.32764549406345295</c:v>
                </c:pt>
                <c:pt idx="12">
                  <c:v>0.39626283157121633</c:v>
                </c:pt>
                <c:pt idx="13">
                  <c:v>0.4139684557625839</c:v>
                </c:pt>
                <c:pt idx="14">
                  <c:v>0.10121674115981009</c:v>
                </c:pt>
                <c:pt idx="15">
                  <c:v>1.011210847871465</c:v>
                </c:pt>
                <c:pt idx="16">
                  <c:v>0.24380743038793554</c:v>
                </c:pt>
                <c:pt idx="17">
                  <c:v>1.9731603255630714</c:v>
                </c:pt>
                <c:pt idx="18">
                  <c:v>0.27807653513293618</c:v>
                </c:pt>
                <c:pt idx="19">
                  <c:v>0.15559420602728907</c:v>
                </c:pt>
                <c:pt idx="20">
                  <c:v>1.9019142201078205</c:v>
                </c:pt>
                <c:pt idx="21">
                  <c:v>9.6040322168188155E-2</c:v>
                </c:pt>
                <c:pt idx="22">
                  <c:v>0.81095871065685177</c:v>
                </c:pt>
                <c:pt idx="23">
                  <c:v>0.67448680351906165</c:v>
                </c:pt>
                <c:pt idx="24">
                  <c:v>0.58087893876081353</c:v>
                </c:pt>
              </c:numCache>
            </c:numRef>
          </c:val>
          <c:extLst>
            <c:ext xmlns:c16="http://schemas.microsoft.com/office/drawing/2014/chart" uri="{C3380CC4-5D6E-409C-BE32-E72D297353CC}">
              <c16:uniqueId val="{00000006-2CCE-4B7B-88C0-6650AB5EAF48}"/>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4"/>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Blad1!$Q$2</c:f>
              <c:strCache>
                <c:ptCount val="1"/>
                <c:pt idx="0">
                  <c:v>Boys</c:v>
                </c:pt>
              </c:strCache>
            </c:strRef>
          </c:tx>
          <c:spPr>
            <a:solidFill>
              <a:srgbClr val="17255B"/>
            </a:solidFill>
            <a:ln>
              <a:noFill/>
            </a:ln>
            <a:effectLst/>
          </c:spPr>
          <c:invertIfNegative val="0"/>
          <c:dLbls>
            <c:dLbl>
              <c:idx val="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3AA-4F48-8175-6555FF97A109}"/>
                </c:ext>
              </c:extLst>
            </c:dLbl>
            <c:dLbl>
              <c:idx val="22"/>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13AA-4F48-8175-6555FF97A10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Blad1!$P$3:$P$25</c:f>
              <c:strCache>
                <c:ptCount val="23"/>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Poland</c:v>
                </c:pt>
                <c:pt idx="13">
                  <c:v>Portugal</c:v>
                </c:pt>
                <c:pt idx="14">
                  <c:v>Serbia</c:v>
                </c:pt>
                <c:pt idx="15">
                  <c:v>Slovakia</c:v>
                </c:pt>
                <c:pt idx="16">
                  <c:v>Slovenia</c:v>
                </c:pt>
                <c:pt idx="17">
                  <c:v>Spain</c:v>
                </c:pt>
                <c:pt idx="18">
                  <c:v>Switzerland</c:v>
                </c:pt>
                <c:pt idx="19">
                  <c:v>UK (England)</c:v>
                </c:pt>
                <c:pt idx="20">
                  <c:v>UK (N. Ireland)</c:v>
                </c:pt>
                <c:pt idx="21">
                  <c:v>UK (Wales)</c:v>
                </c:pt>
                <c:pt idx="22">
                  <c:v>Total average (22)</c:v>
                </c:pt>
              </c:strCache>
            </c:strRef>
          </c:cat>
          <c:val>
            <c:numRef>
              <c:f>Blad1!$Q$3:$Q$25</c:f>
              <c:numCache>
                <c:formatCode>0.00</c:formatCode>
                <c:ptCount val="23"/>
                <c:pt idx="0">
                  <c:v>1.3702899047206488E-2</c:v>
                </c:pt>
                <c:pt idx="1">
                  <c:v>0.57360911941277981</c:v>
                </c:pt>
                <c:pt idx="2">
                  <c:v>0.41507991798370714</c:v>
                </c:pt>
                <c:pt idx="3">
                  <c:v>1.4949052190837573</c:v>
                </c:pt>
                <c:pt idx="4">
                  <c:v>2.6695399034100751</c:v>
                </c:pt>
                <c:pt idx="5">
                  <c:v>0.51499736531184448</c:v>
                </c:pt>
                <c:pt idx="6">
                  <c:v>4.0497112493254828E-2</c:v>
                </c:pt>
                <c:pt idx="7">
                  <c:v>1.597770504418176</c:v>
                </c:pt>
                <c:pt idx="8">
                  <c:v>0.68722348238147646</c:v>
                </c:pt>
                <c:pt idx="9">
                  <c:v>0.53908391523114196</c:v>
                </c:pt>
                <c:pt idx="10">
                  <c:v>0.55796791684478142</c:v>
                </c:pt>
                <c:pt idx="11">
                  <c:v>0.21590720675908506</c:v>
                </c:pt>
                <c:pt idx="12">
                  <c:v>6.1027303847603555E-2</c:v>
                </c:pt>
                <c:pt idx="13">
                  <c:v>0.62937710850596518</c:v>
                </c:pt>
                <c:pt idx="14">
                  <c:v>0.1509449711674237</c:v>
                </c:pt>
                <c:pt idx="15">
                  <c:v>1.0748023905918642</c:v>
                </c:pt>
                <c:pt idx="16">
                  <c:v>0.17163842248686242</c:v>
                </c:pt>
                <c:pt idx="17">
                  <c:v>0.10001719781795457</c:v>
                </c:pt>
                <c:pt idx="18">
                  <c:v>1.1702375559983347</c:v>
                </c:pt>
                <c:pt idx="19">
                  <c:v>7.2376908830667205E-2</c:v>
                </c:pt>
                <c:pt idx="20">
                  <c:v>0.5966566047061731</c:v>
                </c:pt>
                <c:pt idx="21">
                  <c:v>0.49560117302052786</c:v>
                </c:pt>
                <c:pt idx="22">
                  <c:v>0.38088318203748517</c:v>
                </c:pt>
              </c:numCache>
            </c:numRef>
          </c:val>
          <c:extLst>
            <c:ext xmlns:c16="http://schemas.microsoft.com/office/drawing/2014/chart" uri="{C3380CC4-5D6E-409C-BE32-E72D297353CC}">
              <c16:uniqueId val="{00000000-7418-4674-9EA9-DE3B55B52339}"/>
            </c:ext>
          </c:extLst>
        </c:ser>
        <c:ser>
          <c:idx val="1"/>
          <c:order val="1"/>
          <c:tx>
            <c:strRef>
              <c:f>Blad1!$R$2</c:f>
              <c:strCache>
                <c:ptCount val="1"/>
                <c:pt idx="0">
                  <c:v>Girls</c:v>
                </c:pt>
              </c:strCache>
            </c:strRef>
          </c:tx>
          <c:spPr>
            <a:solidFill>
              <a:schemeClr val="accent4"/>
            </a:solidFill>
            <a:ln>
              <a:noFill/>
            </a:ln>
            <a:effectLst/>
          </c:spPr>
          <c:invertIfNegative val="0"/>
          <c:dLbls>
            <c:dLbl>
              <c:idx val="2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2-13AA-4F48-8175-6555FF97A10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Blad1!$P$3:$P$25</c:f>
              <c:strCache>
                <c:ptCount val="23"/>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Poland</c:v>
                </c:pt>
                <c:pt idx="13">
                  <c:v>Portugal</c:v>
                </c:pt>
                <c:pt idx="14">
                  <c:v>Serbia</c:v>
                </c:pt>
                <c:pt idx="15">
                  <c:v>Slovakia</c:v>
                </c:pt>
                <c:pt idx="16">
                  <c:v>Slovenia</c:v>
                </c:pt>
                <c:pt idx="17">
                  <c:v>Spain</c:v>
                </c:pt>
                <c:pt idx="18">
                  <c:v>Switzerland</c:v>
                </c:pt>
                <c:pt idx="19">
                  <c:v>UK (England)</c:v>
                </c:pt>
                <c:pt idx="20">
                  <c:v>UK (N. Ireland)</c:v>
                </c:pt>
                <c:pt idx="21">
                  <c:v>UK (Wales)</c:v>
                </c:pt>
                <c:pt idx="22">
                  <c:v>Total average (22)</c:v>
                </c:pt>
              </c:strCache>
            </c:strRef>
          </c:cat>
          <c:val>
            <c:numRef>
              <c:f>Blad1!$R$3:$R$25</c:f>
              <c:numCache>
                <c:formatCode>0.00</c:formatCode>
                <c:ptCount val="23"/>
                <c:pt idx="0">
                  <c:v>9.7246380335013777E-3</c:v>
                </c:pt>
                <c:pt idx="1">
                  <c:v>0.26128381498675352</c:v>
                </c:pt>
                <c:pt idx="2">
                  <c:v>0.22440973990338406</c:v>
                </c:pt>
                <c:pt idx="3">
                  <c:v>0.49557580019953873</c:v>
                </c:pt>
                <c:pt idx="4">
                  <c:v>1.1441417446904409</c:v>
                </c:pt>
                <c:pt idx="5">
                  <c:v>0.29322160898409089</c:v>
                </c:pt>
                <c:pt idx="6">
                  <c:v>2.3066654280951851E-2</c:v>
                </c:pt>
                <c:pt idx="7">
                  <c:v>0.87869578667969983</c:v>
                </c:pt>
                <c:pt idx="8">
                  <c:v>0.19987872526781503</c:v>
                </c:pt>
                <c:pt idx="9">
                  <c:v>0.12115138886679711</c:v>
                </c:pt>
                <c:pt idx="10">
                  <c:v>0.28123382905482935</c:v>
                </c:pt>
                <c:pt idx="11">
                  <c:v>0.11173828730436788</c:v>
                </c:pt>
                <c:pt idx="12">
                  <c:v>4.0189437312206533E-2</c:v>
                </c:pt>
                <c:pt idx="13">
                  <c:v>0.3818337393654998</c:v>
                </c:pt>
                <c:pt idx="14">
                  <c:v>9.2862459220511825E-2</c:v>
                </c:pt>
                <c:pt idx="15">
                  <c:v>0.89835793497120719</c:v>
                </c:pt>
                <c:pt idx="16">
                  <c:v>0.10643811264607378</c:v>
                </c:pt>
                <c:pt idx="17">
                  <c:v>5.5577008209334498E-2</c:v>
                </c:pt>
                <c:pt idx="18">
                  <c:v>0.73167666410948573</c:v>
                </c:pt>
                <c:pt idx="19">
                  <c:v>2.3663413337520953E-2</c:v>
                </c:pt>
                <c:pt idx="20">
                  <c:v>0.21430210595067872</c:v>
                </c:pt>
                <c:pt idx="21">
                  <c:v>0.17888563049853373</c:v>
                </c:pt>
                <c:pt idx="22">
                  <c:v>0.20386275012952981</c:v>
                </c:pt>
              </c:numCache>
            </c:numRef>
          </c:val>
          <c:extLst>
            <c:ext xmlns:c16="http://schemas.microsoft.com/office/drawing/2014/chart" uri="{C3380CC4-5D6E-409C-BE32-E72D297353CC}">
              <c16:uniqueId val="{00000001-7418-4674-9EA9-DE3B55B52339}"/>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7"/>
            <c:invertIfNegative val="0"/>
            <c:bubble3D val="0"/>
            <c:spPr>
              <a:solidFill>
                <a:srgbClr val="F9C623"/>
              </a:solidFill>
              <a:ln>
                <a:noFill/>
              </a:ln>
              <a:effectLst/>
            </c:spPr>
            <c:extLst>
              <c:ext xmlns:c16="http://schemas.microsoft.com/office/drawing/2014/chart" uri="{C3380CC4-5D6E-409C-BE32-E72D297353CC}">
                <c16:uniqueId val="{00000001-6110-4934-8D41-2D8230C39811}"/>
              </c:ext>
            </c:extLst>
          </c:dPt>
          <c:dLbls>
            <c:dLbl>
              <c:idx val="9"/>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92A9-6A46-BE17-332764E683F9}"/>
                </c:ext>
              </c:extLst>
            </c:dLbl>
            <c:dLbl>
              <c:idx val="11"/>
              <c:spPr>
                <a:noFill/>
                <a:ln>
                  <a:noFill/>
                </a:ln>
                <a:effectLst/>
              </c:spPr>
              <c:txPr>
                <a:bodyPr rot="0" spcFirstLastPara="1" vertOverflow="overflow" horzOverflow="overflow" vert="horz" wrap="none" lIns="360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2-92A9-6A46-BE17-332764E683F9}"/>
                </c:ext>
              </c:extLst>
            </c:dLbl>
            <c:dLbl>
              <c:idx val="27"/>
              <c:spPr>
                <a:noFill/>
                <a:ln>
                  <a:noFill/>
                </a:ln>
                <a:effectLst/>
              </c:spPr>
              <c:txPr>
                <a:bodyPr rot="0" spcFirstLastPara="1" vertOverflow="overflow" horzOverflow="overflow" vert="horz" wrap="none" lIns="360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1-6110-4934-8D41-2D8230C39811}"/>
                </c:ext>
              </c:extLst>
            </c:dLbl>
            <c:spPr>
              <a:noFill/>
              <a:ln>
                <a:noFill/>
              </a:ln>
              <a:effectLst/>
            </c:spPr>
            <c:txPr>
              <a:bodyPr rot="0" spcFirstLastPara="1" vertOverflow="overflow" horzOverflow="overflow" vert="horz" wrap="none" lIns="360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'3a1 - ISCED 02'!$F$3:$F$30</c:f>
              <c:strCache>
                <c:ptCount val="28"/>
                <c:pt idx="0">
                  <c:v>Belgium (Fl)</c:v>
                </c:pt>
                <c:pt idx="1">
                  <c:v>Bulgaria</c:v>
                </c:pt>
                <c:pt idx="2">
                  <c:v>Cyprus</c:v>
                </c:pt>
                <c:pt idx="3">
                  <c:v>Czech Republic</c:v>
                </c:pt>
                <c:pt idx="4">
                  <c:v>Estonia</c:v>
                </c:pt>
                <c:pt idx="5">
                  <c:v>Finland</c:v>
                </c:pt>
                <c:pt idx="6">
                  <c:v>France</c:v>
                </c:pt>
                <c:pt idx="7">
                  <c:v>Greece</c:v>
                </c:pt>
                <c:pt idx="8">
                  <c:v>Hungary</c:v>
                </c:pt>
                <c:pt idx="9">
                  <c:v>Iceland </c:v>
                </c:pt>
                <c:pt idx="10">
                  <c:v>Italy</c:v>
                </c:pt>
                <c:pt idx="11">
                  <c:v>Lithuania</c:v>
                </c:pt>
                <c:pt idx="12">
                  <c:v>Luxembourg</c:v>
                </c:pt>
                <c:pt idx="13">
                  <c:v>Malta</c:v>
                </c:pt>
                <c:pt idx="14">
                  <c:v>Netherlands</c:v>
                </c:pt>
                <c:pt idx="15">
                  <c:v>Norway</c:v>
                </c:pt>
                <c:pt idx="16">
                  <c:v>Poland</c:v>
                </c:pt>
                <c:pt idx="17">
                  <c:v>Portugal</c:v>
                </c:pt>
                <c:pt idx="18">
                  <c:v>Serbia</c:v>
                </c:pt>
                <c:pt idx="19">
                  <c:v>Slovakia</c:v>
                </c:pt>
                <c:pt idx="20">
                  <c:v>Slovenia</c:v>
                </c:pt>
                <c:pt idx="21">
                  <c:v>Spain</c:v>
                </c:pt>
                <c:pt idx="22">
                  <c:v>Switzerland</c:v>
                </c:pt>
                <c:pt idx="23">
                  <c:v>UK (England)</c:v>
                </c:pt>
                <c:pt idx="24">
                  <c:v>UK (N. Ireland)</c:v>
                </c:pt>
                <c:pt idx="25">
                  <c:v>UK (Scotland)</c:v>
                </c:pt>
                <c:pt idx="26">
                  <c:v>UK (Wales)</c:v>
                </c:pt>
                <c:pt idx="27">
                  <c:v>Total average (27)</c:v>
                </c:pt>
              </c:strCache>
            </c:strRef>
          </c:cat>
          <c:val>
            <c:numRef>
              <c:f>'3a1 - ISCED 02'!$G$3:$G$30</c:f>
              <c:numCache>
                <c:formatCode>0.00</c:formatCode>
                <c:ptCount val="28"/>
                <c:pt idx="0">
                  <c:v>1.3945190948977662</c:v>
                </c:pt>
                <c:pt idx="1">
                  <c:v>1.9321971410855832</c:v>
                </c:pt>
                <c:pt idx="2">
                  <c:v>2.8921023359288096</c:v>
                </c:pt>
                <c:pt idx="3">
                  <c:v>4.1752278522695416</c:v>
                </c:pt>
                <c:pt idx="4">
                  <c:v>6.1876888217522659</c:v>
                </c:pt>
                <c:pt idx="5">
                  <c:v>0.46441729687802985</c:v>
                </c:pt>
                <c:pt idx="6">
                  <c:v>2.4286859981773725</c:v>
                </c:pt>
                <c:pt idx="7">
                  <c:v>2.6395290159798148</c:v>
                </c:pt>
                <c:pt idx="8">
                  <c:v>2.7138119041094595</c:v>
                </c:pt>
                <c:pt idx="9">
                  <c:v>12.485602395761346</c:v>
                </c:pt>
                <c:pt idx="10">
                  <c:v>1.8525943761139234</c:v>
                </c:pt>
                <c:pt idx="11">
                  <c:v>19.628580785605578</c:v>
                </c:pt>
                <c:pt idx="12">
                  <c:v>1.4061592097617663</c:v>
                </c:pt>
                <c:pt idx="13">
                  <c:v>4.6942758022549871</c:v>
                </c:pt>
                <c:pt idx="14">
                  <c:v>1.0565984072810013</c:v>
                </c:pt>
                <c:pt idx="15">
                  <c:v>4.1531115252704591</c:v>
                </c:pt>
                <c:pt idx="16">
                  <c:v>2.8125471271301463</c:v>
                </c:pt>
                <c:pt idx="17">
                  <c:v>1.0738434701508648</c:v>
                </c:pt>
                <c:pt idx="18">
                  <c:v>0.22204464073299132</c:v>
                </c:pt>
                <c:pt idx="19">
                  <c:v>4.1573489930852254</c:v>
                </c:pt>
                <c:pt idx="20">
                  <c:v>1.3343689860650607</c:v>
                </c:pt>
                <c:pt idx="21">
                  <c:v>1.1562973353307691</c:v>
                </c:pt>
                <c:pt idx="22">
                  <c:v>1.1176225331233207</c:v>
                </c:pt>
                <c:pt idx="23">
                  <c:v>0.71978931019346992</c:v>
                </c:pt>
                <c:pt idx="24">
                  <c:v>1.1165532126847086</c:v>
                </c:pt>
                <c:pt idx="25">
                  <c:v>11.945486344087204</c:v>
                </c:pt>
                <c:pt idx="26">
                  <c:v>1.1445394055003979</c:v>
                </c:pt>
                <c:pt idx="27">
                  <c:v>2.151685213304769</c:v>
                </c:pt>
              </c:numCache>
            </c:numRef>
          </c:val>
          <c:extLst>
            <c:ext xmlns:c16="http://schemas.microsoft.com/office/drawing/2014/chart" uri="{C3380CC4-5D6E-409C-BE32-E72D297353CC}">
              <c16:uniqueId val="{00000002-6110-4934-8D41-2D8230C39811}"/>
            </c:ext>
          </c:extLst>
        </c:ser>
        <c:dLbls>
          <c:showLegendKey val="0"/>
          <c:showVal val="0"/>
          <c:showCatName val="0"/>
          <c:showSerName val="0"/>
          <c:showPercent val="0"/>
          <c:showBubbleSize val="0"/>
        </c:dLbls>
        <c:gapWidth val="20"/>
        <c:overlap val="-66"/>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2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Blad1!$T$2</c:f>
              <c:strCache>
                <c:ptCount val="1"/>
                <c:pt idx="0">
                  <c:v>Boys</c:v>
                </c:pt>
              </c:strCache>
            </c:strRef>
          </c:tx>
          <c:spPr>
            <a:solidFill>
              <a:srgbClr val="17255B"/>
            </a:solidFill>
            <a:ln>
              <a:noFill/>
            </a:ln>
            <a:effectLst/>
          </c:spPr>
          <c:invertIfNegative val="0"/>
          <c:dLbls>
            <c:dLbl>
              <c:idx val="22"/>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E66F-9841-A4D5-37B7B887AFA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Blad1!$S$3:$S$25</c:f>
              <c:strCache>
                <c:ptCount val="23"/>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Poland</c:v>
                </c:pt>
                <c:pt idx="13">
                  <c:v>Portugal</c:v>
                </c:pt>
                <c:pt idx="14">
                  <c:v>Serbia</c:v>
                </c:pt>
                <c:pt idx="15">
                  <c:v>Slovakia</c:v>
                </c:pt>
                <c:pt idx="16">
                  <c:v>Slovenia</c:v>
                </c:pt>
                <c:pt idx="17">
                  <c:v>Spain</c:v>
                </c:pt>
                <c:pt idx="18">
                  <c:v>Switzerland</c:v>
                </c:pt>
                <c:pt idx="19">
                  <c:v>UK (England)</c:v>
                </c:pt>
                <c:pt idx="20">
                  <c:v>UK (N. Ireland)</c:v>
                </c:pt>
                <c:pt idx="21">
                  <c:v>UK (Wales)</c:v>
                </c:pt>
                <c:pt idx="22">
                  <c:v>Total average (22)</c:v>
                </c:pt>
              </c:strCache>
            </c:strRef>
          </c:cat>
          <c:val>
            <c:numRef>
              <c:f>Blad1!$T$3:$T$25</c:f>
              <c:numCache>
                <c:formatCode>0.00</c:formatCode>
                <c:ptCount val="23"/>
                <c:pt idx="0">
                  <c:v>58.490566037735846</c:v>
                </c:pt>
                <c:pt idx="1">
                  <c:v>68.704512372634639</c:v>
                </c:pt>
                <c:pt idx="2">
                  <c:v>64.907995440481997</c:v>
                </c:pt>
                <c:pt idx="3">
                  <c:v>75.102711585866885</c:v>
                </c:pt>
                <c:pt idx="4">
                  <c:v>69.999023246727873</c:v>
                </c:pt>
                <c:pt idx="5">
                  <c:v>63.720029062727058</c:v>
                </c:pt>
                <c:pt idx="6">
                  <c:v>63.711001642036123</c:v>
                </c:pt>
                <c:pt idx="7">
                  <c:v>64.518160823010703</c:v>
                </c:pt>
                <c:pt idx="8">
                  <c:v>77.468354430379748</c:v>
                </c:pt>
                <c:pt idx="9">
                  <c:v>81.650271029913668</c:v>
                </c:pt>
                <c:pt idx="10">
                  <c:v>66.487935656836456</c:v>
                </c:pt>
                <c:pt idx="11">
                  <c:v>65.896589658965894</c:v>
                </c:pt>
                <c:pt idx="12">
                  <c:v>60.293685756240819</c:v>
                </c:pt>
                <c:pt idx="13">
                  <c:v>62.239948259135488</c:v>
                </c:pt>
                <c:pt idx="14">
                  <c:v>61.911554921540656</c:v>
                </c:pt>
                <c:pt idx="15">
                  <c:v>54.471112999150385</c:v>
                </c:pt>
                <c:pt idx="16">
                  <c:v>61.723446893787568</c:v>
                </c:pt>
                <c:pt idx="17">
                  <c:v>64.280798348245</c:v>
                </c:pt>
                <c:pt idx="18">
                  <c:v>61.529460352422902</c:v>
                </c:pt>
                <c:pt idx="19">
                  <c:v>75.360960060003748</c:v>
                </c:pt>
                <c:pt idx="20">
                  <c:v>73.574227252938613</c:v>
                </c:pt>
                <c:pt idx="21">
                  <c:v>73.478260869565219</c:v>
                </c:pt>
                <c:pt idx="22">
                  <c:v>65.136525298426093</c:v>
                </c:pt>
              </c:numCache>
            </c:numRef>
          </c:val>
          <c:extLst>
            <c:ext xmlns:c16="http://schemas.microsoft.com/office/drawing/2014/chart" uri="{C3380CC4-5D6E-409C-BE32-E72D297353CC}">
              <c16:uniqueId val="{00000000-EEC2-4F70-9AA6-6BF78B97F922}"/>
            </c:ext>
          </c:extLst>
        </c:ser>
        <c:ser>
          <c:idx val="1"/>
          <c:order val="1"/>
          <c:tx>
            <c:strRef>
              <c:f>Blad1!$U$2</c:f>
              <c:strCache>
                <c:ptCount val="1"/>
                <c:pt idx="0">
                  <c:v>Girls</c:v>
                </c:pt>
              </c:strCache>
            </c:strRef>
          </c:tx>
          <c:spPr>
            <a:solidFill>
              <a:srgbClr val="F9C623"/>
            </a:solidFill>
            <a:ln>
              <a:noFill/>
            </a:ln>
            <a:effectLst/>
          </c:spPr>
          <c:invertIfNegative val="0"/>
          <c:dLbls>
            <c:dLbl>
              <c:idx val="2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E66F-9841-A4D5-37B7B887AFA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Blad1!$S$3:$S$25</c:f>
              <c:strCache>
                <c:ptCount val="23"/>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Poland</c:v>
                </c:pt>
                <c:pt idx="13">
                  <c:v>Portugal</c:v>
                </c:pt>
                <c:pt idx="14">
                  <c:v>Serbia</c:v>
                </c:pt>
                <c:pt idx="15">
                  <c:v>Slovakia</c:v>
                </c:pt>
                <c:pt idx="16">
                  <c:v>Slovenia</c:v>
                </c:pt>
                <c:pt idx="17">
                  <c:v>Spain</c:v>
                </c:pt>
                <c:pt idx="18">
                  <c:v>Switzerland</c:v>
                </c:pt>
                <c:pt idx="19">
                  <c:v>UK (England)</c:v>
                </c:pt>
                <c:pt idx="20">
                  <c:v>UK (N. Ireland)</c:v>
                </c:pt>
                <c:pt idx="21">
                  <c:v>UK (Wales)</c:v>
                </c:pt>
                <c:pt idx="22">
                  <c:v>Total average (22)</c:v>
                </c:pt>
              </c:strCache>
            </c:strRef>
          </c:cat>
          <c:val>
            <c:numRef>
              <c:f>Blad1!$U$3:$U$25</c:f>
              <c:numCache>
                <c:formatCode>0.00</c:formatCode>
                <c:ptCount val="23"/>
                <c:pt idx="0">
                  <c:v>41.509433962264154</c:v>
                </c:pt>
                <c:pt idx="1">
                  <c:v>31.295487627365361</c:v>
                </c:pt>
                <c:pt idx="2">
                  <c:v>35.092004559517989</c:v>
                </c:pt>
                <c:pt idx="3">
                  <c:v>24.897288414133115</c:v>
                </c:pt>
                <c:pt idx="4">
                  <c:v>30.000976753272123</c:v>
                </c:pt>
                <c:pt idx="5">
                  <c:v>36.27997093727295</c:v>
                </c:pt>
                <c:pt idx="6">
                  <c:v>36.288998357963877</c:v>
                </c:pt>
                <c:pt idx="7">
                  <c:v>35.481839176989297</c:v>
                </c:pt>
                <c:pt idx="8">
                  <c:v>22.531645569620252</c:v>
                </c:pt>
                <c:pt idx="9">
                  <c:v>18.349728970086328</c:v>
                </c:pt>
                <c:pt idx="10">
                  <c:v>33.512064343163537</c:v>
                </c:pt>
                <c:pt idx="11">
                  <c:v>34.103410341034099</c:v>
                </c:pt>
                <c:pt idx="12">
                  <c:v>39.706314243759181</c:v>
                </c:pt>
                <c:pt idx="13">
                  <c:v>37.760051740864505</c:v>
                </c:pt>
                <c:pt idx="14">
                  <c:v>38.088445078459344</c:v>
                </c:pt>
                <c:pt idx="15">
                  <c:v>45.528887000849615</c:v>
                </c:pt>
                <c:pt idx="16">
                  <c:v>38.276553106212425</c:v>
                </c:pt>
                <c:pt idx="17">
                  <c:v>35.719201651754986</c:v>
                </c:pt>
                <c:pt idx="18">
                  <c:v>38.470539647577091</c:v>
                </c:pt>
                <c:pt idx="19">
                  <c:v>24.639039939996248</c:v>
                </c:pt>
                <c:pt idx="20">
                  <c:v>26.425772747061384</c:v>
                </c:pt>
                <c:pt idx="21">
                  <c:v>26.521739130434785</c:v>
                </c:pt>
                <c:pt idx="22">
                  <c:v>34.863474701573907</c:v>
                </c:pt>
              </c:numCache>
            </c:numRef>
          </c:val>
          <c:extLst>
            <c:ext xmlns:c16="http://schemas.microsoft.com/office/drawing/2014/chart" uri="{C3380CC4-5D6E-409C-BE32-E72D297353CC}">
              <c16:uniqueId val="{00000001-EEC2-4F70-9AA6-6BF78B97F922}"/>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266999233791424E-2"/>
          <c:y val="4.1937981992645999E-2"/>
          <c:w val="0.83546600153241712"/>
          <c:h val="0.91439764471560425"/>
        </c:manualLayout>
      </c:layout>
      <c:barChart>
        <c:barDir val="bar"/>
        <c:grouping val="clustered"/>
        <c:varyColors val="0"/>
        <c:ser>
          <c:idx val="0"/>
          <c:order val="0"/>
          <c:tx>
            <c:strRef>
              <c:f>'3b.2 - ISCED 1&amp;2 '!$W$2</c:f>
              <c:strCache>
                <c:ptCount val="1"/>
                <c:pt idx="0">
                  <c:v>ISCED 1</c:v>
                </c:pt>
              </c:strCache>
            </c:strRef>
          </c:tx>
          <c:spPr>
            <a:solidFill>
              <a:srgbClr val="17255B"/>
            </a:solidFill>
            <a:ln>
              <a:noFill/>
            </a:ln>
            <a:effectLst/>
          </c:spPr>
          <c:invertIfNegative val="0"/>
          <c:dLbls>
            <c:dLbl>
              <c:idx val="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9D43-2D4C-A0ED-910557AC445D}"/>
                </c:ext>
              </c:extLst>
            </c:dLbl>
            <c:dLbl>
              <c:idx val="24"/>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9D43-2D4C-A0ED-910557AC445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'3b.2 - ISCED 1&amp;2 '!$V$3:$V$27</c:f>
              <c:strCache>
                <c:ptCount val="25"/>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Serbia</c:v>
                </c:pt>
                <c:pt idx="17">
                  <c:v>Slovakia</c:v>
                </c:pt>
                <c:pt idx="18">
                  <c:v>Slovenia</c:v>
                </c:pt>
                <c:pt idx="19">
                  <c:v>Spain</c:v>
                </c:pt>
                <c:pt idx="20">
                  <c:v>Switzerland</c:v>
                </c:pt>
                <c:pt idx="21">
                  <c:v>UK (England)</c:v>
                </c:pt>
                <c:pt idx="22">
                  <c:v>UK (N. Ireland)</c:v>
                </c:pt>
                <c:pt idx="23">
                  <c:v>UK (Wales)</c:v>
                </c:pt>
                <c:pt idx="24">
                  <c:v>Total average (24)</c:v>
                </c:pt>
              </c:strCache>
            </c:strRef>
          </c:cat>
          <c:val>
            <c:numRef>
              <c:f>'3b.2 - ISCED 1&amp;2 '!$W$3:$W$27</c:f>
              <c:numCache>
                <c:formatCode>0.00</c:formatCode>
                <c:ptCount val="25"/>
                <c:pt idx="0">
                  <c:v>1.480797155101346E-2</c:v>
                </c:pt>
                <c:pt idx="1">
                  <c:v>0.57239384585470188</c:v>
                </c:pt>
                <c:pt idx="2">
                  <c:v>0.28803588889687254</c:v>
                </c:pt>
                <c:pt idx="3">
                  <c:v>1.3354377586235096</c:v>
                </c:pt>
                <c:pt idx="4">
                  <c:v>2.44361707477431</c:v>
                </c:pt>
                <c:pt idx="5">
                  <c:v>0.56064441418707145</c:v>
                </c:pt>
                <c:pt idx="6">
                  <c:v>2.891159835214327E-2</c:v>
                </c:pt>
                <c:pt idx="7">
                  <c:v>1.150363566880968</c:v>
                </c:pt>
                <c:pt idx="8">
                  <c:v>0.50306555573023115</c:v>
                </c:pt>
                <c:pt idx="9">
                  <c:v>0.54518124990058692</c:v>
                </c:pt>
                <c:pt idx="10">
                  <c:v>0.60971494139087001</c:v>
                </c:pt>
                <c:pt idx="11">
                  <c:v>0.14742245002414989</c:v>
                </c:pt>
                <c:pt idx="12">
                  <c:v>0.24937229917843784</c:v>
                </c:pt>
                <c:pt idx="13">
                  <c:v>0.22263716181319776</c:v>
                </c:pt>
                <c:pt idx="14">
                  <c:v>7.0420693041876689E-2</c:v>
                </c:pt>
                <c:pt idx="15">
                  <c:v>0.50173585563785206</c:v>
                </c:pt>
                <c:pt idx="16">
                  <c:v>9.7557752102447812E-2</c:v>
                </c:pt>
                <c:pt idx="17">
                  <c:v>0.87384011869137723</c:v>
                </c:pt>
                <c:pt idx="18">
                  <c:v>0.17609656333067703</c:v>
                </c:pt>
                <c:pt idx="19">
                  <c:v>9.8603678534017719E-2</c:v>
                </c:pt>
                <c:pt idx="20">
                  <c:v>1.1399964915128649</c:v>
                </c:pt>
                <c:pt idx="21">
                  <c:v>6.8613093467241121E-2</c:v>
                </c:pt>
                <c:pt idx="22">
                  <c:v>0.46779290013945529</c:v>
                </c:pt>
                <c:pt idx="23">
                  <c:v>0.36177019461476939</c:v>
                </c:pt>
                <c:pt idx="24">
                  <c:v>0.35682712558384932</c:v>
                </c:pt>
              </c:numCache>
            </c:numRef>
          </c:val>
          <c:extLst>
            <c:ext xmlns:c16="http://schemas.microsoft.com/office/drawing/2014/chart" uri="{C3380CC4-5D6E-409C-BE32-E72D297353CC}">
              <c16:uniqueId val="{00000000-6925-4A19-ABBF-9C2D9851CCAD}"/>
            </c:ext>
          </c:extLst>
        </c:ser>
        <c:ser>
          <c:idx val="1"/>
          <c:order val="1"/>
          <c:tx>
            <c:strRef>
              <c:f>'3b.2 - ISCED 1&amp;2 '!$X$2</c:f>
              <c:strCache>
                <c:ptCount val="1"/>
                <c:pt idx="0">
                  <c:v>ISCED 2</c:v>
                </c:pt>
              </c:strCache>
            </c:strRef>
          </c:tx>
          <c:spPr>
            <a:solidFill>
              <a:srgbClr val="F9C623"/>
            </a:solidFill>
            <a:ln>
              <a:noFill/>
            </a:ln>
            <a:effectLst/>
          </c:spPr>
          <c:invertIfNegative val="0"/>
          <c:dLbls>
            <c:dLbl>
              <c:idx val="4"/>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43-2D4C-A0ED-910557AC445D}"/>
                </c:ext>
              </c:extLst>
            </c:dLbl>
            <c:dLbl>
              <c:idx val="24"/>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9D43-2D4C-A0ED-910557AC445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'3b.2 - ISCED 1&amp;2 '!$V$3:$V$27</c:f>
              <c:strCache>
                <c:ptCount val="25"/>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Serbia</c:v>
                </c:pt>
                <c:pt idx="17">
                  <c:v>Slovakia</c:v>
                </c:pt>
                <c:pt idx="18">
                  <c:v>Slovenia</c:v>
                </c:pt>
                <c:pt idx="19">
                  <c:v>Spain</c:v>
                </c:pt>
                <c:pt idx="20">
                  <c:v>Switzerland</c:v>
                </c:pt>
                <c:pt idx="21">
                  <c:v>UK (England)</c:v>
                </c:pt>
                <c:pt idx="22">
                  <c:v>UK (N. Ireland)</c:v>
                </c:pt>
                <c:pt idx="23">
                  <c:v>UK (Wales)</c:v>
                </c:pt>
                <c:pt idx="24">
                  <c:v>Total average (24)</c:v>
                </c:pt>
              </c:strCache>
            </c:strRef>
          </c:cat>
          <c:val>
            <c:numRef>
              <c:f>'3b.2 - ISCED 1&amp;2 '!$X$3:$X$27</c:f>
              <c:numCache>
                <c:formatCode>0.00</c:formatCode>
                <c:ptCount val="25"/>
                <c:pt idx="0">
                  <c:v>8.6195655296944038E-3</c:v>
                </c:pt>
                <c:pt idx="1">
                  <c:v>0.26249908854483145</c:v>
                </c:pt>
                <c:pt idx="2">
                  <c:v>0.35145376899021863</c:v>
                </c:pt>
                <c:pt idx="3">
                  <c:v>0.65504326065978646</c:v>
                </c:pt>
                <c:pt idx="4">
                  <c:v>1.3700645733262062</c:v>
                </c:pt>
                <c:pt idx="5">
                  <c:v>0.24757456010886392</c:v>
                </c:pt>
                <c:pt idx="6">
                  <c:v>3.4652168422063409E-2</c:v>
                </c:pt>
                <c:pt idx="7">
                  <c:v>1.3261027242169079</c:v>
                </c:pt>
                <c:pt idx="8">
                  <c:v>0.38403665191906033</c:v>
                </c:pt>
                <c:pt idx="9">
                  <c:v>0.11505405419735217</c:v>
                </c:pt>
                <c:pt idx="10">
                  <c:v>0.22948680450874076</c:v>
                </c:pt>
                <c:pt idx="11">
                  <c:v>0.18022304403930303</c:v>
                </c:pt>
                <c:pt idx="12">
                  <c:v>0.14689053239277844</c:v>
                </c:pt>
                <c:pt idx="13">
                  <c:v>0.19133129394938619</c:v>
                </c:pt>
                <c:pt idx="14">
                  <c:v>3.0796048117933409E-2</c:v>
                </c:pt>
                <c:pt idx="15">
                  <c:v>0.50947499223361292</c:v>
                </c:pt>
                <c:pt idx="16">
                  <c:v>0.14624967828548774</c:v>
                </c:pt>
                <c:pt idx="17">
                  <c:v>1.0993202068716943</c:v>
                </c:pt>
                <c:pt idx="18">
                  <c:v>0.10197997180225915</c:v>
                </c:pt>
                <c:pt idx="19">
                  <c:v>5.6990527493271333E-2</c:v>
                </c:pt>
                <c:pt idx="20">
                  <c:v>0.76191772859495566</c:v>
                </c:pt>
                <c:pt idx="21">
                  <c:v>2.7427228700947038E-2</c:v>
                </c:pt>
                <c:pt idx="22">
                  <c:v>0.34316581051739659</c:v>
                </c:pt>
                <c:pt idx="23">
                  <c:v>0.31271660890429215</c:v>
                </c:pt>
                <c:pt idx="24">
                  <c:v>0.22405181317696424</c:v>
                </c:pt>
              </c:numCache>
            </c:numRef>
          </c:val>
          <c:extLst>
            <c:ext xmlns:c16="http://schemas.microsoft.com/office/drawing/2014/chart" uri="{C3380CC4-5D6E-409C-BE32-E72D297353CC}">
              <c16:uniqueId val="{00000001-6925-4A19-ABBF-9C2D9851CCAD}"/>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2.5"/>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2174500914658394E-2"/>
          <c:w val="0.83741832802814542"/>
          <c:h val="0.91391487048967368"/>
        </c:manualLayout>
      </c:layout>
      <c:barChart>
        <c:barDir val="bar"/>
        <c:grouping val="clustered"/>
        <c:varyColors val="0"/>
        <c:ser>
          <c:idx val="0"/>
          <c:order val="0"/>
          <c:tx>
            <c:strRef>
              <c:f>'3b.2 - ISCED 1&amp;2 '!$Z$2</c:f>
              <c:strCache>
                <c:ptCount val="1"/>
                <c:pt idx="0">
                  <c:v>ISCED 1</c:v>
                </c:pt>
              </c:strCache>
            </c:strRef>
          </c:tx>
          <c:spPr>
            <a:solidFill>
              <a:srgbClr val="17255B"/>
            </a:solidFill>
            <a:ln>
              <a:noFill/>
            </a:ln>
            <a:effectLst/>
          </c:spPr>
          <c:invertIfNegative val="0"/>
          <c:dLbls>
            <c:dLbl>
              <c:idx val="24"/>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9F7A-E046-8E6F-37590BA3F3F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'3b.2 - ISCED 1&amp;2 '!$Y$3:$Y$27</c:f>
              <c:strCache>
                <c:ptCount val="25"/>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Serbia</c:v>
                </c:pt>
                <c:pt idx="17">
                  <c:v>Slovakia</c:v>
                </c:pt>
                <c:pt idx="18">
                  <c:v>Slovenia</c:v>
                </c:pt>
                <c:pt idx="19">
                  <c:v>Spain</c:v>
                </c:pt>
                <c:pt idx="20">
                  <c:v>Switzerland</c:v>
                </c:pt>
                <c:pt idx="21">
                  <c:v>UK (England)</c:v>
                </c:pt>
                <c:pt idx="22">
                  <c:v>UK (N. Ireland)</c:v>
                </c:pt>
                <c:pt idx="23">
                  <c:v>UK (Wales)</c:v>
                </c:pt>
                <c:pt idx="24">
                  <c:v>Total average (24)</c:v>
                </c:pt>
              </c:strCache>
            </c:strRef>
          </c:cat>
          <c:val>
            <c:numRef>
              <c:f>'3b.2 - ISCED 1&amp;2 '!$Z$3:$Z$27</c:f>
              <c:numCache>
                <c:formatCode>0.00</c:formatCode>
                <c:ptCount val="25"/>
                <c:pt idx="0">
                  <c:v>2.5289412794933058E-2</c:v>
                </c:pt>
                <c:pt idx="1">
                  <c:v>0.84304354830048855</c:v>
                </c:pt>
                <c:pt idx="2">
                  <c:v>0.48022500781277128</c:v>
                </c:pt>
                <c:pt idx="3">
                  <c:v>1.9075320063545464</c:v>
                </c:pt>
                <c:pt idx="4">
                  <c:v>3.6481432563571401</c:v>
                </c:pt>
                <c:pt idx="5">
                  <c:v>0.99687847540218655</c:v>
                </c:pt>
                <c:pt idx="6">
                  <c:v>4.3245977499601886E-2</c:v>
                </c:pt>
                <c:pt idx="7">
                  <c:v>2.2648230750923206</c:v>
                </c:pt>
                <c:pt idx="8">
                  <c:v>0.70041587192395494</c:v>
                </c:pt>
                <c:pt idx="9">
                  <c:v>0.73090893581933591</c:v>
                </c:pt>
                <c:pt idx="10">
                  <c:v>0.89213701381001764</c:v>
                </c:pt>
                <c:pt idx="11">
                  <c:v>0.35914682870715919</c:v>
                </c:pt>
                <c:pt idx="12">
                  <c:v>0.39518202733793478</c:v>
                </c:pt>
                <c:pt idx="13">
                  <c:v>0.315087779272127</c:v>
                </c:pt>
                <c:pt idx="14">
                  <c:v>0.10291391027679456</c:v>
                </c:pt>
                <c:pt idx="15">
                  <c:v>0.78486939589098792</c:v>
                </c:pt>
                <c:pt idx="16">
                  <c:v>0.1941895442257168</c:v>
                </c:pt>
                <c:pt idx="17">
                  <c:v>1.8498227807671666</c:v>
                </c:pt>
                <c:pt idx="18">
                  <c:v>0.25152226688422813</c:v>
                </c:pt>
                <c:pt idx="19">
                  <c:v>0.15132809798592953</c:v>
                </c:pt>
                <c:pt idx="20">
                  <c:v>1.7152334316880906</c:v>
                </c:pt>
                <c:pt idx="21">
                  <c:v>9.9237357004438337E-2</c:v>
                </c:pt>
                <c:pt idx="22">
                  <c:v>0.77717624010933262</c:v>
                </c:pt>
                <c:pt idx="23">
                  <c:v>0.63732857411234267</c:v>
                </c:pt>
                <c:pt idx="24">
                  <c:v>0.56668658977518016</c:v>
                </c:pt>
              </c:numCache>
            </c:numRef>
          </c:val>
          <c:extLst>
            <c:ext xmlns:c16="http://schemas.microsoft.com/office/drawing/2014/chart" uri="{C3380CC4-5D6E-409C-BE32-E72D297353CC}">
              <c16:uniqueId val="{00000000-9E6E-4177-AF88-9425BDCF233C}"/>
            </c:ext>
          </c:extLst>
        </c:ser>
        <c:ser>
          <c:idx val="1"/>
          <c:order val="1"/>
          <c:tx>
            <c:strRef>
              <c:f>'3b.2 - ISCED 1&amp;2 '!$AA$2</c:f>
              <c:strCache>
                <c:ptCount val="1"/>
                <c:pt idx="0">
                  <c:v>ISCED2</c:v>
                </c:pt>
              </c:strCache>
            </c:strRef>
          </c:tx>
          <c:spPr>
            <a:solidFill>
              <a:srgbClr val="F9C623"/>
            </a:solidFill>
            <a:ln>
              <a:noFill/>
            </a:ln>
            <a:effectLst/>
          </c:spPr>
          <c:invertIfNegative val="0"/>
          <c:dLbls>
            <c:dLbl>
              <c:idx val="24"/>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9F7A-E046-8E6F-37590BA3F3F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'3b.2 - ISCED 1&amp;2 '!$Y$3:$Y$27</c:f>
              <c:strCache>
                <c:ptCount val="25"/>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Serbia</c:v>
                </c:pt>
                <c:pt idx="17">
                  <c:v>Slovakia</c:v>
                </c:pt>
                <c:pt idx="18">
                  <c:v>Slovenia</c:v>
                </c:pt>
                <c:pt idx="19">
                  <c:v>Spain</c:v>
                </c:pt>
                <c:pt idx="20">
                  <c:v>Switzerland</c:v>
                </c:pt>
                <c:pt idx="21">
                  <c:v>UK (England)</c:v>
                </c:pt>
                <c:pt idx="22">
                  <c:v>UK (N. Ireland)</c:v>
                </c:pt>
                <c:pt idx="23">
                  <c:v>UK (Wales)</c:v>
                </c:pt>
                <c:pt idx="24">
                  <c:v>Total average (24)</c:v>
                </c:pt>
              </c:strCache>
            </c:strRef>
          </c:cat>
          <c:val>
            <c:numRef>
              <c:f>'3b.2 - ISCED 1&amp;2 '!$AA$3:$AA$27</c:f>
              <c:numCache>
                <c:formatCode>0.00</c:formatCode>
                <c:ptCount val="25"/>
                <c:pt idx="0">
                  <c:v>2.0797116133229526E-2</c:v>
                </c:pt>
                <c:pt idx="1">
                  <c:v>0.81765529772494983</c:v>
                </c:pt>
                <c:pt idx="2">
                  <c:v>0.87818129304714598</c:v>
                </c:pt>
                <c:pt idx="3">
                  <c:v>2.1841086328188908</c:v>
                </c:pt>
                <c:pt idx="4">
                  <c:v>4.1495086701941633</c:v>
                </c:pt>
                <c:pt idx="5">
                  <c:v>0.56575534093379454</c:v>
                </c:pt>
                <c:pt idx="6">
                  <c:v>0.10454355089098186</c:v>
                </c:pt>
                <c:pt idx="7">
                  <c:v>2.6949279248104014</c:v>
                </c:pt>
                <c:pt idx="8">
                  <c:v>1.3629842180774749</c:v>
                </c:pt>
                <c:pt idx="9">
                  <c:v>0.45278137128072443</c:v>
                </c:pt>
                <c:pt idx="10">
                  <c:v>0.72492093386873246</c:v>
                </c:pt>
                <c:pt idx="11">
                  <c:v>0.30571129847816914</c:v>
                </c:pt>
                <c:pt idx="12">
                  <c:v>0.39811128599203782</c:v>
                </c:pt>
                <c:pt idx="13">
                  <c:v>0.65209031775862913</c:v>
                </c:pt>
                <c:pt idx="14">
                  <c:v>9.7538563509279336E-2</c:v>
                </c:pt>
                <c:pt idx="15">
                  <c:v>1.412306465063998</c:v>
                </c:pt>
                <c:pt idx="16">
                  <c:v>0.29390077266897546</c:v>
                </c:pt>
                <c:pt idx="17">
                  <c:v>2.0835898433931614</c:v>
                </c:pt>
                <c:pt idx="18">
                  <c:v>0.34007284620530737</c:v>
                </c:pt>
                <c:pt idx="19">
                  <c:v>0.16357255743019583</c:v>
                </c:pt>
                <c:pt idx="20">
                  <c:v>2.2718755855349446</c:v>
                </c:pt>
                <c:pt idx="21">
                  <c:v>8.8877425017331979E-2</c:v>
                </c:pt>
                <c:pt idx="22">
                  <c:v>0.8620383837667176</c:v>
                </c:pt>
                <c:pt idx="23">
                  <c:v>0.72327044025157239</c:v>
                </c:pt>
                <c:pt idx="24">
                  <c:v>0.60501039794155997</c:v>
                </c:pt>
              </c:numCache>
            </c:numRef>
          </c:val>
          <c:extLst>
            <c:ext xmlns:c16="http://schemas.microsoft.com/office/drawing/2014/chart" uri="{C3380CC4-5D6E-409C-BE32-E72D297353CC}">
              <c16:uniqueId val="{00000001-9E6E-4177-AF88-9425BDCF233C}"/>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0856-4F2F-A2FF-15AB951EE912}"/>
              </c:ext>
            </c:extLst>
          </c:dPt>
          <c:dPt>
            <c:idx val="27"/>
            <c:invertIfNegative val="0"/>
            <c:bubble3D val="0"/>
            <c:extLst>
              <c:ext xmlns:c16="http://schemas.microsoft.com/office/drawing/2014/chart" uri="{C3380CC4-5D6E-409C-BE32-E72D297353CC}">
                <c16:uniqueId val="{00000003-0856-4F2F-A2FF-15AB951EE912}"/>
              </c:ext>
            </c:extLst>
          </c:dPt>
          <c:dPt>
            <c:idx val="30"/>
            <c:invertIfNegative val="0"/>
            <c:bubble3D val="0"/>
            <c:spPr>
              <a:solidFill>
                <a:srgbClr val="F9C624"/>
              </a:solidFill>
              <a:ln>
                <a:noFill/>
              </a:ln>
              <a:effectLst/>
            </c:spPr>
            <c:extLst>
              <c:ext xmlns:c16="http://schemas.microsoft.com/office/drawing/2014/chart" uri="{C3380CC4-5D6E-409C-BE32-E72D297353CC}">
                <c16:uniqueId val="{00000005-0856-4F2F-A2FF-15AB951EE912}"/>
              </c:ext>
            </c:extLst>
          </c:dPt>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466F-9F40-8F00-25B509D1CF6F}"/>
                </c:ext>
              </c:extLst>
            </c:dLbl>
            <c:dLbl>
              <c:idx val="29"/>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66F-9F40-8F00-25B509D1CF6F}"/>
                </c:ext>
              </c:extLst>
            </c:dLbl>
            <c:dLbl>
              <c:idx val="3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0856-4F2F-A2FF-15AB951EE91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'3b.3 - ISCED 1&amp;2 '!$N$3:$N$33</c:f>
              <c:strCache>
                <c:ptCount val="31"/>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Serbia</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'3b.3 - ISCED 1&amp;2 '!$O$3:$O$33</c:f>
              <c:numCache>
                <c:formatCode>0.00</c:formatCode>
                <c:ptCount val="31"/>
                <c:pt idx="0">
                  <c:v>1.0449386296150434</c:v>
                </c:pt>
                <c:pt idx="1">
                  <c:v>6.0659254924907353</c:v>
                </c:pt>
                <c:pt idx="2">
                  <c:v>0.52844567132049536</c:v>
                </c:pt>
                <c:pt idx="3">
                  <c:v>2.6051315374306072</c:v>
                </c:pt>
                <c:pt idx="4">
                  <c:v>2.6316219885183427</c:v>
                </c:pt>
                <c:pt idx="5">
                  <c:v>0.72936009640367372</c:v>
                </c:pt>
                <c:pt idx="6">
                  <c:v>0.58375502698239079</c:v>
                </c:pt>
                <c:pt idx="7">
                  <c:v>3.0880959073000023</c:v>
                </c:pt>
                <c:pt idx="8">
                  <c:v>0.95450024162581293</c:v>
                </c:pt>
                <c:pt idx="9">
                  <c:v>0.36831585330249061</c:v>
                </c:pt>
                <c:pt idx="10">
                  <c:v>0.76428764573955366</c:v>
                </c:pt>
                <c:pt idx="11">
                  <c:v>3.1139144204315246E-2</c:v>
                </c:pt>
                <c:pt idx="12">
                  <c:v>3.2493756608994984</c:v>
                </c:pt>
                <c:pt idx="13">
                  <c:v>1.0986396764635913</c:v>
                </c:pt>
                <c:pt idx="14">
                  <c:v>0.35527012485695253</c:v>
                </c:pt>
                <c:pt idx="15">
                  <c:v>0.5296112705452648</c:v>
                </c:pt>
                <c:pt idx="16">
                  <c:v>3.1985064340309926</c:v>
                </c:pt>
                <c:pt idx="17">
                  <c:v>0.2221604227086727</c:v>
                </c:pt>
                <c:pt idx="18">
                  <c:v>1.5254447888687148</c:v>
                </c:pt>
                <c:pt idx="19">
                  <c:v>0.10845691426453676</c:v>
                </c:pt>
                <c:pt idx="20">
                  <c:v>0.5483058687683029</c:v>
                </c:pt>
                <c:pt idx="21">
                  <c:v>3.6533641796799694</c:v>
                </c:pt>
                <c:pt idx="22">
                  <c:v>1.7514920840136641</c:v>
                </c:pt>
                <c:pt idx="23">
                  <c:v>0.56915568137304984</c:v>
                </c:pt>
                <c:pt idx="24">
                  <c:v>0.90842306725694066</c:v>
                </c:pt>
                <c:pt idx="25">
                  <c:v>1.9613490394861897</c:v>
                </c:pt>
                <c:pt idx="26">
                  <c:v>1.2566461055496287</c:v>
                </c:pt>
                <c:pt idx="27">
                  <c:v>1.5152959452064467</c:v>
                </c:pt>
                <c:pt idx="28">
                  <c:v>0.86255604714403256</c:v>
                </c:pt>
                <c:pt idx="29">
                  <c:v>0.88429752066115708</c:v>
                </c:pt>
                <c:pt idx="30">
                  <c:v>1.4113657686237349</c:v>
                </c:pt>
              </c:numCache>
            </c:numRef>
          </c:val>
          <c:extLst>
            <c:ext xmlns:c16="http://schemas.microsoft.com/office/drawing/2014/chart" uri="{C3380CC4-5D6E-409C-BE32-E72D297353CC}">
              <c16:uniqueId val="{00000006-0856-4F2F-A2FF-15AB951EE912}"/>
            </c:ext>
          </c:extLst>
        </c:ser>
        <c:dLbls>
          <c:showLegendKey val="0"/>
          <c:showVal val="0"/>
          <c:showCatName val="0"/>
          <c:showSerName val="0"/>
          <c:showPercent val="0"/>
          <c:showBubbleSize val="0"/>
        </c:dLbls>
        <c:gapWidth val="10"/>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7"/>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2532518749248023E-2"/>
          <c:w val="0.85787659316726161"/>
          <c:h val="0.91473944303877541"/>
        </c:manualLayout>
      </c:layout>
      <c:barChart>
        <c:barDir val="bar"/>
        <c:grouping val="clustered"/>
        <c:varyColors val="0"/>
        <c:ser>
          <c:idx val="0"/>
          <c:order val="0"/>
          <c:tx>
            <c:strRef>
              <c:f>Blad1!$Q$2</c:f>
              <c:strCache>
                <c:ptCount val="1"/>
                <c:pt idx="0">
                  <c:v>Boys</c:v>
                </c:pt>
              </c:strCache>
            </c:strRef>
          </c:tx>
          <c:spPr>
            <a:solidFill>
              <a:srgbClr val="17255B"/>
            </a:solidFill>
            <a:ln>
              <a:noFill/>
            </a:ln>
            <a:effectLst/>
          </c:spPr>
          <c:invertIfNegative val="0"/>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A6A-2D49-8ABC-F67B46AE2FEB}"/>
                </c:ext>
              </c:extLst>
            </c:dLbl>
            <c:dLbl>
              <c:idx val="28"/>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6A6A-2D49-8ABC-F67B46AE2FE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Blad1!$P$3:$P$31</c:f>
              <c:strCache>
                <c:ptCount val="29"/>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Malta</c:v>
                </c:pt>
                <c:pt idx="15">
                  <c:v>Netherlands</c:v>
                </c:pt>
                <c:pt idx="16">
                  <c:v>Poland</c:v>
                </c:pt>
                <c:pt idx="17">
                  <c:v>Portugal</c:v>
                </c:pt>
                <c:pt idx="18">
                  <c:v>Serbia</c:v>
                </c:pt>
                <c:pt idx="19">
                  <c:v>Slovakia</c:v>
                </c:pt>
                <c:pt idx="20">
                  <c:v>Slovenia</c:v>
                </c:pt>
                <c:pt idx="21">
                  <c:v>Spain</c:v>
                </c:pt>
                <c:pt idx="22">
                  <c:v>Sweden</c:v>
                </c:pt>
                <c:pt idx="23">
                  <c:v>Switzerland</c:v>
                </c:pt>
                <c:pt idx="24">
                  <c:v>UK (England)</c:v>
                </c:pt>
                <c:pt idx="25">
                  <c:v>UK (N. Ireland)</c:v>
                </c:pt>
                <c:pt idx="26">
                  <c:v>UK (Scotland)</c:v>
                </c:pt>
                <c:pt idx="27">
                  <c:v>UK (Wales)</c:v>
                </c:pt>
                <c:pt idx="28">
                  <c:v>Total average (29)</c:v>
                </c:pt>
              </c:strCache>
            </c:strRef>
          </c:cat>
          <c:val>
            <c:numRef>
              <c:f>Blad1!$Q$3:$Q$31</c:f>
              <c:numCache>
                <c:formatCode>0.00</c:formatCode>
                <c:ptCount val="29"/>
                <c:pt idx="0">
                  <c:v>0.69444539078224587</c:v>
                </c:pt>
                <c:pt idx="1">
                  <c:v>3.9181922037393075</c:v>
                </c:pt>
                <c:pt idx="2">
                  <c:v>0.32091305510554546</c:v>
                </c:pt>
                <c:pt idx="3">
                  <c:v>1.6289752024634045</c:v>
                </c:pt>
                <c:pt idx="4">
                  <c:v>1.7917600300943719</c:v>
                </c:pt>
                <c:pt idx="5">
                  <c:v>0.51070106852371633</c:v>
                </c:pt>
                <c:pt idx="6">
                  <c:v>0.3977348206598178</c:v>
                </c:pt>
                <c:pt idx="7">
                  <c:v>2.0348457780443412</c:v>
                </c:pt>
                <c:pt idx="8">
                  <c:v>0.63522017173698175</c:v>
                </c:pt>
                <c:pt idx="9">
                  <c:v>0.27174523322927663</c:v>
                </c:pt>
                <c:pt idx="10">
                  <c:v>0.51548988107546379</c:v>
                </c:pt>
                <c:pt idx="11">
                  <c:v>2.1828363160269284E-2</c:v>
                </c:pt>
                <c:pt idx="12">
                  <c:v>2.1514387922694445</c:v>
                </c:pt>
                <c:pt idx="13">
                  <c:v>0.70899745525061819</c:v>
                </c:pt>
                <c:pt idx="14">
                  <c:v>0.3469866944951735</c:v>
                </c:pt>
                <c:pt idx="15">
                  <c:v>2.3238152946050845</c:v>
                </c:pt>
                <c:pt idx="16">
                  <c:v>0.98722736876900219</c:v>
                </c:pt>
                <c:pt idx="17">
                  <c:v>7.6083342871001672E-2</c:v>
                </c:pt>
                <c:pt idx="18">
                  <c:v>0.3526686653543033</c:v>
                </c:pt>
                <c:pt idx="19">
                  <c:v>2.1697219637723069</c:v>
                </c:pt>
                <c:pt idx="20">
                  <c:v>1.0498921687183402</c:v>
                </c:pt>
                <c:pt idx="21">
                  <c:v>0.36064017003351967</c:v>
                </c:pt>
                <c:pt idx="22">
                  <c:v>0.55647920815047958</c:v>
                </c:pt>
                <c:pt idx="23">
                  <c:v>1.3359742990225985</c:v>
                </c:pt>
                <c:pt idx="24">
                  <c:v>0.9260246402044634</c:v>
                </c:pt>
                <c:pt idx="25">
                  <c:v>1.0722166322441702</c:v>
                </c:pt>
                <c:pt idx="26">
                  <c:v>0.6120992443341583</c:v>
                </c:pt>
                <c:pt idx="27">
                  <c:v>0.63743001866169013</c:v>
                </c:pt>
                <c:pt idx="28">
                  <c:v>0.95812212544116093</c:v>
                </c:pt>
              </c:numCache>
            </c:numRef>
          </c:val>
          <c:extLst>
            <c:ext xmlns:c16="http://schemas.microsoft.com/office/drawing/2014/chart" uri="{C3380CC4-5D6E-409C-BE32-E72D297353CC}">
              <c16:uniqueId val="{00000000-435E-41AF-B93C-C4B899B0BF58}"/>
            </c:ext>
          </c:extLst>
        </c:ser>
        <c:ser>
          <c:idx val="1"/>
          <c:order val="1"/>
          <c:tx>
            <c:strRef>
              <c:f>Blad1!$R$2</c:f>
              <c:strCache>
                <c:ptCount val="1"/>
                <c:pt idx="0">
                  <c:v>Girls</c:v>
                </c:pt>
              </c:strCache>
            </c:strRef>
          </c:tx>
          <c:spPr>
            <a:solidFill>
              <a:srgbClr val="F9C623"/>
            </a:solidFill>
            <a:ln>
              <a:noFill/>
            </a:ln>
            <a:effectLst/>
          </c:spPr>
          <c:invertIfNegative val="0"/>
          <c:dLbls>
            <c:dLbl>
              <c:idx val="28"/>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2-6A6A-2D49-8ABC-F67B46AE2FE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Blad1!$P$3:$P$31</c:f>
              <c:strCache>
                <c:ptCount val="29"/>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Malta</c:v>
                </c:pt>
                <c:pt idx="15">
                  <c:v>Netherlands</c:v>
                </c:pt>
                <c:pt idx="16">
                  <c:v>Poland</c:v>
                </c:pt>
                <c:pt idx="17">
                  <c:v>Portugal</c:v>
                </c:pt>
                <c:pt idx="18">
                  <c:v>Serbia</c:v>
                </c:pt>
                <c:pt idx="19">
                  <c:v>Slovakia</c:v>
                </c:pt>
                <c:pt idx="20">
                  <c:v>Slovenia</c:v>
                </c:pt>
                <c:pt idx="21">
                  <c:v>Spain</c:v>
                </c:pt>
                <c:pt idx="22">
                  <c:v>Sweden</c:v>
                </c:pt>
                <c:pt idx="23">
                  <c:v>Switzerland</c:v>
                </c:pt>
                <c:pt idx="24">
                  <c:v>UK (England)</c:v>
                </c:pt>
                <c:pt idx="25">
                  <c:v>UK (N. Ireland)</c:v>
                </c:pt>
                <c:pt idx="26">
                  <c:v>UK (Scotland)</c:v>
                </c:pt>
                <c:pt idx="27">
                  <c:v>UK (Wales)</c:v>
                </c:pt>
                <c:pt idx="28">
                  <c:v>Total average (29)</c:v>
                </c:pt>
              </c:strCache>
            </c:strRef>
          </c:cat>
          <c:val>
            <c:numRef>
              <c:f>Blad1!$R$3:$R$31</c:f>
              <c:numCache>
                <c:formatCode>0.00</c:formatCode>
                <c:ptCount val="29"/>
                <c:pt idx="0">
                  <c:v>0.35049323883279754</c:v>
                </c:pt>
                <c:pt idx="1">
                  <c:v>2.1477332887514278</c:v>
                </c:pt>
                <c:pt idx="2">
                  <c:v>0.20753261621494984</c:v>
                </c:pt>
                <c:pt idx="3">
                  <c:v>0.97615633496720289</c:v>
                </c:pt>
                <c:pt idx="4">
                  <c:v>0.83986195842397082</c:v>
                </c:pt>
                <c:pt idx="5">
                  <c:v>0.21865902787995734</c:v>
                </c:pt>
                <c:pt idx="6">
                  <c:v>0.18602020632257299</c:v>
                </c:pt>
                <c:pt idx="7">
                  <c:v>1.0532501292556609</c:v>
                </c:pt>
                <c:pt idx="8">
                  <c:v>0.31928006988883129</c:v>
                </c:pt>
                <c:pt idx="9">
                  <c:v>9.6570620073214014E-2</c:v>
                </c:pt>
                <c:pt idx="10">
                  <c:v>0.2487977646640899</c:v>
                </c:pt>
                <c:pt idx="11">
                  <c:v>9.3107810440459654E-3</c:v>
                </c:pt>
                <c:pt idx="12">
                  <c:v>1.0979368686300537</c:v>
                </c:pt>
                <c:pt idx="13">
                  <c:v>0.38964222121297321</c:v>
                </c:pt>
                <c:pt idx="14">
                  <c:v>0.1826245760500913</c:v>
                </c:pt>
                <c:pt idx="15">
                  <c:v>0.87469113942590815</c:v>
                </c:pt>
                <c:pt idx="16">
                  <c:v>0.53821742009971263</c:v>
                </c:pt>
                <c:pt idx="17">
                  <c:v>3.2373571393535097E-2</c:v>
                </c:pt>
                <c:pt idx="18">
                  <c:v>0.19563720341399965</c:v>
                </c:pt>
                <c:pt idx="19">
                  <c:v>1.4836422159076621</c:v>
                </c:pt>
                <c:pt idx="20">
                  <c:v>0.70159991529532395</c:v>
                </c:pt>
                <c:pt idx="21">
                  <c:v>0.20851551133953009</c:v>
                </c:pt>
                <c:pt idx="22">
                  <c:v>0.35194385910646103</c:v>
                </c:pt>
                <c:pt idx="23">
                  <c:v>0.62537474046359154</c:v>
                </c:pt>
                <c:pt idx="24">
                  <c:v>0.33062146534516529</c:v>
                </c:pt>
                <c:pt idx="25">
                  <c:v>0.44307931296227643</c:v>
                </c:pt>
                <c:pt idx="26">
                  <c:v>0.2504568028098742</c:v>
                </c:pt>
                <c:pt idx="27">
                  <c:v>0.24686750199946683</c:v>
                </c:pt>
                <c:pt idx="28">
                  <c:v>0.47076354545365678</c:v>
                </c:pt>
              </c:numCache>
            </c:numRef>
          </c:val>
          <c:extLst>
            <c:ext xmlns:c16="http://schemas.microsoft.com/office/drawing/2014/chart" uri="{C3380CC4-5D6E-409C-BE32-E72D297353CC}">
              <c16:uniqueId val="{00000001-435E-41AF-B93C-C4B899B0BF58}"/>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4"/>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56306548637943E-2"/>
          <c:y val="4.2245621489556635E-2"/>
          <c:w val="0.86637681159420288"/>
          <c:h val="0.92047382663440447"/>
        </c:manualLayout>
      </c:layout>
      <c:barChart>
        <c:barDir val="bar"/>
        <c:grouping val="clustered"/>
        <c:varyColors val="0"/>
        <c:ser>
          <c:idx val="0"/>
          <c:order val="0"/>
          <c:tx>
            <c:strRef>
              <c:f>Blad1!$T$2</c:f>
              <c:strCache>
                <c:ptCount val="1"/>
                <c:pt idx="0">
                  <c:v>Boys</c:v>
                </c:pt>
              </c:strCache>
            </c:strRef>
          </c:tx>
          <c:spPr>
            <a:solidFill>
              <a:srgbClr val="17255B"/>
            </a:solidFill>
            <a:ln>
              <a:noFill/>
            </a:ln>
            <a:effectLst/>
          </c:spPr>
          <c:invertIfNegative val="0"/>
          <c:dLbls>
            <c:dLbl>
              <c:idx val="28"/>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0B8F-D54A-82FA-6473DFAC9A5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Blad1!$S$3:$S$31</c:f>
              <c:strCache>
                <c:ptCount val="29"/>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Malta</c:v>
                </c:pt>
                <c:pt idx="15">
                  <c:v>Netherlands</c:v>
                </c:pt>
                <c:pt idx="16">
                  <c:v>Poland</c:v>
                </c:pt>
                <c:pt idx="17">
                  <c:v>Portugal</c:v>
                </c:pt>
                <c:pt idx="18">
                  <c:v>Serbia</c:v>
                </c:pt>
                <c:pt idx="19">
                  <c:v>Slovakia</c:v>
                </c:pt>
                <c:pt idx="20">
                  <c:v>Slovenia</c:v>
                </c:pt>
                <c:pt idx="21">
                  <c:v>Spain</c:v>
                </c:pt>
                <c:pt idx="22">
                  <c:v>Sweden</c:v>
                </c:pt>
                <c:pt idx="23">
                  <c:v>Switzerland</c:v>
                </c:pt>
                <c:pt idx="24">
                  <c:v>UK (England)</c:v>
                </c:pt>
                <c:pt idx="25">
                  <c:v>UK (N. Ireland)</c:v>
                </c:pt>
                <c:pt idx="26">
                  <c:v>UK (Scotland)</c:v>
                </c:pt>
                <c:pt idx="27">
                  <c:v>UK (Wales)</c:v>
                </c:pt>
                <c:pt idx="28">
                  <c:v>Total average (28)</c:v>
                </c:pt>
              </c:strCache>
            </c:strRef>
          </c:cat>
          <c:val>
            <c:numRef>
              <c:f>Blad1!$T$3:$T$31</c:f>
              <c:numCache>
                <c:formatCode>0.00</c:formatCode>
                <c:ptCount val="29"/>
                <c:pt idx="0">
                  <c:v>66.458007303077721</c:v>
                </c:pt>
                <c:pt idx="1">
                  <c:v>64.59347726228755</c:v>
                </c:pt>
                <c:pt idx="2">
                  <c:v>60.727728983688834</c:v>
                </c:pt>
                <c:pt idx="3">
                  <c:v>62.52947995363153</c:v>
                </c:pt>
                <c:pt idx="4">
                  <c:v>68.08576755748912</c:v>
                </c:pt>
                <c:pt idx="5">
                  <c:v>70.020429009193052</c:v>
                </c:pt>
                <c:pt idx="6">
                  <c:v>68.133857915679357</c:v>
                </c:pt>
                <c:pt idx="7">
                  <c:v>65.893218317285246</c:v>
                </c:pt>
                <c:pt idx="8">
                  <c:v>66.550027337342812</c:v>
                </c:pt>
                <c:pt idx="9">
                  <c:v>73.780487804878049</c:v>
                </c:pt>
                <c:pt idx="10">
                  <c:v>67.447103711411728</c:v>
                </c:pt>
                <c:pt idx="11">
                  <c:v>70.099431818181827</c:v>
                </c:pt>
                <c:pt idx="12">
                  <c:v>66.210836074086899</c:v>
                </c:pt>
                <c:pt idx="13">
                  <c:v>64.534120734908143</c:v>
                </c:pt>
                <c:pt idx="14">
                  <c:v>65.517241379310349</c:v>
                </c:pt>
                <c:pt idx="15">
                  <c:v>72.653138035943925</c:v>
                </c:pt>
                <c:pt idx="16">
                  <c:v>64.717345129294387</c:v>
                </c:pt>
                <c:pt idx="17">
                  <c:v>70.150753768844226</c:v>
                </c:pt>
                <c:pt idx="18">
                  <c:v>64.319695528068507</c:v>
                </c:pt>
                <c:pt idx="19">
                  <c:v>59.389698290696337</c:v>
                </c:pt>
                <c:pt idx="20">
                  <c:v>59.942729875914736</c:v>
                </c:pt>
                <c:pt idx="21">
                  <c:v>63.36406396989652</c:v>
                </c:pt>
                <c:pt idx="22">
                  <c:v>61.257714407320705</c:v>
                </c:pt>
                <c:pt idx="23">
                  <c:v>68.115071419036184</c:v>
                </c:pt>
                <c:pt idx="24">
                  <c:v>73.690169102894814</c:v>
                </c:pt>
                <c:pt idx="25">
                  <c:v>70.75955265610439</c:v>
                </c:pt>
                <c:pt idx="26">
                  <c:v>70.963416969929128</c:v>
                </c:pt>
                <c:pt idx="27">
                  <c:v>72.083207717817317</c:v>
                </c:pt>
                <c:pt idx="28">
                  <c:v>67.053798981772388</c:v>
                </c:pt>
              </c:numCache>
            </c:numRef>
          </c:val>
          <c:extLst>
            <c:ext xmlns:c16="http://schemas.microsoft.com/office/drawing/2014/chart" uri="{C3380CC4-5D6E-409C-BE32-E72D297353CC}">
              <c16:uniqueId val="{00000000-4C2F-4E5F-A82F-4A2479F215E0}"/>
            </c:ext>
          </c:extLst>
        </c:ser>
        <c:ser>
          <c:idx val="1"/>
          <c:order val="1"/>
          <c:tx>
            <c:strRef>
              <c:f>Blad1!$U$2</c:f>
              <c:strCache>
                <c:ptCount val="1"/>
                <c:pt idx="0">
                  <c:v>Girls</c:v>
                </c:pt>
              </c:strCache>
            </c:strRef>
          </c:tx>
          <c:spPr>
            <a:solidFill>
              <a:schemeClr val="accent4"/>
            </a:solidFill>
            <a:ln>
              <a:noFill/>
            </a:ln>
            <a:effectLst/>
          </c:spPr>
          <c:invertIfNegative val="0"/>
          <c:dLbls>
            <c:dLbl>
              <c:idx val="28"/>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0B8F-D54A-82FA-6473DFAC9A5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Blad1!$S$3:$S$31</c:f>
              <c:strCache>
                <c:ptCount val="29"/>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Malta</c:v>
                </c:pt>
                <c:pt idx="15">
                  <c:v>Netherlands</c:v>
                </c:pt>
                <c:pt idx="16">
                  <c:v>Poland</c:v>
                </c:pt>
                <c:pt idx="17">
                  <c:v>Portugal</c:v>
                </c:pt>
                <c:pt idx="18">
                  <c:v>Serbia</c:v>
                </c:pt>
                <c:pt idx="19">
                  <c:v>Slovakia</c:v>
                </c:pt>
                <c:pt idx="20">
                  <c:v>Slovenia</c:v>
                </c:pt>
                <c:pt idx="21">
                  <c:v>Spain</c:v>
                </c:pt>
                <c:pt idx="22">
                  <c:v>Sweden</c:v>
                </c:pt>
                <c:pt idx="23">
                  <c:v>Switzerland</c:v>
                </c:pt>
                <c:pt idx="24">
                  <c:v>UK (England)</c:v>
                </c:pt>
                <c:pt idx="25">
                  <c:v>UK (N. Ireland)</c:v>
                </c:pt>
                <c:pt idx="26">
                  <c:v>UK (Scotland)</c:v>
                </c:pt>
                <c:pt idx="27">
                  <c:v>UK (Wales)</c:v>
                </c:pt>
                <c:pt idx="28">
                  <c:v>Total average (28)</c:v>
                </c:pt>
              </c:strCache>
            </c:strRef>
          </c:cat>
          <c:val>
            <c:numRef>
              <c:f>Blad1!$U$3:$U$31</c:f>
              <c:numCache>
                <c:formatCode>0.00</c:formatCode>
                <c:ptCount val="29"/>
                <c:pt idx="0">
                  <c:v>33.541992696922271</c:v>
                </c:pt>
                <c:pt idx="1">
                  <c:v>35.40652273771245</c:v>
                </c:pt>
                <c:pt idx="2">
                  <c:v>39.272271016311166</c:v>
                </c:pt>
                <c:pt idx="3">
                  <c:v>37.47052004636847</c:v>
                </c:pt>
                <c:pt idx="4">
                  <c:v>31.914232442510876</c:v>
                </c:pt>
                <c:pt idx="5">
                  <c:v>29.979570990806948</c:v>
                </c:pt>
                <c:pt idx="6">
                  <c:v>31.866142084320654</c:v>
                </c:pt>
                <c:pt idx="7">
                  <c:v>34.106781682714747</c:v>
                </c:pt>
                <c:pt idx="8">
                  <c:v>33.449972662657188</c:v>
                </c:pt>
                <c:pt idx="9">
                  <c:v>26.219512195121951</c:v>
                </c:pt>
                <c:pt idx="10">
                  <c:v>32.552896288588272</c:v>
                </c:pt>
                <c:pt idx="11">
                  <c:v>29.900568181818183</c:v>
                </c:pt>
                <c:pt idx="12">
                  <c:v>33.789163925913101</c:v>
                </c:pt>
                <c:pt idx="13">
                  <c:v>35.465879265091864</c:v>
                </c:pt>
                <c:pt idx="14">
                  <c:v>34.482758620689658</c:v>
                </c:pt>
                <c:pt idx="15">
                  <c:v>27.346861964056078</c:v>
                </c:pt>
                <c:pt idx="16">
                  <c:v>35.282654870705613</c:v>
                </c:pt>
                <c:pt idx="17">
                  <c:v>29.849246231155778</c:v>
                </c:pt>
                <c:pt idx="18">
                  <c:v>35.680304471931493</c:v>
                </c:pt>
                <c:pt idx="19">
                  <c:v>40.610301709303656</c:v>
                </c:pt>
                <c:pt idx="20">
                  <c:v>40.057270124085271</c:v>
                </c:pt>
                <c:pt idx="21">
                  <c:v>36.63593603010348</c:v>
                </c:pt>
                <c:pt idx="22">
                  <c:v>38.742285592679295</c:v>
                </c:pt>
                <c:pt idx="23">
                  <c:v>31.884928580963823</c:v>
                </c:pt>
                <c:pt idx="24">
                  <c:v>26.309830897105186</c:v>
                </c:pt>
                <c:pt idx="25">
                  <c:v>29.240447343895621</c:v>
                </c:pt>
                <c:pt idx="26">
                  <c:v>29.036583030070869</c:v>
                </c:pt>
                <c:pt idx="27">
                  <c:v>27.916792282182694</c:v>
                </c:pt>
                <c:pt idx="28">
                  <c:v>32.946201018227605</c:v>
                </c:pt>
              </c:numCache>
            </c:numRef>
          </c:val>
          <c:extLst>
            <c:ext xmlns:c16="http://schemas.microsoft.com/office/drawing/2014/chart" uri="{C3380CC4-5D6E-409C-BE32-E72D297353CC}">
              <c16:uniqueId val="{00000001-4C2F-4E5F-A82F-4A2479F215E0}"/>
            </c:ext>
          </c:extLst>
        </c:ser>
        <c:dLbls>
          <c:showLegendKey val="0"/>
          <c:showVal val="0"/>
          <c:showCatName val="0"/>
          <c:showSerName val="0"/>
          <c:showPercent val="0"/>
          <c:showBubbleSize val="0"/>
        </c:dLbls>
        <c:gapWidth val="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832570846811089E-2"/>
          <c:y val="4.1983666068890708E-2"/>
          <c:w val="0.87833485830637781"/>
          <c:h val="0.9210079320778719"/>
        </c:manualLayout>
      </c:layout>
      <c:barChart>
        <c:barDir val="bar"/>
        <c:grouping val="clustered"/>
        <c:varyColors val="0"/>
        <c:ser>
          <c:idx val="0"/>
          <c:order val="0"/>
          <c:tx>
            <c:strRef>
              <c:f>'3b.3 - ISCED 1&amp;2 '!$W$2</c:f>
              <c:strCache>
                <c:ptCount val="1"/>
                <c:pt idx="0">
                  <c:v>ISCED 1</c:v>
                </c:pt>
              </c:strCache>
            </c:strRef>
          </c:tx>
          <c:spPr>
            <a:solidFill>
              <a:schemeClr val="accent5">
                <a:lumMod val="50000"/>
              </a:schemeClr>
            </a:solidFill>
            <a:ln>
              <a:noFill/>
            </a:ln>
            <a:effectLst/>
          </c:spPr>
          <c:invertIfNegative val="0"/>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0901-0C4A-A591-C20106487F3A}"/>
                </c:ext>
              </c:extLst>
            </c:dLbl>
            <c:dLbl>
              <c:idx val="3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0901-0C4A-A591-C20106487F3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'3b.3 - ISCED 1&amp;2 '!$V$3:$V$33</c:f>
              <c:strCache>
                <c:ptCount val="31"/>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Serbia</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'3b.3 - ISCED 1&amp;2 '!$W$3:$W$33</c:f>
              <c:numCache>
                <c:formatCode>0.00</c:formatCode>
                <c:ptCount val="31"/>
                <c:pt idx="0">
                  <c:v>0.40023275367493255</c:v>
                </c:pt>
                <c:pt idx="1">
                  <c:v>3.4335033018473626</c:v>
                </c:pt>
                <c:pt idx="2">
                  <c:v>0.26831160392433351</c:v>
                </c:pt>
                <c:pt idx="3">
                  <c:v>1.2410743759482745</c:v>
                </c:pt>
                <c:pt idx="4">
                  <c:v>1.4572872540521091</c:v>
                </c:pt>
                <c:pt idx="5">
                  <c:v>0.40193030848803057</c:v>
                </c:pt>
                <c:pt idx="6">
                  <c:v>0.51608047138864377</c:v>
                </c:pt>
                <c:pt idx="7">
                  <c:v>1.1521704140798852</c:v>
                </c:pt>
                <c:pt idx="8">
                  <c:v>0.41958348511052684</c:v>
                </c:pt>
                <c:pt idx="9">
                  <c:v>0.25377860623891124</c:v>
                </c:pt>
                <c:pt idx="10">
                  <c:v>0.38824115753922173</c:v>
                </c:pt>
                <c:pt idx="11">
                  <c:v>2.6915013136826465E-2</c:v>
                </c:pt>
                <c:pt idx="12">
                  <c:v>2.0186964249555652</c:v>
                </c:pt>
                <c:pt idx="13">
                  <c:v>0.38135196118716524</c:v>
                </c:pt>
                <c:pt idx="14">
                  <c:v>0.18105112132133158</c:v>
                </c:pt>
                <c:pt idx="15">
                  <c:v>0.1174015131750587</c:v>
                </c:pt>
                <c:pt idx="16">
                  <c:v>1.3054155811193517</c:v>
                </c:pt>
                <c:pt idx="17">
                  <c:v>0.10249890747288547</c:v>
                </c:pt>
                <c:pt idx="18">
                  <c:v>0.84302695427084118</c:v>
                </c:pt>
                <c:pt idx="19">
                  <c:v>1.6023282810941616E-2</c:v>
                </c:pt>
                <c:pt idx="20">
                  <c:v>0.22659135648750356</c:v>
                </c:pt>
                <c:pt idx="21">
                  <c:v>1.6869095816464237</c:v>
                </c:pt>
                <c:pt idx="22">
                  <c:v>1.2566384503502428</c:v>
                </c:pt>
                <c:pt idx="23">
                  <c:v>0.3522233052064413</c:v>
                </c:pt>
                <c:pt idx="24">
                  <c:v>0.53405378235737355</c:v>
                </c:pt>
                <c:pt idx="25">
                  <c:v>1.1702375559983347</c:v>
                </c:pt>
                <c:pt idx="26">
                  <c:v>0.68998479346558428</c:v>
                </c:pt>
                <c:pt idx="27">
                  <c:v>0.85897368002965624</c:v>
                </c:pt>
                <c:pt idx="28">
                  <c:v>0.54254626677284101</c:v>
                </c:pt>
                <c:pt idx="29">
                  <c:v>0.35110637163423086</c:v>
                </c:pt>
                <c:pt idx="30">
                  <c:v>0.69603458896834192</c:v>
                </c:pt>
              </c:numCache>
            </c:numRef>
          </c:val>
          <c:extLst>
            <c:ext xmlns:c16="http://schemas.microsoft.com/office/drawing/2014/chart" uri="{C3380CC4-5D6E-409C-BE32-E72D297353CC}">
              <c16:uniqueId val="{00000000-52F0-4345-B88A-AE9FF0F45573}"/>
            </c:ext>
          </c:extLst>
        </c:ser>
        <c:ser>
          <c:idx val="1"/>
          <c:order val="1"/>
          <c:tx>
            <c:strRef>
              <c:f>'3b.3 - ISCED 1&amp;2 '!$X$2</c:f>
              <c:strCache>
                <c:ptCount val="1"/>
                <c:pt idx="0">
                  <c:v>ISCED 2</c:v>
                </c:pt>
              </c:strCache>
            </c:strRef>
          </c:tx>
          <c:spPr>
            <a:solidFill>
              <a:schemeClr val="accent4"/>
            </a:solidFill>
            <a:ln>
              <a:noFill/>
            </a:ln>
            <a:effectLst/>
          </c:spPr>
          <c:invertIfNegative val="0"/>
          <c:dLbls>
            <c:dLbl>
              <c:idx val="1"/>
              <c:dLblPos val="inEnd"/>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0901-0C4A-A591-C20106487F3A}"/>
                </c:ext>
              </c:extLst>
            </c:dLbl>
            <c:dLbl>
              <c:idx val="3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901-0C4A-A591-C20106487F3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'3b.3 - ISCED 1&amp;2 '!$V$3:$V$33</c:f>
              <c:strCache>
                <c:ptCount val="31"/>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Serbia</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'3b.3 - ISCED 1&amp;2 '!$X$3:$X$33</c:f>
              <c:numCache>
                <c:formatCode>0.00</c:formatCode>
                <c:ptCount val="31"/>
                <c:pt idx="0">
                  <c:v>0.64470587594011086</c:v>
                </c:pt>
                <c:pt idx="1">
                  <c:v>2.6324221906433727</c:v>
                </c:pt>
                <c:pt idx="2">
                  <c:v>0.26013406739616185</c:v>
                </c:pt>
                <c:pt idx="3">
                  <c:v>1.3640571614823329</c:v>
                </c:pt>
                <c:pt idx="4">
                  <c:v>1.1743347344662338</c:v>
                </c:pt>
                <c:pt idx="5">
                  <c:v>0.32742978791564303</c:v>
                </c:pt>
                <c:pt idx="6">
                  <c:v>6.7674555593747007E-2</c:v>
                </c:pt>
                <c:pt idx="7">
                  <c:v>1.9359254932201169</c:v>
                </c:pt>
                <c:pt idx="8">
                  <c:v>0.53491675651528614</c:v>
                </c:pt>
                <c:pt idx="9">
                  <c:v>0.1145372470635794</c:v>
                </c:pt>
                <c:pt idx="10">
                  <c:v>0.37604648820033193</c:v>
                </c:pt>
                <c:pt idx="11">
                  <c:v>4.224131067488787E-3</c:v>
                </c:pt>
                <c:pt idx="12">
                  <c:v>1.2306792359439334</c:v>
                </c:pt>
                <c:pt idx="13">
                  <c:v>0.7172877152764261</c:v>
                </c:pt>
                <c:pt idx="14">
                  <c:v>0.17421900353562095</c:v>
                </c:pt>
                <c:pt idx="15">
                  <c:v>0.41220975737020615</c:v>
                </c:pt>
                <c:pt idx="16">
                  <c:v>1.893090852911641</c:v>
                </c:pt>
                <c:pt idx="17">
                  <c:v>0.11966151523578722</c:v>
                </c:pt>
                <c:pt idx="18">
                  <c:v>0.68241783459787375</c:v>
                </c:pt>
                <c:pt idx="19">
                  <c:v>9.243363145359515E-2</c:v>
                </c:pt>
                <c:pt idx="20">
                  <c:v>0.32171451228079934</c:v>
                </c:pt>
                <c:pt idx="21">
                  <c:v>1.9664545980335453</c:v>
                </c:pt>
                <c:pt idx="22">
                  <c:v>0.4948536336634215</c:v>
                </c:pt>
                <c:pt idx="23">
                  <c:v>0.21693237616660851</c:v>
                </c:pt>
                <c:pt idx="24">
                  <c:v>0.37436928489956706</c:v>
                </c:pt>
                <c:pt idx="25">
                  <c:v>0.7911114834878552</c:v>
                </c:pt>
                <c:pt idx="26">
                  <c:v>0.56666131208404436</c:v>
                </c:pt>
                <c:pt idx="27">
                  <c:v>0.65632226517679038</c:v>
                </c:pt>
                <c:pt idx="28">
                  <c:v>0.32000978037119149</c:v>
                </c:pt>
                <c:pt idx="29">
                  <c:v>0.53319114902692621</c:v>
                </c:pt>
                <c:pt idx="30">
                  <c:v>0.71533117965539295</c:v>
                </c:pt>
              </c:numCache>
            </c:numRef>
          </c:val>
          <c:extLst>
            <c:ext xmlns:c16="http://schemas.microsoft.com/office/drawing/2014/chart" uri="{C3380CC4-5D6E-409C-BE32-E72D297353CC}">
              <c16:uniqueId val="{00000001-52F0-4345-B88A-AE9FF0F45573}"/>
            </c:ext>
          </c:extLst>
        </c:ser>
        <c:dLbls>
          <c:showLegendKey val="0"/>
          <c:showVal val="0"/>
          <c:showCatName val="0"/>
          <c:showSerName val="0"/>
          <c:showPercent val="0"/>
          <c:showBubbleSize val="0"/>
        </c:dLbls>
        <c:gapWidth val="3"/>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3.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603258100044381E-2"/>
          <c:y val="4.1927453628965834E-2"/>
          <c:w val="0.85273486430062628"/>
          <c:h val="0.92948189635291412"/>
        </c:manualLayout>
      </c:layout>
      <c:barChart>
        <c:barDir val="bar"/>
        <c:grouping val="clustered"/>
        <c:varyColors val="0"/>
        <c:ser>
          <c:idx val="0"/>
          <c:order val="0"/>
          <c:tx>
            <c:strRef>
              <c:f>'3b.3 - ISCED 1&amp;2 '!$Z$2</c:f>
              <c:strCache>
                <c:ptCount val="1"/>
                <c:pt idx="0">
                  <c:v>ISCED 1</c:v>
                </c:pt>
              </c:strCache>
            </c:strRef>
          </c:tx>
          <c:spPr>
            <a:solidFill>
              <a:schemeClr val="accent5">
                <a:lumMod val="50000"/>
              </a:schemeClr>
            </a:solidFill>
            <a:ln>
              <a:noFill/>
            </a:ln>
            <a:effectLst/>
          </c:spPr>
          <c:invertIfNegative val="0"/>
          <c:dLbls>
            <c:dLbl>
              <c:idx val="3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D87-1E45-BD36-E7AA8EC809C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'3b.3 - ISCED 1&amp;2 '!$Y$3:$Y$33</c:f>
              <c:strCache>
                <c:ptCount val="31"/>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Serbia</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'3b.3 - ISCED 1&amp;2 '!$Z$3:$Z$33</c:f>
              <c:numCache>
                <c:formatCode>0.00</c:formatCode>
                <c:ptCount val="31"/>
                <c:pt idx="0">
                  <c:v>0.73211405723800815</c:v>
                </c:pt>
                <c:pt idx="1">
                  <c:v>5.2009251716759026</c:v>
                </c:pt>
                <c:pt idx="2">
                  <c:v>0.45822906168729455</c:v>
                </c:pt>
                <c:pt idx="3">
                  <c:v>2.0691690683704298</c:v>
                </c:pt>
                <c:pt idx="4">
                  <c:v>2.0815811606391925</c:v>
                </c:pt>
                <c:pt idx="5">
                  <c:v>0.60005283134288934</c:v>
                </c:pt>
                <c:pt idx="6">
                  <c:v>0.91763959558703245</c:v>
                </c:pt>
                <c:pt idx="7">
                  <c:v>2.9217453105566413</c:v>
                </c:pt>
                <c:pt idx="8">
                  <c:v>0.62761310306281437</c:v>
                </c:pt>
                <c:pt idx="9">
                  <c:v>0.35333479253306649</c:v>
                </c:pt>
                <c:pt idx="10">
                  <c:v>0.52050383491729513</c:v>
                </c:pt>
                <c:pt idx="11">
                  <c:v>4.3582362787179842E-2</c:v>
                </c:pt>
                <c:pt idx="12">
                  <c:v>2.9537636001514329</c:v>
                </c:pt>
                <c:pt idx="13">
                  <c:v>0.92903996276815282</c:v>
                </c:pt>
                <c:pt idx="14">
                  <c:v>0.28691297875219923</c:v>
                </c:pt>
                <c:pt idx="15">
                  <c:v>0.17444565048844782</c:v>
                </c:pt>
                <c:pt idx="16">
                  <c:v>2.2019741195064868</c:v>
                </c:pt>
                <c:pt idx="17">
                  <c:v>0.14506182557496211</c:v>
                </c:pt>
                <c:pt idx="18">
                  <c:v>1.2320128727099593</c:v>
                </c:pt>
                <c:pt idx="19">
                  <c:v>2.5065348945464964E-2</c:v>
                </c:pt>
                <c:pt idx="20">
                  <c:v>0.45103204300554184</c:v>
                </c:pt>
                <c:pt idx="21">
                  <c:v>3.571000811792731</c:v>
                </c:pt>
                <c:pt idx="22">
                  <c:v>1.7948819994428304</c:v>
                </c:pt>
                <c:pt idx="23">
                  <c:v>0.54056079484721908</c:v>
                </c:pt>
                <c:pt idx="24">
                  <c:v>0.78706730885660281</c:v>
                </c:pt>
                <c:pt idx="25">
                  <c:v>1.7607339969981446</c:v>
                </c:pt>
                <c:pt idx="26">
                  <c:v>0.99794753182888463</c:v>
                </c:pt>
                <c:pt idx="27">
                  <c:v>1.4270715412724575</c:v>
                </c:pt>
                <c:pt idx="28">
                  <c:v>0.82197815400326391</c:v>
                </c:pt>
                <c:pt idx="29">
                  <c:v>0.61854217546496337</c:v>
                </c:pt>
                <c:pt idx="30">
                  <c:v>1.1758303197221198</c:v>
                </c:pt>
              </c:numCache>
            </c:numRef>
          </c:val>
          <c:extLst>
            <c:ext xmlns:c16="http://schemas.microsoft.com/office/drawing/2014/chart" uri="{C3380CC4-5D6E-409C-BE32-E72D297353CC}">
              <c16:uniqueId val="{00000000-7EC1-4ECE-A3CF-ECBCE14A9E2F}"/>
            </c:ext>
          </c:extLst>
        </c:ser>
        <c:ser>
          <c:idx val="1"/>
          <c:order val="1"/>
          <c:tx>
            <c:strRef>
              <c:f>'3b.3 - ISCED 1&amp;2 '!$AA$2</c:f>
              <c:strCache>
                <c:ptCount val="1"/>
                <c:pt idx="0">
                  <c:v>ISCED 2</c:v>
                </c:pt>
              </c:strCache>
            </c:strRef>
          </c:tx>
          <c:spPr>
            <a:solidFill>
              <a:srgbClr val="F9C623"/>
            </a:solidFill>
            <a:ln>
              <a:noFill/>
            </a:ln>
            <a:effectLst/>
          </c:spPr>
          <c:invertIfNegative val="0"/>
          <c:dLbls>
            <c:dLbl>
              <c:idx val="3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6D87-1E45-BD36-E7AA8EC809C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'3b.3 - ISCED 1&amp;2 '!$Y$3:$Y$33</c:f>
              <c:strCache>
                <c:ptCount val="31"/>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Serbia</c:v>
                </c:pt>
                <c:pt idx="21">
                  <c:v>Slovakia</c:v>
                </c:pt>
                <c:pt idx="22">
                  <c:v>Slovenia</c:v>
                </c:pt>
                <c:pt idx="23">
                  <c:v>Spain</c:v>
                </c:pt>
                <c:pt idx="24">
                  <c:v>Sweden</c:v>
                </c:pt>
                <c:pt idx="25">
                  <c:v>Switzerland</c:v>
                </c:pt>
                <c:pt idx="26">
                  <c:v>UK (England)</c:v>
                </c:pt>
                <c:pt idx="27">
                  <c:v>UK (N. Ireland)</c:v>
                </c:pt>
                <c:pt idx="28">
                  <c:v>UK (Scotland)</c:v>
                </c:pt>
                <c:pt idx="29">
                  <c:v>UK (Wales)</c:v>
                </c:pt>
                <c:pt idx="30">
                  <c:v>Total average (30)</c:v>
                </c:pt>
              </c:strCache>
            </c:strRef>
          </c:cat>
          <c:val>
            <c:numRef>
              <c:f>'3b.3 - ISCED 1&amp;2 '!$AA$3:$AA$33</c:f>
              <c:numCache>
                <c:formatCode>0.00</c:formatCode>
                <c:ptCount val="31"/>
                <c:pt idx="0">
                  <c:v>1.4221898898561878</c:v>
                </c:pt>
                <c:pt idx="1">
                  <c:v>7.7463287444346971</c:v>
                </c:pt>
                <c:pt idx="2">
                  <c:v>0.62764629971310648</c:v>
                </c:pt>
                <c:pt idx="3">
                  <c:v>3.4083842244813525</c:v>
                </c:pt>
                <c:pt idx="4">
                  <c:v>3.9155805202595846</c:v>
                </c:pt>
                <c:pt idx="5">
                  <c:v>0.99168518790121507</c:v>
                </c:pt>
                <c:pt idx="6">
                  <c:v>0.15464933576231596</c:v>
                </c:pt>
                <c:pt idx="7">
                  <c:v>3.1964067995452745</c:v>
                </c:pt>
                <c:pt idx="8">
                  <c:v>1.6138123443261507</c:v>
                </c:pt>
                <c:pt idx="9">
                  <c:v>0.40650406504065045</c:v>
                </c:pt>
                <c:pt idx="10">
                  <c:v>1.4798856570546259</c:v>
                </c:pt>
                <c:pt idx="11">
                  <c:v>1.104540412878363E-2</c:v>
                </c:pt>
                <c:pt idx="12">
                  <c:v>3.8875661845705554</c:v>
                </c:pt>
                <c:pt idx="13">
                  <c:v>1.2167309679431133</c:v>
                </c:pt>
                <c:pt idx="14">
                  <c:v>0.47217850199055644</c:v>
                </c:pt>
                <c:pt idx="15">
                  <c:v>1.260571246210308</c:v>
                </c:pt>
                <c:pt idx="16">
                  <c:v>4.6494867713656367</c:v>
                </c:pt>
                <c:pt idx="17">
                  <c:v>0.40782725022611938</c:v>
                </c:pt>
                <c:pt idx="18">
                  <c:v>2.1613830139792718</c:v>
                </c:pt>
                <c:pt idx="19">
                  <c:v>0.25623360769667741</c:v>
                </c:pt>
                <c:pt idx="20">
                  <c:v>0.64651180670345376</c:v>
                </c:pt>
                <c:pt idx="21">
                  <c:v>3.7271077183380532</c:v>
                </c:pt>
                <c:pt idx="22">
                  <c:v>1.6501895487995244</c:v>
                </c:pt>
                <c:pt idx="23">
                  <c:v>0.62263300797085808</c:v>
                </c:pt>
                <c:pt idx="24">
                  <c:v>1.1645773633583605</c:v>
                </c:pt>
                <c:pt idx="25">
                  <c:v>2.3589251139841361</c:v>
                </c:pt>
                <c:pt idx="26">
                  <c:v>1.8362554534441022</c:v>
                </c:pt>
                <c:pt idx="27">
                  <c:v>1.6486927524921067</c:v>
                </c:pt>
                <c:pt idx="28">
                  <c:v>0.94134227535597992</c:v>
                </c:pt>
                <c:pt idx="29">
                  <c:v>1.2331976815883585</c:v>
                </c:pt>
                <c:pt idx="30">
                  <c:v>1.7530545516942972</c:v>
                </c:pt>
              </c:numCache>
            </c:numRef>
          </c:val>
          <c:extLst>
            <c:ext xmlns:c16="http://schemas.microsoft.com/office/drawing/2014/chart" uri="{C3380CC4-5D6E-409C-BE32-E72D297353CC}">
              <c16:uniqueId val="{00000001-7EC1-4ECE-A3CF-ECBCE14A9E2F}"/>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layout>
        <c:manualLayout>
          <c:xMode val="edge"/>
          <c:yMode val="edge"/>
          <c:x val="0.29059096214225832"/>
          <c:y val="0.96973570981451584"/>
          <c:w val="0.41881807571548335"/>
          <c:h val="3.0264290185484138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E710-421E-BE97-5C9E0CE27402}"/>
              </c:ext>
            </c:extLst>
          </c:dPt>
          <c:dPt>
            <c:idx val="23"/>
            <c:invertIfNegative val="0"/>
            <c:bubble3D val="0"/>
            <c:spPr>
              <a:solidFill>
                <a:srgbClr val="F9C623"/>
              </a:solidFill>
              <a:ln>
                <a:noFill/>
              </a:ln>
              <a:effectLst/>
            </c:spPr>
            <c:extLst>
              <c:ext xmlns:c16="http://schemas.microsoft.com/office/drawing/2014/chart" uri="{C3380CC4-5D6E-409C-BE32-E72D297353CC}">
                <c16:uniqueId val="{00000003-E710-421E-BE97-5C9E0CE27402}"/>
              </c:ext>
            </c:extLst>
          </c:dPt>
          <c:dPt>
            <c:idx val="27"/>
            <c:invertIfNegative val="0"/>
            <c:bubble3D val="0"/>
            <c:extLst>
              <c:ext xmlns:c16="http://schemas.microsoft.com/office/drawing/2014/chart" uri="{C3380CC4-5D6E-409C-BE32-E72D297353CC}">
                <c16:uniqueId val="{00000005-E710-421E-BE97-5C9E0CE27402}"/>
              </c:ext>
            </c:extLst>
          </c:dPt>
          <c:dLbls>
            <c:dLbl>
              <c:idx val="1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27FB-6148-8DD4-6AECCD98E19A}"/>
                </c:ext>
              </c:extLst>
            </c:dLbl>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E710-421E-BE97-5C9E0CE2740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'3b.5 - ISCED 1&amp;2'!$V$3:$V$26</c:f>
              <c:strCache>
                <c:ptCount val="24"/>
                <c:pt idx="0">
                  <c:v>Austria</c:v>
                </c:pt>
                <c:pt idx="1">
                  <c:v>Bulgaria</c:v>
                </c:pt>
                <c:pt idx="2">
                  <c:v>Czech Republic</c:v>
                </c:pt>
                <c:pt idx="3">
                  <c:v>Estonia</c:v>
                </c:pt>
                <c:pt idx="4">
                  <c:v>Finland</c:v>
                </c:pt>
                <c:pt idx="5">
                  <c:v>France</c:v>
                </c:pt>
                <c:pt idx="6">
                  <c:v>Greece</c:v>
                </c:pt>
                <c:pt idx="7">
                  <c:v>Iceland </c:v>
                </c:pt>
                <c:pt idx="8">
                  <c:v>Ireland</c:v>
                </c:pt>
                <c:pt idx="9">
                  <c:v>Latvia</c:v>
                </c:pt>
                <c:pt idx="10">
                  <c:v>Lithuania</c:v>
                </c:pt>
                <c:pt idx="11">
                  <c:v>Luxembourg</c:v>
                </c:pt>
                <c:pt idx="12">
                  <c:v>Norway</c:v>
                </c:pt>
                <c:pt idx="13">
                  <c:v>Poland</c:v>
                </c:pt>
                <c:pt idx="14">
                  <c:v>Portugal</c:v>
                </c:pt>
                <c:pt idx="15">
                  <c:v>Serbia</c:v>
                </c:pt>
                <c:pt idx="16">
                  <c:v>Slovakia</c:v>
                </c:pt>
                <c:pt idx="17">
                  <c:v>Slovenia</c:v>
                </c:pt>
                <c:pt idx="18">
                  <c:v>Spain</c:v>
                </c:pt>
                <c:pt idx="19">
                  <c:v>Switzerland</c:v>
                </c:pt>
                <c:pt idx="20">
                  <c:v>UK (England)</c:v>
                </c:pt>
                <c:pt idx="21">
                  <c:v>UK (N. Ireland)</c:v>
                </c:pt>
                <c:pt idx="22">
                  <c:v>UK (Wales)</c:v>
                </c:pt>
                <c:pt idx="23">
                  <c:v>Total average (23)</c:v>
                </c:pt>
              </c:strCache>
            </c:strRef>
          </c:cat>
          <c:val>
            <c:numRef>
              <c:f>'3b.5 - ISCED 1&amp;2'!$W$3:$W$26</c:f>
              <c:numCache>
                <c:formatCode>0.00</c:formatCode>
                <c:ptCount val="24"/>
                <c:pt idx="0">
                  <c:v>2.0898772592300867</c:v>
                </c:pt>
                <c:pt idx="1">
                  <c:v>0.55187320840120324</c:v>
                </c:pt>
                <c:pt idx="2">
                  <c:v>3.2446211953176984</c:v>
                </c:pt>
                <c:pt idx="3">
                  <c:v>4.6221030078016385</c:v>
                </c:pt>
                <c:pt idx="4">
                  <c:v>4.5430417445041904</c:v>
                </c:pt>
                <c:pt idx="5">
                  <c:v>1.3919740012783262</c:v>
                </c:pt>
                <c:pt idx="6">
                  <c:v>1.0180640084000196</c:v>
                </c:pt>
                <c:pt idx="7">
                  <c:v>1.2554180609517822</c:v>
                </c:pt>
                <c:pt idx="8">
                  <c:v>1.4245229498374927</c:v>
                </c:pt>
                <c:pt idx="9">
                  <c:v>4.088577406799109</c:v>
                </c:pt>
                <c:pt idx="10">
                  <c:v>1.4262851705270443</c:v>
                </c:pt>
                <c:pt idx="11">
                  <c:v>0.75153295642816886</c:v>
                </c:pt>
                <c:pt idx="12">
                  <c:v>0.63612887847125665</c:v>
                </c:pt>
                <c:pt idx="13">
                  <c:v>1.626661530028525</c:v>
                </c:pt>
                <c:pt idx="14">
                  <c:v>1.1196677621360018</c:v>
                </c:pt>
                <c:pt idx="15">
                  <c:v>0.79211329915623852</c:v>
                </c:pt>
                <c:pt idx="16">
                  <c:v>5.6265245052430402</c:v>
                </c:pt>
                <c:pt idx="17">
                  <c:v>2.0295686191466005</c:v>
                </c:pt>
                <c:pt idx="18">
                  <c:v>0.72474988740033885</c:v>
                </c:pt>
                <c:pt idx="19">
                  <c:v>3.8632632595940102</c:v>
                </c:pt>
                <c:pt idx="20">
                  <c:v>1.352686427717817</c:v>
                </c:pt>
                <c:pt idx="21">
                  <c:v>2.3262546558632984</c:v>
                </c:pt>
                <c:pt idx="22">
                  <c:v>1.5587843241802186</c:v>
                </c:pt>
                <c:pt idx="23">
                  <c:v>1.5506970246736063</c:v>
                </c:pt>
              </c:numCache>
            </c:numRef>
          </c:val>
          <c:extLst>
            <c:ext xmlns:c16="http://schemas.microsoft.com/office/drawing/2014/chart" uri="{C3380CC4-5D6E-409C-BE32-E72D297353CC}">
              <c16:uniqueId val="{00000006-E710-421E-BE97-5C9E0CE27402}"/>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6"/>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w="25400">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266999233791424E-2"/>
          <c:y val="4.669460119908124E-2"/>
          <c:w val="0.8561699352798291"/>
          <c:h val="0.90096073265771881"/>
        </c:manualLayout>
      </c:layout>
      <c:barChart>
        <c:barDir val="bar"/>
        <c:grouping val="clustered"/>
        <c:varyColors val="0"/>
        <c:ser>
          <c:idx val="0"/>
          <c:order val="0"/>
          <c:tx>
            <c:strRef>
              <c:f>Blad1!$Y$2</c:f>
              <c:strCache>
                <c:ptCount val="1"/>
                <c:pt idx="0">
                  <c:v>Boys</c:v>
                </c:pt>
              </c:strCache>
            </c:strRef>
          </c:tx>
          <c:spPr>
            <a:solidFill>
              <a:srgbClr val="17255B"/>
            </a:solidFill>
            <a:ln>
              <a:noFill/>
            </a:ln>
            <a:effectLst/>
          </c:spPr>
          <c:invertIfNegative val="0"/>
          <c:dLbls>
            <c:dLbl>
              <c:idx val="3"/>
              <c:layout>
                <c:manualLayout>
                  <c:x val="-0.2070393374741200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47FE-694D-8AF5-65E66C4AB967}"/>
                </c:ext>
              </c:extLst>
            </c:dLbl>
            <c:dLbl>
              <c:idx val="4"/>
              <c:layout>
                <c:manualLayout>
                  <c:x val="-0.2360248447204969"/>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47FE-694D-8AF5-65E66C4AB967}"/>
                </c:ext>
              </c:extLst>
            </c:dLbl>
            <c:dLbl>
              <c:idx val="14"/>
              <c:layout>
                <c:manualLayout>
                  <c:x val="-0.2236024844720497"/>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7FE-694D-8AF5-65E66C4AB967}"/>
                </c:ext>
              </c:extLst>
            </c:dLbl>
            <c:dLbl>
              <c:idx val="2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0A8B-7C42-B4A1-C14549F7FC3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Blad1!$X$3:$X$24</c:f>
              <c:strCache>
                <c:ptCount val="22"/>
                <c:pt idx="0">
                  <c:v>Austria</c:v>
                </c:pt>
                <c:pt idx="1">
                  <c:v>Bulgaria</c:v>
                </c:pt>
                <c:pt idx="2">
                  <c:v>Czech Republic</c:v>
                </c:pt>
                <c:pt idx="3">
                  <c:v>Estonia</c:v>
                </c:pt>
                <c:pt idx="4">
                  <c:v>Finland</c:v>
                </c:pt>
                <c:pt idx="5">
                  <c:v>France</c:v>
                </c:pt>
                <c:pt idx="6">
                  <c:v>Greece</c:v>
                </c:pt>
                <c:pt idx="7">
                  <c:v>Iceland </c:v>
                </c:pt>
                <c:pt idx="8">
                  <c:v>Ireland</c:v>
                </c:pt>
                <c:pt idx="9">
                  <c:v>Latvia</c:v>
                </c:pt>
                <c:pt idx="10">
                  <c:v>Lithuania</c:v>
                </c:pt>
                <c:pt idx="11">
                  <c:v>Poland</c:v>
                </c:pt>
                <c:pt idx="12">
                  <c:v>Portugal</c:v>
                </c:pt>
                <c:pt idx="13">
                  <c:v>Serbia</c:v>
                </c:pt>
                <c:pt idx="14">
                  <c:v>Slovakia</c:v>
                </c:pt>
                <c:pt idx="15">
                  <c:v>Slovenia</c:v>
                </c:pt>
                <c:pt idx="16">
                  <c:v>Spain</c:v>
                </c:pt>
                <c:pt idx="17">
                  <c:v>Switzerland</c:v>
                </c:pt>
                <c:pt idx="18">
                  <c:v>UK (England)</c:v>
                </c:pt>
                <c:pt idx="19">
                  <c:v>UK (N. Ireland)</c:v>
                </c:pt>
                <c:pt idx="20">
                  <c:v>UK (Wales)</c:v>
                </c:pt>
                <c:pt idx="21">
                  <c:v>Total average (21)</c:v>
                </c:pt>
              </c:strCache>
            </c:strRef>
          </c:cat>
          <c:val>
            <c:numRef>
              <c:f>Blad1!$Y$3:$Y$24</c:f>
              <c:numCache>
                <c:formatCode>0.00</c:formatCode>
                <c:ptCount val="22"/>
                <c:pt idx="0">
                  <c:v>1.3888907815644917</c:v>
                </c:pt>
                <c:pt idx="1">
                  <c:v>0.33461595415275197</c:v>
                </c:pt>
                <c:pt idx="2">
                  <c:v>2.044055120447112</c:v>
                </c:pt>
                <c:pt idx="3">
                  <c:v>3.2866652491781294</c:v>
                </c:pt>
                <c:pt idx="4">
                  <c:v>3.1802409719337912</c:v>
                </c:pt>
                <c:pt idx="5">
                  <c:v>0.91273218597166228</c:v>
                </c:pt>
                <c:pt idx="6">
                  <c:v>0.67571728423023658</c:v>
                </c:pt>
                <c:pt idx="7">
                  <c:v>0.95896871561075314</c:v>
                </c:pt>
                <c:pt idx="8">
                  <c:v>1.054573796306606</c:v>
                </c:pt>
                <c:pt idx="9">
                  <c:v>2.709406709114226</c:v>
                </c:pt>
                <c:pt idx="10">
                  <c:v>0.92490466200970312</c:v>
                </c:pt>
                <c:pt idx="11">
                  <c:v>1.0482546726166058</c:v>
                </c:pt>
                <c:pt idx="12">
                  <c:v>0.70546045137696678</c:v>
                </c:pt>
                <c:pt idx="13">
                  <c:v>0.50361363652172708</c:v>
                </c:pt>
                <c:pt idx="14">
                  <c:v>3.2445243543641715</c:v>
                </c:pt>
                <c:pt idx="15">
                  <c:v>1.2215305912052026</c:v>
                </c:pt>
                <c:pt idx="16">
                  <c:v>0.46065736785147426</c:v>
                </c:pt>
                <c:pt idx="17">
                  <c:v>2.5062118550209331</c:v>
                </c:pt>
                <c:pt idx="18">
                  <c:v>0.99840154903513068</c:v>
                </c:pt>
                <c:pt idx="19">
                  <c:v>1.6688732369503432</c:v>
                </c:pt>
                <c:pt idx="20">
                  <c:v>1.1330311916822182</c:v>
                </c:pt>
                <c:pt idx="21">
                  <c:v>1.0455904095373771</c:v>
                </c:pt>
              </c:numCache>
            </c:numRef>
          </c:val>
          <c:extLst>
            <c:ext xmlns:c16="http://schemas.microsoft.com/office/drawing/2014/chart" uri="{C3380CC4-5D6E-409C-BE32-E72D297353CC}">
              <c16:uniqueId val="{00000000-AAA3-4CA7-97D3-F9DFF2B82780}"/>
            </c:ext>
          </c:extLst>
        </c:ser>
        <c:ser>
          <c:idx val="1"/>
          <c:order val="1"/>
          <c:tx>
            <c:strRef>
              <c:f>Blad1!$Z$2</c:f>
              <c:strCache>
                <c:ptCount val="1"/>
                <c:pt idx="0">
                  <c:v>Girls</c:v>
                </c:pt>
              </c:strCache>
            </c:strRef>
          </c:tx>
          <c:spPr>
            <a:solidFill>
              <a:srgbClr val="F9C623"/>
            </a:solidFill>
            <a:ln>
              <a:noFill/>
            </a:ln>
            <a:effectLst/>
          </c:spPr>
          <c:invertIfNegative val="0"/>
          <c:dLbls>
            <c:dLbl>
              <c:idx val="3"/>
              <c:layout>
                <c:manualLayout>
                  <c:x val="-0.1076604554865424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C1-DE46-94F5-308D5FBE390B}"/>
                </c:ext>
              </c:extLst>
            </c:dLbl>
            <c:dLbl>
              <c:idx val="4"/>
              <c:layout>
                <c:manualLayout>
                  <c:x val="-0.1035196687370600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C1-DE46-94F5-308D5FBE390B}"/>
                </c:ext>
              </c:extLst>
            </c:dLbl>
            <c:dLbl>
              <c:idx val="14"/>
              <c:layout>
                <c:manualLayout>
                  <c:x val="-0.12008281573498965"/>
                  <c:y val="1.3197043070529618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5C1-DE46-94F5-308D5FBE390B}"/>
                </c:ext>
              </c:extLst>
            </c:dLbl>
            <c:dLbl>
              <c:idx val="2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0A8B-7C42-B4A1-C14549F7FC3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Blad1!$X$3:$X$24</c:f>
              <c:strCache>
                <c:ptCount val="22"/>
                <c:pt idx="0">
                  <c:v>Austria</c:v>
                </c:pt>
                <c:pt idx="1">
                  <c:v>Bulgaria</c:v>
                </c:pt>
                <c:pt idx="2">
                  <c:v>Czech Republic</c:v>
                </c:pt>
                <c:pt idx="3">
                  <c:v>Estonia</c:v>
                </c:pt>
                <c:pt idx="4">
                  <c:v>Finland</c:v>
                </c:pt>
                <c:pt idx="5">
                  <c:v>France</c:v>
                </c:pt>
                <c:pt idx="6">
                  <c:v>Greece</c:v>
                </c:pt>
                <c:pt idx="7">
                  <c:v>Iceland </c:v>
                </c:pt>
                <c:pt idx="8">
                  <c:v>Ireland</c:v>
                </c:pt>
                <c:pt idx="9">
                  <c:v>Latvia</c:v>
                </c:pt>
                <c:pt idx="10">
                  <c:v>Lithuania</c:v>
                </c:pt>
                <c:pt idx="11">
                  <c:v>Poland</c:v>
                </c:pt>
                <c:pt idx="12">
                  <c:v>Portugal</c:v>
                </c:pt>
                <c:pt idx="13">
                  <c:v>Serbia</c:v>
                </c:pt>
                <c:pt idx="14">
                  <c:v>Slovakia</c:v>
                </c:pt>
                <c:pt idx="15">
                  <c:v>Slovenia</c:v>
                </c:pt>
                <c:pt idx="16">
                  <c:v>Spain</c:v>
                </c:pt>
                <c:pt idx="17">
                  <c:v>Switzerland</c:v>
                </c:pt>
                <c:pt idx="18">
                  <c:v>UK (England)</c:v>
                </c:pt>
                <c:pt idx="19">
                  <c:v>UK (N. Ireland)</c:v>
                </c:pt>
                <c:pt idx="20">
                  <c:v>UK (Wales)</c:v>
                </c:pt>
                <c:pt idx="21">
                  <c:v>Total average (21)</c:v>
                </c:pt>
              </c:strCache>
            </c:strRef>
          </c:cat>
          <c:val>
            <c:numRef>
              <c:f>Blad1!$Z$3:$Z$24</c:f>
              <c:numCache>
                <c:formatCode>0.00</c:formatCode>
                <c:ptCount val="22"/>
                <c:pt idx="0">
                  <c:v>0.70098647766559508</c:v>
                </c:pt>
                <c:pt idx="1">
                  <c:v>0.21725725424845124</c:v>
                </c:pt>
                <c:pt idx="2">
                  <c:v>1.2005660748705869</c:v>
                </c:pt>
                <c:pt idx="3">
                  <c:v>1.3354377586235096</c:v>
                </c:pt>
                <c:pt idx="4">
                  <c:v>1.3628007725703983</c:v>
                </c:pt>
                <c:pt idx="5">
                  <c:v>0.47924181530666388</c:v>
                </c:pt>
                <c:pt idx="6">
                  <c:v>0.34234672416978307</c:v>
                </c:pt>
                <c:pt idx="7">
                  <c:v>0.29644934534102907</c:v>
                </c:pt>
                <c:pt idx="8">
                  <c:v>0.36994915353088698</c:v>
                </c:pt>
                <c:pt idx="9">
                  <c:v>1.3791706976848832</c:v>
                </c:pt>
                <c:pt idx="10">
                  <c:v>0.50138050851734106</c:v>
                </c:pt>
                <c:pt idx="11">
                  <c:v>0.57840685741191911</c:v>
                </c:pt>
                <c:pt idx="12">
                  <c:v>0.41420731075903483</c:v>
                </c:pt>
                <c:pt idx="13">
                  <c:v>0.28849966263451143</c:v>
                </c:pt>
                <c:pt idx="14">
                  <c:v>2.3820001508788695</c:v>
                </c:pt>
                <c:pt idx="15">
                  <c:v>0.80803802794139779</c:v>
                </c:pt>
                <c:pt idx="16">
                  <c:v>0.26409251954886465</c:v>
                </c:pt>
                <c:pt idx="17">
                  <c:v>1.3570514045730775</c:v>
                </c:pt>
                <c:pt idx="18">
                  <c:v>0.35428487868268621</c:v>
                </c:pt>
                <c:pt idx="19">
                  <c:v>0.65738141891295521</c:v>
                </c:pt>
                <c:pt idx="20">
                  <c:v>0.42575313249800056</c:v>
                </c:pt>
                <c:pt idx="21">
                  <c:v>0.52596223876661419</c:v>
                </c:pt>
              </c:numCache>
            </c:numRef>
          </c:val>
          <c:extLst>
            <c:ext xmlns:c16="http://schemas.microsoft.com/office/drawing/2014/chart" uri="{C3380CC4-5D6E-409C-BE32-E72D297353CC}">
              <c16:uniqueId val="{00000001-AAA3-4CA7-97D3-F9DFF2B82780}"/>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2131943396076496E-2"/>
          <c:w val="0.84750409165302787"/>
          <c:h val="0.925774357670478"/>
        </c:manualLayout>
      </c:layout>
      <c:barChart>
        <c:barDir val="bar"/>
        <c:grouping val="clustered"/>
        <c:varyColors val="0"/>
        <c:ser>
          <c:idx val="0"/>
          <c:order val="0"/>
          <c:tx>
            <c:strRef>
              <c:f>Blad1!$B$3</c:f>
              <c:strCache>
                <c:ptCount val="1"/>
                <c:pt idx="0">
                  <c:v>Boys</c:v>
                </c:pt>
              </c:strCache>
            </c:strRef>
          </c:tx>
          <c:spPr>
            <a:solidFill>
              <a:srgbClr val="17255B"/>
            </a:solidFill>
            <a:ln>
              <a:noFill/>
            </a:ln>
            <a:effectLst/>
          </c:spPr>
          <c:invertIfNegative val="0"/>
          <c:dLbls>
            <c:dLbl>
              <c:idx val="0"/>
              <c:layout>
                <c:manualLayout>
                  <c:x val="5.5237315875613716E-2"/>
                  <c:y val="-8.4076902092586553E-4"/>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17135842880523727"/>
                      <c:h val="2.3890076303529666E-2"/>
                    </c:manualLayout>
                  </c15:layout>
                </c:ext>
                <c:ext xmlns:c16="http://schemas.microsoft.com/office/drawing/2014/chart" uri="{C3380CC4-5D6E-409C-BE32-E72D297353CC}">
                  <c16:uniqueId val="{00000001-484E-5840-B272-9C6F5657A64D}"/>
                </c:ext>
              </c:extLst>
            </c:dLbl>
            <c:dLbl>
              <c:idx val="3"/>
              <c:layout>
                <c:manualLayout>
                  <c:x val="6.7512274959083463E-2"/>
                  <c:y val="-8.4090144635048762E-4"/>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3682487725040915"/>
                      <c:h val="2.3890076303529666E-2"/>
                    </c:manualLayout>
                  </c15:layout>
                </c:ext>
                <c:ext xmlns:c16="http://schemas.microsoft.com/office/drawing/2014/chart" uri="{C3380CC4-5D6E-409C-BE32-E72D297353CC}">
                  <c16:uniqueId val="{00000000-484E-5840-B272-9C6F5657A64D}"/>
                </c:ext>
              </c:extLst>
            </c:dLbl>
            <c:dLbl>
              <c:idx val="11"/>
              <c:layout>
                <c:manualLayout>
                  <c:x val="-0.25843621531760247"/>
                  <c:y val="6.1665393701812274E-17"/>
                </c:manualLayout>
              </c:layout>
              <c:spPr>
                <a:noFill/>
                <a:ln>
                  <a:noFill/>
                </a:ln>
                <a:effectLst/>
              </c:spPr>
              <c:txPr>
                <a:bodyPr rot="0" spcFirstLastPara="1" vertOverflow="overflow" horzOverflow="overflow" vert="horz" wrap="none" lIns="72000" tIns="19050" rIns="38100" bIns="19050" anchor="ctr" anchorCtr="1">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layout>
                    <c:manualLayout>
                      <c:w val="0.2216113709887744"/>
                      <c:h val="2.3741230126254401E-2"/>
                    </c:manualLayout>
                  </c15:layout>
                </c:ext>
                <c:ext xmlns:c16="http://schemas.microsoft.com/office/drawing/2014/chart" uri="{C3380CC4-5D6E-409C-BE32-E72D297353CC}">
                  <c16:uniqueId val="{00000000-6D59-3441-BBC9-E28DDDEC06DE}"/>
                </c:ext>
              </c:extLst>
            </c:dLbl>
            <c:dLbl>
              <c:idx val="13"/>
              <c:layout>
                <c:manualLayout>
                  <c:x val="3.2733224222585906E-2"/>
                  <c:y val="6.1665393701812274E-17"/>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484E-5840-B272-9C6F5657A64D}"/>
                </c:ext>
              </c:extLst>
            </c:dLbl>
            <c:dLbl>
              <c:idx val="20"/>
              <c:layout>
                <c:manualLayout>
                  <c:x val="3.887070376432078E-2"/>
                  <c:y val="0"/>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2864157119476269"/>
                      <c:h val="2.5571879196230642E-2"/>
                    </c:manualLayout>
                  </c15:layout>
                </c:ext>
                <c:ext xmlns:c16="http://schemas.microsoft.com/office/drawing/2014/chart" uri="{C3380CC4-5D6E-409C-BE32-E72D297353CC}">
                  <c16:uniqueId val="{00000003-484E-5840-B272-9C6F5657A64D}"/>
                </c:ext>
              </c:extLst>
            </c:dLbl>
            <c:dLbl>
              <c:idx val="21"/>
              <c:layout>
                <c:manualLayout>
                  <c:x val="4.5008183306055619E-2"/>
                  <c:y val="-1.6818028927008519E-3"/>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2454991816693939"/>
                      <c:h val="2.2208273410828691E-2"/>
                    </c:manualLayout>
                  </c15:layout>
                </c:ext>
                <c:ext xmlns:c16="http://schemas.microsoft.com/office/drawing/2014/chart" uri="{C3380CC4-5D6E-409C-BE32-E72D297353CC}">
                  <c16:uniqueId val="{00000004-484E-5840-B272-9C6F5657A64D}"/>
                </c:ext>
              </c:extLst>
            </c:dLbl>
            <c:dLbl>
              <c:idx val="22"/>
              <c:layout>
                <c:manualLayout>
                  <c:x val="6.3420621931260218E-2"/>
                  <c:y val="8.4103387177523309E-4"/>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2864157119476269"/>
                      <c:h val="2.7253682088931617E-2"/>
                    </c:manualLayout>
                  </c15:layout>
                </c:ext>
                <c:ext xmlns:c16="http://schemas.microsoft.com/office/drawing/2014/chart" uri="{C3380CC4-5D6E-409C-BE32-E72D297353CC}">
                  <c16:uniqueId val="{00000005-484E-5840-B272-9C6F5657A64D}"/>
                </c:ext>
              </c:extLst>
            </c:dLbl>
            <c:dLbl>
              <c:idx val="23"/>
              <c:layout>
                <c:manualLayout>
                  <c:x val="2.8641571194762672E-2"/>
                  <c:y val="0"/>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2454991816693939"/>
                      <c:h val="2.5571879196230642E-2"/>
                    </c:manualLayout>
                  </c15:layout>
                </c:ext>
                <c:ext xmlns:c16="http://schemas.microsoft.com/office/drawing/2014/chart" uri="{C3380CC4-5D6E-409C-BE32-E72D297353CC}">
                  <c16:uniqueId val="{00000006-484E-5840-B272-9C6F5657A64D}"/>
                </c:ext>
              </c:extLst>
            </c:dLbl>
            <c:dLbl>
              <c:idx val="24"/>
              <c:layout>
                <c:manualLayout>
                  <c:x val="8.5924713584287993E-2"/>
                  <c:y val="0"/>
                </c:manualLayout>
              </c:layout>
              <c:spPr>
                <a:noFill/>
                <a:ln>
                  <a:noFill/>
                </a:ln>
                <a:effectLst/>
              </c:spPr>
              <c:txPr>
                <a:bodyPr rot="0" spcFirstLastPara="1" vertOverflow="overflow" horzOverflow="overflow" vert="horz" wrap="none" lIns="108000" tIns="19050" rIns="38100" bIns="19050" anchor="ctr" anchorCtr="1">
                  <a:no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0.21636661211129293"/>
                      <c:h val="2.5571879196230642E-2"/>
                    </c:manualLayout>
                  </c15:layout>
                </c:ext>
                <c:ext xmlns:c16="http://schemas.microsoft.com/office/drawing/2014/chart" uri="{C3380CC4-5D6E-409C-BE32-E72D297353CC}">
                  <c16:uniqueId val="{00000018-6D59-3441-BBC9-E28DDDEC06DE}"/>
                </c:ext>
              </c:extLst>
            </c:dLbl>
            <c:spPr>
              <a:noFill/>
              <a:ln>
                <a:noFill/>
              </a:ln>
              <a:effectLst/>
            </c:spPr>
            <c:txPr>
              <a:bodyPr rot="0" spcFirstLastPara="1" vertOverflow="overflow" horzOverflow="overflow" vert="horz" wrap="none" lIns="72000" tIns="19050" rIns="38100" bIns="19050" anchor="ctr" anchorCtr="1">
                <a:no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Ref>
              <c:f>Blad1!$A$4:$A$28</c:f>
              <c:strCache>
                <c:ptCount val="25"/>
                <c:pt idx="0">
                  <c:v>Belgium (Fl)</c:v>
                </c:pt>
                <c:pt idx="1">
                  <c:v>Bulgaria</c:v>
                </c:pt>
                <c:pt idx="2">
                  <c:v>Cyprus</c:v>
                </c:pt>
                <c:pt idx="3">
                  <c:v>Czech Republic</c:v>
                </c:pt>
                <c:pt idx="4">
                  <c:v>Estonia</c:v>
                </c:pt>
                <c:pt idx="5">
                  <c:v>Finland</c:v>
                </c:pt>
                <c:pt idx="6">
                  <c:v>France</c:v>
                </c:pt>
                <c:pt idx="7">
                  <c:v>Greece</c:v>
                </c:pt>
                <c:pt idx="8">
                  <c:v>Hungary</c:v>
                </c:pt>
                <c:pt idx="9">
                  <c:v>Iceland </c:v>
                </c:pt>
                <c:pt idx="10">
                  <c:v>Italy</c:v>
                </c:pt>
                <c:pt idx="11">
                  <c:v>Lithuania</c:v>
                </c:pt>
                <c:pt idx="12">
                  <c:v>Malta</c:v>
                </c:pt>
                <c:pt idx="13">
                  <c:v>Netherlands</c:v>
                </c:pt>
                <c:pt idx="14">
                  <c:v>Poland</c:v>
                </c:pt>
                <c:pt idx="15">
                  <c:v>Portugal</c:v>
                </c:pt>
                <c:pt idx="16">
                  <c:v>Serbia</c:v>
                </c:pt>
                <c:pt idx="17">
                  <c:v>Slovakia</c:v>
                </c:pt>
                <c:pt idx="18">
                  <c:v>Slovenia</c:v>
                </c:pt>
                <c:pt idx="19">
                  <c:v>Spain</c:v>
                </c:pt>
                <c:pt idx="20">
                  <c:v>Switzerland</c:v>
                </c:pt>
                <c:pt idx="21">
                  <c:v>UK (England)</c:v>
                </c:pt>
                <c:pt idx="22">
                  <c:v>UK (N. Ireland)</c:v>
                </c:pt>
                <c:pt idx="23">
                  <c:v>UK (Wales)</c:v>
                </c:pt>
                <c:pt idx="24">
                  <c:v>Total average (24)</c:v>
                </c:pt>
              </c:strCache>
            </c:strRef>
          </c:cat>
          <c:val>
            <c:numRef>
              <c:f>Blad1!$B$4:$B$28</c:f>
              <c:numCache>
                <c:formatCode>0.00</c:formatCode>
                <c:ptCount val="25"/>
                <c:pt idx="0">
                  <c:v>0.96614953250230873</c:v>
                </c:pt>
                <c:pt idx="1">
                  <c:v>1.281986828213765</c:v>
                </c:pt>
                <c:pt idx="2">
                  <c:v>1.973386066823219</c:v>
                </c:pt>
                <c:pt idx="3">
                  <c:v>2.7630744612236122</c:v>
                </c:pt>
                <c:pt idx="4">
                  <c:v>4.1767371601208465</c:v>
                </c:pt>
                <c:pt idx="5">
                  <c:v>0.32528601900329646</c:v>
                </c:pt>
                <c:pt idx="6">
                  <c:v>1.6413797304167133</c:v>
                </c:pt>
                <c:pt idx="7">
                  <c:v>1.9364171572750211</c:v>
                </c:pt>
                <c:pt idx="8">
                  <c:v>1.8665331178914411</c:v>
                </c:pt>
                <c:pt idx="9">
                  <c:v>8.1855179298164789</c:v>
                </c:pt>
                <c:pt idx="10">
                  <c:v>1.3447077808568759</c:v>
                </c:pt>
                <c:pt idx="11">
                  <c:v>12.071124467818683</c:v>
                </c:pt>
                <c:pt idx="12">
                  <c:v>3.306591500433651</c:v>
                </c:pt>
                <c:pt idx="13">
                  <c:v>0.76422070534698527</c:v>
                </c:pt>
                <c:pt idx="14">
                  <c:v>1.9279708942844216</c:v>
                </c:pt>
                <c:pt idx="15">
                  <c:v>0.77634521887062924</c:v>
                </c:pt>
                <c:pt idx="16">
                  <c:v>0.13176275384155528</c:v>
                </c:pt>
                <c:pt idx="17">
                  <c:v>2.3792641613487748</c:v>
                </c:pt>
                <c:pt idx="18">
                  <c:v>0.90310463956966314</c:v>
                </c:pt>
                <c:pt idx="19">
                  <c:v>0.79271657581563426</c:v>
                </c:pt>
                <c:pt idx="20">
                  <c:v>0.79102195867692027</c:v>
                </c:pt>
                <c:pt idx="21">
                  <c:v>0.49505351656143431</c:v>
                </c:pt>
                <c:pt idx="22">
                  <c:v>0.80524655487298691</c:v>
                </c:pt>
                <c:pt idx="23">
                  <c:v>0.80658485663217039</c:v>
                </c:pt>
                <c:pt idx="24">
                  <c:v>1.3375830060883207</c:v>
                </c:pt>
              </c:numCache>
            </c:numRef>
          </c:val>
          <c:extLst>
            <c:ext xmlns:c16="http://schemas.microsoft.com/office/drawing/2014/chart" uri="{C3380CC4-5D6E-409C-BE32-E72D297353CC}">
              <c16:uniqueId val="{00000000-6481-469B-BFAB-60A6B04CC6E2}"/>
            </c:ext>
          </c:extLst>
        </c:ser>
        <c:ser>
          <c:idx val="1"/>
          <c:order val="1"/>
          <c:tx>
            <c:strRef>
              <c:f>Blad1!$C$3</c:f>
              <c:strCache>
                <c:ptCount val="1"/>
                <c:pt idx="0">
                  <c:v>Girls</c:v>
                </c:pt>
              </c:strCache>
            </c:strRef>
          </c:tx>
          <c:spPr>
            <a:solidFill>
              <a:srgbClr val="F9C623"/>
            </a:solidFill>
            <a:ln>
              <a:noFill/>
            </a:ln>
            <a:effectLst/>
          </c:spPr>
          <c:invertIfNegative val="0"/>
          <c:dLbls>
            <c:dLbl>
              <c:idx val="24"/>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19-6D59-3441-BBC9-E28DDDEC06D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Blad1!$A$4:$A$28</c:f>
              <c:strCache>
                <c:ptCount val="25"/>
                <c:pt idx="0">
                  <c:v>Belgium (Fl)</c:v>
                </c:pt>
                <c:pt idx="1">
                  <c:v>Bulgaria</c:v>
                </c:pt>
                <c:pt idx="2">
                  <c:v>Cyprus</c:v>
                </c:pt>
                <c:pt idx="3">
                  <c:v>Czech Republic</c:v>
                </c:pt>
                <c:pt idx="4">
                  <c:v>Estonia</c:v>
                </c:pt>
                <c:pt idx="5">
                  <c:v>Finland</c:v>
                </c:pt>
                <c:pt idx="6">
                  <c:v>France</c:v>
                </c:pt>
                <c:pt idx="7">
                  <c:v>Greece</c:v>
                </c:pt>
                <c:pt idx="8">
                  <c:v>Hungary</c:v>
                </c:pt>
                <c:pt idx="9">
                  <c:v>Iceland </c:v>
                </c:pt>
                <c:pt idx="10">
                  <c:v>Italy</c:v>
                </c:pt>
                <c:pt idx="11">
                  <c:v>Lithuania</c:v>
                </c:pt>
                <c:pt idx="12">
                  <c:v>Malta</c:v>
                </c:pt>
                <c:pt idx="13">
                  <c:v>Netherlands</c:v>
                </c:pt>
                <c:pt idx="14">
                  <c:v>Poland</c:v>
                </c:pt>
                <c:pt idx="15">
                  <c:v>Portugal</c:v>
                </c:pt>
                <c:pt idx="16">
                  <c:v>Serbia</c:v>
                </c:pt>
                <c:pt idx="17">
                  <c:v>Slovakia</c:v>
                </c:pt>
                <c:pt idx="18">
                  <c:v>Slovenia</c:v>
                </c:pt>
                <c:pt idx="19">
                  <c:v>Spain</c:v>
                </c:pt>
                <c:pt idx="20">
                  <c:v>Switzerland</c:v>
                </c:pt>
                <c:pt idx="21">
                  <c:v>UK (England)</c:v>
                </c:pt>
                <c:pt idx="22">
                  <c:v>UK (N. Ireland)</c:v>
                </c:pt>
                <c:pt idx="23">
                  <c:v>UK (Wales)</c:v>
                </c:pt>
                <c:pt idx="24">
                  <c:v>Total average (24)</c:v>
                </c:pt>
              </c:strCache>
            </c:strRef>
          </c:cat>
          <c:val>
            <c:numRef>
              <c:f>Blad1!$C$4:$C$28</c:f>
              <c:numCache>
                <c:formatCode>0.00</c:formatCode>
                <c:ptCount val="25"/>
                <c:pt idx="0">
                  <c:v>0.42836956239545743</c:v>
                </c:pt>
                <c:pt idx="1">
                  <c:v>0.65021031287181807</c:v>
                </c:pt>
                <c:pt idx="2">
                  <c:v>0.91871626910559057</c:v>
                </c:pt>
                <c:pt idx="3">
                  <c:v>1.4121533910459296</c:v>
                </c:pt>
                <c:pt idx="4">
                  <c:v>2.0109516616314198</c:v>
                </c:pt>
                <c:pt idx="5">
                  <c:v>0.13913127787473337</c:v>
                </c:pt>
                <c:pt idx="6">
                  <c:v>0.78730626776065959</c:v>
                </c:pt>
                <c:pt idx="7">
                  <c:v>0.70311185870479387</c:v>
                </c:pt>
                <c:pt idx="8">
                  <c:v>0.84727878621801844</c:v>
                </c:pt>
                <c:pt idx="9">
                  <c:v>4.3000844659448667</c:v>
                </c:pt>
                <c:pt idx="10">
                  <c:v>0.50788659525704771</c:v>
                </c:pt>
                <c:pt idx="11">
                  <c:v>7.5574563177868965</c:v>
                </c:pt>
                <c:pt idx="12">
                  <c:v>1.3876843018213356</c:v>
                </c:pt>
                <c:pt idx="13">
                  <c:v>0.29237770193401597</c:v>
                </c:pt>
                <c:pt idx="14">
                  <c:v>0.88457623284572462</c:v>
                </c:pt>
                <c:pt idx="15">
                  <c:v>0.2974982512802356</c:v>
                </c:pt>
                <c:pt idx="16">
                  <c:v>9.0281886891436028E-2</c:v>
                </c:pt>
                <c:pt idx="17">
                  <c:v>1.7780848317364508</c:v>
                </c:pt>
                <c:pt idx="18">
                  <c:v>0.43126434649539752</c:v>
                </c:pt>
                <c:pt idx="19">
                  <c:v>0.36358075951513485</c:v>
                </c:pt>
                <c:pt idx="20">
                  <c:v>0.32660057444640045</c:v>
                </c:pt>
                <c:pt idx="21">
                  <c:v>0.22473579363203566</c:v>
                </c:pt>
                <c:pt idx="22">
                  <c:v>0.31130665781172173</c:v>
                </c:pt>
                <c:pt idx="23">
                  <c:v>0.33795454886822779</c:v>
                </c:pt>
                <c:pt idx="24">
                  <c:v>0.63645945428573392</c:v>
                </c:pt>
              </c:numCache>
            </c:numRef>
          </c:val>
          <c:extLst>
            <c:ext xmlns:c16="http://schemas.microsoft.com/office/drawing/2014/chart" uri="{C3380CC4-5D6E-409C-BE32-E72D297353CC}">
              <c16:uniqueId val="{00000001-6481-469B-BFAB-60A6B04CC6E2}"/>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1541586175784906E-2"/>
          <c:w val="0.82704582651391167"/>
          <c:h val="0.91520675411801033"/>
        </c:manualLayout>
      </c:layout>
      <c:barChart>
        <c:barDir val="bar"/>
        <c:grouping val="clustered"/>
        <c:varyColors val="0"/>
        <c:ser>
          <c:idx val="0"/>
          <c:order val="0"/>
          <c:tx>
            <c:strRef>
              <c:f>Blad1!$AB$2</c:f>
              <c:strCache>
                <c:ptCount val="1"/>
                <c:pt idx="0">
                  <c:v>Boys</c:v>
                </c:pt>
              </c:strCache>
            </c:strRef>
          </c:tx>
          <c:spPr>
            <a:solidFill>
              <a:srgbClr val="17255B"/>
            </a:solidFill>
            <a:ln>
              <a:noFill/>
            </a:ln>
            <a:effectLst/>
          </c:spPr>
          <c:invertIfNegative val="0"/>
          <c:dLbls>
            <c:dLbl>
              <c:idx val="2"/>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ADA-3F4C-9070-099EF7498EBA}"/>
                </c:ext>
              </c:extLst>
            </c:dLbl>
            <c:dLbl>
              <c:idx val="3"/>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DA-3F4C-9070-099EF7498EBA}"/>
                </c:ext>
              </c:extLst>
            </c:dLbl>
            <c:dLbl>
              <c:idx val="4"/>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DA-3F4C-9070-099EF7498EBA}"/>
                </c:ext>
              </c:extLst>
            </c:dLbl>
            <c:dLbl>
              <c:idx val="7"/>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DA-3F4C-9070-099EF7498EBA}"/>
                </c:ext>
              </c:extLst>
            </c:dLbl>
            <c:dLbl>
              <c:idx val="8"/>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DA-3F4C-9070-099EF7498EBA}"/>
                </c:ext>
              </c:extLst>
            </c:dLbl>
            <c:dLbl>
              <c:idx val="17"/>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ADA-3F4C-9070-099EF7498EBA}"/>
                </c:ext>
              </c:extLst>
            </c:dLbl>
            <c:dLbl>
              <c:idx val="18"/>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ADA-3F4C-9070-099EF7498EBA}"/>
                </c:ext>
              </c:extLst>
            </c:dLbl>
            <c:dLbl>
              <c:idx val="19"/>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ADA-3F4C-9070-099EF7498EBA}"/>
                </c:ext>
              </c:extLst>
            </c:dLbl>
            <c:dLbl>
              <c:idx val="20"/>
              <c:dLblPos val="in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ADA-3F4C-9070-099EF7498EBA}"/>
                </c:ext>
              </c:extLst>
            </c:dLbl>
            <c:dLbl>
              <c:idx val="2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F-7ADA-3F4C-9070-099EF7498EB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Blad1!$AA$3:$AA$24</c:f>
              <c:strCache>
                <c:ptCount val="22"/>
                <c:pt idx="0">
                  <c:v>Austria</c:v>
                </c:pt>
                <c:pt idx="1">
                  <c:v>Bulgaria</c:v>
                </c:pt>
                <c:pt idx="2">
                  <c:v>Czech Republic</c:v>
                </c:pt>
                <c:pt idx="3">
                  <c:v>Estonia</c:v>
                </c:pt>
                <c:pt idx="4">
                  <c:v>Finland</c:v>
                </c:pt>
                <c:pt idx="5">
                  <c:v>France</c:v>
                </c:pt>
                <c:pt idx="6">
                  <c:v>Greece</c:v>
                </c:pt>
                <c:pt idx="7">
                  <c:v>Iceland </c:v>
                </c:pt>
                <c:pt idx="8">
                  <c:v>Ireland</c:v>
                </c:pt>
                <c:pt idx="9">
                  <c:v>Latvia</c:v>
                </c:pt>
                <c:pt idx="10">
                  <c:v>Lithuania</c:v>
                </c:pt>
                <c:pt idx="11">
                  <c:v>Poland</c:v>
                </c:pt>
                <c:pt idx="12">
                  <c:v>Portugal</c:v>
                </c:pt>
                <c:pt idx="13">
                  <c:v>Serbia</c:v>
                </c:pt>
                <c:pt idx="14">
                  <c:v>Slovakia</c:v>
                </c:pt>
                <c:pt idx="15">
                  <c:v>Slovenia</c:v>
                </c:pt>
                <c:pt idx="16">
                  <c:v>Spain</c:v>
                </c:pt>
                <c:pt idx="17">
                  <c:v>Switzerland</c:v>
                </c:pt>
                <c:pt idx="18">
                  <c:v>UK (England)</c:v>
                </c:pt>
                <c:pt idx="19">
                  <c:v>UK (N. Ireland)</c:v>
                </c:pt>
                <c:pt idx="20">
                  <c:v>UK (Wales)</c:v>
                </c:pt>
                <c:pt idx="21">
                  <c:v>Total average (21)</c:v>
                </c:pt>
              </c:strCache>
            </c:strRef>
          </c:cat>
          <c:val>
            <c:numRef>
              <c:f>Blad1!$AB$3:$AB$24</c:f>
              <c:numCache>
                <c:formatCode>0.00</c:formatCode>
                <c:ptCount val="22"/>
                <c:pt idx="0">
                  <c:v>66.458007303077721</c:v>
                </c:pt>
                <c:pt idx="1">
                  <c:v>60.632759311173409</c:v>
                </c:pt>
                <c:pt idx="2">
                  <c:v>62.998266897746966</c:v>
                </c:pt>
                <c:pt idx="3">
                  <c:v>71.107572540693567</c:v>
                </c:pt>
                <c:pt idx="4">
                  <c:v>70.002459822892746</c:v>
                </c:pt>
                <c:pt idx="5">
                  <c:v>65.57106563293928</c:v>
                </c:pt>
                <c:pt idx="6">
                  <c:v>66.372770145581299</c:v>
                </c:pt>
                <c:pt idx="7">
                  <c:v>76.386404293381034</c:v>
                </c:pt>
                <c:pt idx="8">
                  <c:v>74.029961849818548</c:v>
                </c:pt>
                <c:pt idx="9">
                  <c:v>66.267712202503787</c:v>
                </c:pt>
                <c:pt idx="10">
                  <c:v>64.847106393732616</c:v>
                </c:pt>
                <c:pt idx="11">
                  <c:v>64.442089104930375</c:v>
                </c:pt>
                <c:pt idx="12">
                  <c:v>63.006230529595022</c:v>
                </c:pt>
                <c:pt idx="13">
                  <c:v>63.578485181119646</c:v>
                </c:pt>
                <c:pt idx="14">
                  <c:v>57.664804469273747</c:v>
                </c:pt>
                <c:pt idx="15">
                  <c:v>60.186710598572212</c:v>
                </c:pt>
                <c:pt idx="16">
                  <c:v>63.560874704491724</c:v>
                </c:pt>
                <c:pt idx="17">
                  <c:v>64.872924432395791</c:v>
                </c:pt>
                <c:pt idx="18">
                  <c:v>73.80879474924447</c:v>
                </c:pt>
                <c:pt idx="19">
                  <c:v>71.740780088025502</c:v>
                </c:pt>
                <c:pt idx="20">
                  <c:v>72.686847956216866</c:v>
                </c:pt>
                <c:pt idx="21">
                  <c:v>66.532318256456193</c:v>
                </c:pt>
              </c:numCache>
            </c:numRef>
          </c:val>
          <c:extLst>
            <c:ext xmlns:c16="http://schemas.microsoft.com/office/drawing/2014/chart" uri="{C3380CC4-5D6E-409C-BE32-E72D297353CC}">
              <c16:uniqueId val="{00000000-BD95-4BA4-966C-B98CC51F6483}"/>
            </c:ext>
          </c:extLst>
        </c:ser>
        <c:ser>
          <c:idx val="1"/>
          <c:order val="1"/>
          <c:tx>
            <c:strRef>
              <c:f>Blad1!$AC$2</c:f>
              <c:strCache>
                <c:ptCount val="1"/>
                <c:pt idx="0">
                  <c:v>Girls</c:v>
                </c:pt>
              </c:strCache>
            </c:strRef>
          </c:tx>
          <c:spPr>
            <a:solidFill>
              <a:srgbClr val="F9C623"/>
            </a:solidFill>
            <a:ln>
              <a:noFill/>
            </a:ln>
            <a:effectLst/>
          </c:spPr>
          <c:invertIfNegative val="0"/>
          <c:dLbls>
            <c:dLbl>
              <c:idx val="2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11-7ADA-3F4C-9070-099EF7498EB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Blad1!$AA$3:$AA$24</c:f>
              <c:strCache>
                <c:ptCount val="22"/>
                <c:pt idx="0">
                  <c:v>Austria</c:v>
                </c:pt>
                <c:pt idx="1">
                  <c:v>Bulgaria</c:v>
                </c:pt>
                <c:pt idx="2">
                  <c:v>Czech Republic</c:v>
                </c:pt>
                <c:pt idx="3">
                  <c:v>Estonia</c:v>
                </c:pt>
                <c:pt idx="4">
                  <c:v>Finland</c:v>
                </c:pt>
                <c:pt idx="5">
                  <c:v>France</c:v>
                </c:pt>
                <c:pt idx="6">
                  <c:v>Greece</c:v>
                </c:pt>
                <c:pt idx="7">
                  <c:v>Iceland </c:v>
                </c:pt>
                <c:pt idx="8">
                  <c:v>Ireland</c:v>
                </c:pt>
                <c:pt idx="9">
                  <c:v>Latvia</c:v>
                </c:pt>
                <c:pt idx="10">
                  <c:v>Lithuania</c:v>
                </c:pt>
                <c:pt idx="11">
                  <c:v>Poland</c:v>
                </c:pt>
                <c:pt idx="12">
                  <c:v>Portugal</c:v>
                </c:pt>
                <c:pt idx="13">
                  <c:v>Serbia</c:v>
                </c:pt>
                <c:pt idx="14">
                  <c:v>Slovakia</c:v>
                </c:pt>
                <c:pt idx="15">
                  <c:v>Slovenia</c:v>
                </c:pt>
                <c:pt idx="16">
                  <c:v>Spain</c:v>
                </c:pt>
                <c:pt idx="17">
                  <c:v>Switzerland</c:v>
                </c:pt>
                <c:pt idx="18">
                  <c:v>UK (England)</c:v>
                </c:pt>
                <c:pt idx="19">
                  <c:v>UK (N. Ireland)</c:v>
                </c:pt>
                <c:pt idx="20">
                  <c:v>UK (Wales)</c:v>
                </c:pt>
                <c:pt idx="21">
                  <c:v>Total average (21)</c:v>
                </c:pt>
              </c:strCache>
            </c:strRef>
          </c:cat>
          <c:val>
            <c:numRef>
              <c:f>Blad1!$AC$3:$AC$24</c:f>
              <c:numCache>
                <c:formatCode>0.00</c:formatCode>
                <c:ptCount val="22"/>
                <c:pt idx="0">
                  <c:v>33.541992696922271</c:v>
                </c:pt>
                <c:pt idx="1">
                  <c:v>39.367240688826591</c:v>
                </c:pt>
                <c:pt idx="2">
                  <c:v>37.001733102253034</c:v>
                </c:pt>
                <c:pt idx="3">
                  <c:v>28.89242745930644</c:v>
                </c:pt>
                <c:pt idx="4">
                  <c:v>29.997540177107247</c:v>
                </c:pt>
                <c:pt idx="5">
                  <c:v>34.42893436706072</c:v>
                </c:pt>
                <c:pt idx="6">
                  <c:v>33.627229854418701</c:v>
                </c:pt>
                <c:pt idx="7">
                  <c:v>23.613595706618963</c:v>
                </c:pt>
                <c:pt idx="8">
                  <c:v>25.970038150181445</c:v>
                </c:pt>
                <c:pt idx="9">
                  <c:v>33.73228779749622</c:v>
                </c:pt>
                <c:pt idx="10">
                  <c:v>35.152893606267376</c:v>
                </c:pt>
                <c:pt idx="11">
                  <c:v>35.557910895069625</c:v>
                </c:pt>
                <c:pt idx="12">
                  <c:v>36.993769470404985</c:v>
                </c:pt>
                <c:pt idx="13">
                  <c:v>36.421514818880354</c:v>
                </c:pt>
                <c:pt idx="14">
                  <c:v>42.335195530726253</c:v>
                </c:pt>
                <c:pt idx="15">
                  <c:v>39.813289401427788</c:v>
                </c:pt>
                <c:pt idx="16">
                  <c:v>36.439125295508276</c:v>
                </c:pt>
                <c:pt idx="17">
                  <c:v>35.127075567604201</c:v>
                </c:pt>
                <c:pt idx="18">
                  <c:v>26.191205250755527</c:v>
                </c:pt>
                <c:pt idx="19">
                  <c:v>28.259219911974505</c:v>
                </c:pt>
                <c:pt idx="20">
                  <c:v>27.313152043783134</c:v>
                </c:pt>
                <c:pt idx="21">
                  <c:v>33.467681743543814</c:v>
                </c:pt>
              </c:numCache>
            </c:numRef>
          </c:val>
          <c:extLst>
            <c:ext xmlns:c16="http://schemas.microsoft.com/office/drawing/2014/chart" uri="{C3380CC4-5D6E-409C-BE32-E72D297353CC}">
              <c16:uniqueId val="{00000001-BD95-4BA4-966C-B98CC51F6483}"/>
            </c:ext>
          </c:extLst>
        </c:ser>
        <c:dLbls>
          <c:showLegendKey val="0"/>
          <c:showVal val="0"/>
          <c:showCatName val="0"/>
          <c:showSerName val="0"/>
          <c:showPercent val="0"/>
          <c:showBubbleSize val="0"/>
        </c:dLbls>
        <c:gapWidth val="4"/>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266999233791424E-2"/>
          <c:y val="4.2474827981192079E-2"/>
          <c:w val="0.8561699352798291"/>
          <c:h val="0.91821687518824957"/>
        </c:manualLayout>
      </c:layout>
      <c:barChart>
        <c:barDir val="bar"/>
        <c:grouping val="clustered"/>
        <c:varyColors val="0"/>
        <c:ser>
          <c:idx val="0"/>
          <c:order val="0"/>
          <c:tx>
            <c:strRef>
              <c:f>'3b.5 - ISCED 1&amp;2'!$AE$2</c:f>
              <c:strCache>
                <c:ptCount val="1"/>
                <c:pt idx="0">
                  <c:v>ISCED 1</c:v>
                </c:pt>
              </c:strCache>
            </c:strRef>
          </c:tx>
          <c:spPr>
            <a:solidFill>
              <a:srgbClr val="17255B"/>
            </a:solidFill>
            <a:ln>
              <a:noFill/>
            </a:ln>
            <a:effectLst/>
          </c:spPr>
          <c:invertIfNegative val="0"/>
          <c:dLbls>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9F8-5B49-96FB-08A3CCB5127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'3b.5 - ISCED 1&amp;2'!$AD$3:$AD$26</c:f>
              <c:strCache>
                <c:ptCount val="24"/>
                <c:pt idx="0">
                  <c:v>Austria</c:v>
                </c:pt>
                <c:pt idx="1">
                  <c:v>Bulgaria</c:v>
                </c:pt>
                <c:pt idx="2">
                  <c:v>Czech Republic</c:v>
                </c:pt>
                <c:pt idx="3">
                  <c:v>Estonia</c:v>
                </c:pt>
                <c:pt idx="4">
                  <c:v>Finland</c:v>
                </c:pt>
                <c:pt idx="5">
                  <c:v>France</c:v>
                </c:pt>
                <c:pt idx="6">
                  <c:v>Greece</c:v>
                </c:pt>
                <c:pt idx="7">
                  <c:v>Iceland </c:v>
                </c:pt>
                <c:pt idx="8">
                  <c:v>Ireland</c:v>
                </c:pt>
                <c:pt idx="9">
                  <c:v>Latvia</c:v>
                </c:pt>
                <c:pt idx="10">
                  <c:v>Lithuania</c:v>
                </c:pt>
                <c:pt idx="11">
                  <c:v>Luxembourg</c:v>
                </c:pt>
                <c:pt idx="12">
                  <c:v>Norway</c:v>
                </c:pt>
                <c:pt idx="13">
                  <c:v>Poland</c:v>
                </c:pt>
                <c:pt idx="14">
                  <c:v>Portugal</c:v>
                </c:pt>
                <c:pt idx="15">
                  <c:v>Serbia</c:v>
                </c:pt>
                <c:pt idx="16">
                  <c:v>Slovakia</c:v>
                </c:pt>
                <c:pt idx="17">
                  <c:v>Slovenia</c:v>
                </c:pt>
                <c:pt idx="18">
                  <c:v>Spain</c:v>
                </c:pt>
                <c:pt idx="19">
                  <c:v>Switzerland</c:v>
                </c:pt>
                <c:pt idx="20">
                  <c:v>UK (England)</c:v>
                </c:pt>
                <c:pt idx="21">
                  <c:v>UK (N. Ireland)</c:v>
                </c:pt>
                <c:pt idx="22">
                  <c:v>UK (Wales)</c:v>
                </c:pt>
                <c:pt idx="23">
                  <c:v>Total average (23)</c:v>
                </c:pt>
              </c:strCache>
            </c:strRef>
          </c:cat>
          <c:val>
            <c:numRef>
              <c:f>'3b.5 - ISCED 1&amp;2'!$AE$3:$AE$26</c:f>
              <c:numCache>
                <c:formatCode>0.00</c:formatCode>
                <c:ptCount val="24"/>
                <c:pt idx="0">
                  <c:v>0.8004655073498651</c:v>
                </c:pt>
                <c:pt idx="1">
                  <c:v>0.28311957547534694</c:v>
                </c:pt>
                <c:pt idx="2">
                  <c:v>1.5291102648451469</c:v>
                </c:pt>
                <c:pt idx="3">
                  <c:v>2.7927250126756187</c:v>
                </c:pt>
                <c:pt idx="4">
                  <c:v>2.8455473832623408</c:v>
                </c:pt>
                <c:pt idx="5">
                  <c:v>1.0767248855757152</c:v>
                </c:pt>
                <c:pt idx="6">
                  <c:v>0.44849508346267009</c:v>
                </c:pt>
                <c:pt idx="7">
                  <c:v>0.75684416196914239</c:v>
                </c:pt>
                <c:pt idx="8">
                  <c:v>0.93342240743980875</c:v>
                </c:pt>
                <c:pt idx="9">
                  <c:v>2.6284113663464352</c:v>
                </c:pt>
                <c:pt idx="10">
                  <c:v>0.52877441121131508</c:v>
                </c:pt>
                <c:pt idx="11">
                  <c:v>0.43042342049976939</c:v>
                </c:pt>
                <c:pt idx="12">
                  <c:v>0.32513606928608318</c:v>
                </c:pt>
                <c:pt idx="13">
                  <c:v>0.91344764731271788</c:v>
                </c:pt>
                <c:pt idx="14">
                  <c:v>0.51775913844879362</c:v>
                </c:pt>
                <c:pt idx="15">
                  <c:v>0.32414910858995138</c:v>
                </c:pt>
                <c:pt idx="16">
                  <c:v>2.560749700337801</c:v>
                </c:pt>
                <c:pt idx="17">
                  <c:v>1.4327350136809196</c:v>
                </c:pt>
                <c:pt idx="18">
                  <c:v>0.45082698374045899</c:v>
                </c:pt>
                <c:pt idx="19">
                  <c:v>2.3102340475111998</c:v>
                </c:pt>
                <c:pt idx="20">
                  <c:v>0.75859788693282548</c:v>
                </c:pt>
                <c:pt idx="21">
                  <c:v>1.3267665801691115</c:v>
                </c:pt>
                <c:pt idx="22">
                  <c:v>0.7128765662490002</c:v>
                </c:pt>
                <c:pt idx="23">
                  <c:v>0.9255706179680282</c:v>
                </c:pt>
              </c:numCache>
            </c:numRef>
          </c:val>
          <c:extLst>
            <c:ext xmlns:c16="http://schemas.microsoft.com/office/drawing/2014/chart" uri="{C3380CC4-5D6E-409C-BE32-E72D297353CC}">
              <c16:uniqueId val="{00000000-C8DB-4A9F-AF6B-E85935AF0D1E}"/>
            </c:ext>
          </c:extLst>
        </c:ser>
        <c:ser>
          <c:idx val="1"/>
          <c:order val="1"/>
          <c:tx>
            <c:strRef>
              <c:f>'3b.5 - ISCED 1&amp;2'!$AF$2</c:f>
              <c:strCache>
                <c:ptCount val="1"/>
                <c:pt idx="0">
                  <c:v>ISCED 2</c:v>
                </c:pt>
              </c:strCache>
            </c:strRef>
          </c:tx>
          <c:spPr>
            <a:solidFill>
              <a:schemeClr val="accent4"/>
            </a:solidFill>
            <a:ln>
              <a:noFill/>
            </a:ln>
            <a:effectLst/>
          </c:spPr>
          <c:invertIfNegative val="0"/>
          <c:dLbls>
            <c:dLbl>
              <c:idx val="2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69F8-5B49-96FB-08A3CCB5127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'3b.5 - ISCED 1&amp;2'!$AD$3:$AD$26</c:f>
              <c:strCache>
                <c:ptCount val="24"/>
                <c:pt idx="0">
                  <c:v>Austria</c:v>
                </c:pt>
                <c:pt idx="1">
                  <c:v>Bulgaria</c:v>
                </c:pt>
                <c:pt idx="2">
                  <c:v>Czech Republic</c:v>
                </c:pt>
                <c:pt idx="3">
                  <c:v>Estonia</c:v>
                </c:pt>
                <c:pt idx="4">
                  <c:v>Finland</c:v>
                </c:pt>
                <c:pt idx="5">
                  <c:v>France</c:v>
                </c:pt>
                <c:pt idx="6">
                  <c:v>Greece</c:v>
                </c:pt>
                <c:pt idx="7">
                  <c:v>Iceland </c:v>
                </c:pt>
                <c:pt idx="8">
                  <c:v>Ireland</c:v>
                </c:pt>
                <c:pt idx="9">
                  <c:v>Latvia</c:v>
                </c:pt>
                <c:pt idx="10">
                  <c:v>Lithuania</c:v>
                </c:pt>
                <c:pt idx="11">
                  <c:v>Luxembourg</c:v>
                </c:pt>
                <c:pt idx="12">
                  <c:v>Norway</c:v>
                </c:pt>
                <c:pt idx="13">
                  <c:v>Poland</c:v>
                </c:pt>
                <c:pt idx="14">
                  <c:v>Portugal</c:v>
                </c:pt>
                <c:pt idx="15">
                  <c:v>Serbia</c:v>
                </c:pt>
                <c:pt idx="16">
                  <c:v>Slovakia</c:v>
                </c:pt>
                <c:pt idx="17">
                  <c:v>Slovenia</c:v>
                </c:pt>
                <c:pt idx="18">
                  <c:v>Spain</c:v>
                </c:pt>
                <c:pt idx="19">
                  <c:v>Switzerland</c:v>
                </c:pt>
                <c:pt idx="20">
                  <c:v>UK (England)</c:v>
                </c:pt>
                <c:pt idx="21">
                  <c:v>UK (N. Ireland)</c:v>
                </c:pt>
                <c:pt idx="22">
                  <c:v>UK (Wales)</c:v>
                </c:pt>
                <c:pt idx="23">
                  <c:v>Total average (23)</c:v>
                </c:pt>
              </c:strCache>
            </c:strRef>
          </c:cat>
          <c:val>
            <c:numRef>
              <c:f>'3b.5 - ISCED 1&amp;2'!$AF$3:$AF$26</c:f>
              <c:numCache>
                <c:formatCode>0.00</c:formatCode>
                <c:ptCount val="24"/>
                <c:pt idx="0">
                  <c:v>1.2894117518802217</c:v>
                </c:pt>
                <c:pt idx="1">
                  <c:v>0.26875363292585625</c:v>
                </c:pt>
                <c:pt idx="2">
                  <c:v>1.7155109304725518</c:v>
                </c:pt>
                <c:pt idx="3">
                  <c:v>1.8293779951260203</c:v>
                </c:pt>
                <c:pt idx="4">
                  <c:v>1.6974943612418489</c:v>
                </c:pt>
                <c:pt idx="5">
                  <c:v>0.31524911570261088</c:v>
                </c:pt>
                <c:pt idx="6">
                  <c:v>0.56956892493734956</c:v>
                </c:pt>
                <c:pt idx="7">
                  <c:v>0.49857389898263971</c:v>
                </c:pt>
                <c:pt idx="8">
                  <c:v>0.49110054239768408</c:v>
                </c:pt>
                <c:pt idx="9">
                  <c:v>1.460166040452674</c:v>
                </c:pt>
                <c:pt idx="10">
                  <c:v>0.89751075931572921</c:v>
                </c:pt>
                <c:pt idx="11">
                  <c:v>0.32110953592839941</c:v>
                </c:pt>
                <c:pt idx="12">
                  <c:v>0.31099280918517341</c:v>
                </c:pt>
                <c:pt idx="13">
                  <c:v>0.71321388271580721</c:v>
                </c:pt>
                <c:pt idx="14">
                  <c:v>0.6019086236872081</c:v>
                </c:pt>
                <c:pt idx="15">
                  <c:v>0.46796419056628713</c:v>
                </c:pt>
                <c:pt idx="16">
                  <c:v>3.0657748049052396</c:v>
                </c:pt>
                <c:pt idx="17">
                  <c:v>0.59683360546568076</c:v>
                </c:pt>
                <c:pt idx="18">
                  <c:v>0.27392290365987981</c:v>
                </c:pt>
                <c:pt idx="19">
                  <c:v>1.5530292120828106</c:v>
                </c:pt>
                <c:pt idx="20">
                  <c:v>0.5940885407849914</c:v>
                </c:pt>
                <c:pt idx="21">
                  <c:v>0.99948807569418696</c:v>
                </c:pt>
                <c:pt idx="22">
                  <c:v>0.84590775793121842</c:v>
                </c:pt>
                <c:pt idx="23">
                  <c:v>0.62512640670557806</c:v>
                </c:pt>
              </c:numCache>
            </c:numRef>
          </c:val>
          <c:extLst>
            <c:ext xmlns:c16="http://schemas.microsoft.com/office/drawing/2014/chart" uri="{C3380CC4-5D6E-409C-BE32-E72D297353CC}">
              <c16:uniqueId val="{00000001-C8DB-4A9F-AF6B-E85935AF0D1E}"/>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953988788979666E-2"/>
          <c:y val="4.2345594224657009E-2"/>
          <c:w val="0.85496884914437887"/>
          <c:h val="0.90342365292573734"/>
        </c:manualLayout>
      </c:layout>
      <c:barChart>
        <c:barDir val="bar"/>
        <c:grouping val="clustered"/>
        <c:varyColors val="0"/>
        <c:ser>
          <c:idx val="0"/>
          <c:order val="0"/>
          <c:tx>
            <c:strRef>
              <c:f>'3b.5 - ISCED 1&amp;2'!$AH$2</c:f>
              <c:strCache>
                <c:ptCount val="1"/>
                <c:pt idx="0">
                  <c:v>ISCED 1</c:v>
                </c:pt>
              </c:strCache>
            </c:strRef>
          </c:tx>
          <c:spPr>
            <a:solidFill>
              <a:srgbClr val="17255B"/>
            </a:solidFill>
            <a:ln>
              <a:noFill/>
            </a:ln>
            <a:effectLst/>
          </c:spPr>
          <c:invertIfNegative val="0"/>
          <c:dLbls>
            <c:dLbl>
              <c:idx val="16"/>
              <c:layout>
                <c:manualLayout>
                  <c:x val="-0.22129436325678498"/>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E66A-A848-9DF6-86BED09BC748}"/>
                </c:ext>
              </c:extLst>
            </c:dLbl>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DF2-E541-B6DC-DFB7E342B510}"/>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'3b.5 - ISCED 1&amp;2'!$AG$3:$AG$26</c:f>
              <c:strCache>
                <c:ptCount val="24"/>
                <c:pt idx="0">
                  <c:v>Austria</c:v>
                </c:pt>
                <c:pt idx="1">
                  <c:v>Bulgaria</c:v>
                </c:pt>
                <c:pt idx="2">
                  <c:v>Czech Republic</c:v>
                </c:pt>
                <c:pt idx="3">
                  <c:v>Estonia</c:v>
                </c:pt>
                <c:pt idx="4">
                  <c:v>Finland</c:v>
                </c:pt>
                <c:pt idx="5">
                  <c:v>France</c:v>
                </c:pt>
                <c:pt idx="6">
                  <c:v>Greece</c:v>
                </c:pt>
                <c:pt idx="7">
                  <c:v>Iceland </c:v>
                </c:pt>
                <c:pt idx="8">
                  <c:v>Ireland</c:v>
                </c:pt>
                <c:pt idx="9">
                  <c:v>Latvia</c:v>
                </c:pt>
                <c:pt idx="10">
                  <c:v>Lithuania</c:v>
                </c:pt>
                <c:pt idx="11">
                  <c:v>Luxembourg</c:v>
                </c:pt>
                <c:pt idx="12">
                  <c:v>Norway</c:v>
                </c:pt>
                <c:pt idx="13">
                  <c:v>Poland</c:v>
                </c:pt>
                <c:pt idx="14">
                  <c:v>Portugal</c:v>
                </c:pt>
                <c:pt idx="15">
                  <c:v>Serbia</c:v>
                </c:pt>
                <c:pt idx="16">
                  <c:v>Slovakia</c:v>
                </c:pt>
                <c:pt idx="17">
                  <c:v>Slovenia</c:v>
                </c:pt>
                <c:pt idx="18">
                  <c:v>Spain</c:v>
                </c:pt>
                <c:pt idx="19">
                  <c:v>Switzerland</c:v>
                </c:pt>
                <c:pt idx="20">
                  <c:v>UK (England)</c:v>
                </c:pt>
                <c:pt idx="21">
                  <c:v>UK (N. Ireland)</c:v>
                </c:pt>
                <c:pt idx="22">
                  <c:v>UK (Wales)</c:v>
                </c:pt>
                <c:pt idx="23">
                  <c:v>Total average (23)</c:v>
                </c:pt>
              </c:strCache>
            </c:strRef>
          </c:cat>
          <c:val>
            <c:numRef>
              <c:f>'3b.5 - ISCED 1&amp;2'!$AH$3:$AH$26</c:f>
              <c:numCache>
                <c:formatCode>0.00</c:formatCode>
                <c:ptCount val="24"/>
                <c:pt idx="0">
                  <c:v>1.4642281144760163</c:v>
                </c:pt>
                <c:pt idx="1">
                  <c:v>0.48351847448222762</c:v>
                </c:pt>
                <c:pt idx="2">
                  <c:v>2.5493940761832006</c:v>
                </c:pt>
                <c:pt idx="3">
                  <c:v>3.9891131669937385</c:v>
                </c:pt>
                <c:pt idx="4">
                  <c:v>4.2481960877000287</c:v>
                </c:pt>
                <c:pt idx="5">
                  <c:v>1.9145180709892191</c:v>
                </c:pt>
                <c:pt idx="6">
                  <c:v>0.67085908056241628</c:v>
                </c:pt>
                <c:pt idx="7">
                  <c:v>1.0537506644570214</c:v>
                </c:pt>
                <c:pt idx="8">
                  <c:v>1.2514127707366312</c:v>
                </c:pt>
                <c:pt idx="9">
                  <c:v>3.8459006139614504</c:v>
                </c:pt>
                <c:pt idx="10">
                  <c:v>1.2881867914753118</c:v>
                </c:pt>
                <c:pt idx="11">
                  <c:v>0.68209500609013396</c:v>
                </c:pt>
                <c:pt idx="12">
                  <c:v>0.46014960484708906</c:v>
                </c:pt>
                <c:pt idx="13">
                  <c:v>1.3349267829867537</c:v>
                </c:pt>
                <c:pt idx="14">
                  <c:v>0.80993474483645289</c:v>
                </c:pt>
                <c:pt idx="15">
                  <c:v>0.64522158723125866</c:v>
                </c:pt>
                <c:pt idx="16">
                  <c:v>5.4208235925598975</c:v>
                </c:pt>
                <c:pt idx="17">
                  <c:v>2.0464042663270585</c:v>
                </c:pt>
                <c:pt idx="18">
                  <c:v>0.69188889283314858</c:v>
                </c:pt>
                <c:pt idx="19">
                  <c:v>3.4759674286862352</c:v>
                </c:pt>
                <c:pt idx="20">
                  <c:v>1.0971848888333229</c:v>
                </c:pt>
                <c:pt idx="21">
                  <c:v>2.20424778138179</c:v>
                </c:pt>
                <c:pt idx="22">
                  <c:v>1.255870749577306</c:v>
                </c:pt>
                <c:pt idx="23">
                  <c:v>1.4677313031060668</c:v>
                </c:pt>
              </c:numCache>
            </c:numRef>
          </c:val>
          <c:extLst>
            <c:ext xmlns:c16="http://schemas.microsoft.com/office/drawing/2014/chart" uri="{C3380CC4-5D6E-409C-BE32-E72D297353CC}">
              <c16:uniqueId val="{00000000-BC96-4A9D-B73E-40635D74FAFA}"/>
            </c:ext>
          </c:extLst>
        </c:ser>
        <c:ser>
          <c:idx val="1"/>
          <c:order val="1"/>
          <c:tx>
            <c:strRef>
              <c:f>'3b.5 - ISCED 1&amp;2'!$AI$2</c:f>
              <c:strCache>
                <c:ptCount val="1"/>
                <c:pt idx="0">
                  <c:v>ISCED2</c:v>
                </c:pt>
              </c:strCache>
            </c:strRef>
          </c:tx>
          <c:spPr>
            <a:solidFill>
              <a:srgbClr val="F9C623"/>
            </a:solidFill>
            <a:ln>
              <a:noFill/>
            </a:ln>
            <a:effectLst/>
          </c:spPr>
          <c:invertIfNegative val="0"/>
          <c:dLbls>
            <c:dLbl>
              <c:idx val="3"/>
              <c:layout>
                <c:manualLayout>
                  <c:x val="0"/>
                  <c:y val="3.9544734651535096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6A-A848-9DF6-86BED09BC748}"/>
                </c:ext>
              </c:extLst>
            </c:dLbl>
            <c:dLbl>
              <c:idx val="16"/>
              <c:layout>
                <c:manualLayout>
                  <c:x val="-0.10438413361169117"/>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6A-A848-9DF6-86BED09BC748}"/>
                </c:ext>
              </c:extLst>
            </c:dLbl>
            <c:dLbl>
              <c:idx val="2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CDF2-E541-B6DC-DFB7E342B51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'3b.5 - ISCED 1&amp;2'!$AG$3:$AG$26</c:f>
              <c:strCache>
                <c:ptCount val="24"/>
                <c:pt idx="0">
                  <c:v>Austria</c:v>
                </c:pt>
                <c:pt idx="1">
                  <c:v>Bulgaria</c:v>
                </c:pt>
                <c:pt idx="2">
                  <c:v>Czech Republic</c:v>
                </c:pt>
                <c:pt idx="3">
                  <c:v>Estonia</c:v>
                </c:pt>
                <c:pt idx="4">
                  <c:v>Finland</c:v>
                </c:pt>
                <c:pt idx="5">
                  <c:v>France</c:v>
                </c:pt>
                <c:pt idx="6">
                  <c:v>Greece</c:v>
                </c:pt>
                <c:pt idx="7">
                  <c:v>Iceland </c:v>
                </c:pt>
                <c:pt idx="8">
                  <c:v>Ireland</c:v>
                </c:pt>
                <c:pt idx="9">
                  <c:v>Latvia</c:v>
                </c:pt>
                <c:pt idx="10">
                  <c:v>Lithuania</c:v>
                </c:pt>
                <c:pt idx="11">
                  <c:v>Luxembourg</c:v>
                </c:pt>
                <c:pt idx="12">
                  <c:v>Norway</c:v>
                </c:pt>
                <c:pt idx="13">
                  <c:v>Poland</c:v>
                </c:pt>
                <c:pt idx="14">
                  <c:v>Portugal</c:v>
                </c:pt>
                <c:pt idx="15">
                  <c:v>Serbia</c:v>
                </c:pt>
                <c:pt idx="16">
                  <c:v>Slovakia</c:v>
                </c:pt>
                <c:pt idx="17">
                  <c:v>Slovenia</c:v>
                </c:pt>
                <c:pt idx="18">
                  <c:v>Spain</c:v>
                </c:pt>
                <c:pt idx="19">
                  <c:v>Switzerland</c:v>
                </c:pt>
                <c:pt idx="20">
                  <c:v>UK (England)</c:v>
                </c:pt>
                <c:pt idx="21">
                  <c:v>UK (N. Ireland)</c:v>
                </c:pt>
                <c:pt idx="22">
                  <c:v>UK (Wales)</c:v>
                </c:pt>
                <c:pt idx="23">
                  <c:v>Total average (23)</c:v>
                </c:pt>
              </c:strCache>
            </c:strRef>
          </c:cat>
          <c:val>
            <c:numRef>
              <c:f>'3b.5 - ISCED 1&amp;2'!$AI$3:$AI$26</c:f>
              <c:numCache>
                <c:formatCode>0.00</c:formatCode>
                <c:ptCount val="24"/>
                <c:pt idx="0">
                  <c:v>2.8443797797123755</c:v>
                </c:pt>
                <c:pt idx="1">
                  <c:v>0.64844341584633591</c:v>
                </c:pt>
                <c:pt idx="2">
                  <c:v>4.2865655175284987</c:v>
                </c:pt>
                <c:pt idx="3">
                  <c:v>6.0996891530784758</c:v>
                </c:pt>
                <c:pt idx="4">
                  <c:v>5.1411938580953773</c:v>
                </c:pt>
                <c:pt idx="5">
                  <c:v>0.72040467669611041</c:v>
                </c:pt>
                <c:pt idx="6">
                  <c:v>1.7183558952171325</c:v>
                </c:pt>
                <c:pt idx="7">
                  <c:v>1.7694882831181253</c:v>
                </c:pt>
                <c:pt idx="8">
                  <c:v>1.9326670283353504</c:v>
                </c:pt>
                <c:pt idx="9">
                  <c:v>4.6124871184392884</c:v>
                </c:pt>
                <c:pt idx="10">
                  <c:v>1.5224422664212822</c:v>
                </c:pt>
                <c:pt idx="11">
                  <c:v>0.87028978798259427</c:v>
                </c:pt>
                <c:pt idx="12">
                  <c:v>1.0599175679847483</c:v>
                </c:pt>
                <c:pt idx="13">
                  <c:v>2.2589215774885516</c:v>
                </c:pt>
                <c:pt idx="14">
                  <c:v>1.6685400727606756</c:v>
                </c:pt>
                <c:pt idx="15">
                  <c:v>0.94041257937242917</c:v>
                </c:pt>
                <c:pt idx="16">
                  <c:v>5.8106975617312147</c:v>
                </c:pt>
                <c:pt idx="17">
                  <c:v>1.9902623950048315</c:v>
                </c:pt>
                <c:pt idx="18">
                  <c:v>0.78620556540105402</c:v>
                </c:pt>
                <c:pt idx="19">
                  <c:v>4.6308006995190807</c:v>
                </c:pt>
                <c:pt idx="20">
                  <c:v>1.9251328784614343</c:v>
                </c:pt>
                <c:pt idx="21">
                  <c:v>2.5107311362588245</c:v>
                </c:pt>
                <c:pt idx="22">
                  <c:v>1.9564681218399309</c:v>
                </c:pt>
                <c:pt idx="23">
                  <c:v>1.6923351704972545</c:v>
                </c:pt>
              </c:numCache>
            </c:numRef>
          </c:val>
          <c:extLst>
            <c:ext xmlns:c16="http://schemas.microsoft.com/office/drawing/2014/chart" uri="{C3380CC4-5D6E-409C-BE32-E72D297353CC}">
              <c16:uniqueId val="{00000001-BC96-4A9D-B73E-40635D74FAFA}"/>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6.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1F78-4079-BBE8-927FD4707412}"/>
              </c:ext>
            </c:extLst>
          </c:dPt>
          <c:dPt>
            <c:idx val="27"/>
            <c:invertIfNegative val="0"/>
            <c:bubble3D val="0"/>
            <c:extLst>
              <c:ext xmlns:c16="http://schemas.microsoft.com/office/drawing/2014/chart" uri="{C3380CC4-5D6E-409C-BE32-E72D297353CC}">
                <c16:uniqueId val="{00000003-1F78-4079-BBE8-927FD4707412}"/>
              </c:ext>
            </c:extLst>
          </c:dPt>
          <c:dPt>
            <c:idx val="29"/>
            <c:invertIfNegative val="0"/>
            <c:bubble3D val="0"/>
            <c:spPr>
              <a:solidFill>
                <a:srgbClr val="F9C623"/>
              </a:solidFill>
              <a:ln>
                <a:noFill/>
              </a:ln>
              <a:effectLst/>
            </c:spPr>
            <c:extLst>
              <c:ext xmlns:c16="http://schemas.microsoft.com/office/drawing/2014/chart" uri="{C3380CC4-5D6E-409C-BE32-E72D297353CC}">
                <c16:uniqueId val="{00000005-1F78-4079-BBE8-927FD4707412}"/>
              </c:ext>
            </c:extLst>
          </c:dPt>
          <c:dLbls>
            <c:dLbl>
              <c:idx val="2"/>
              <c:layout>
                <c:manualLayout>
                  <c:x val="-0.24948024948024941"/>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EB1B-3C4D-98D3-DBE852FB24FA}"/>
                </c:ext>
              </c:extLst>
            </c:dLbl>
            <c:dLbl>
              <c:idx val="4"/>
              <c:layout>
                <c:manualLayout>
                  <c:x val="-0.36174636174636182"/>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EB1B-3C4D-98D3-DBE852FB24FA}"/>
                </c:ext>
              </c:extLst>
            </c:dLbl>
            <c:dLbl>
              <c:idx val="1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3C63-014F-BD34-CC598EFA7441}"/>
                </c:ext>
              </c:extLst>
            </c:dLbl>
            <c:dLbl>
              <c:idx val="1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3C63-014F-BD34-CC598EFA7441}"/>
                </c:ext>
              </c:extLst>
            </c:dLbl>
            <c:dLbl>
              <c:idx val="15"/>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3C63-014F-BD34-CC598EFA7441}"/>
                </c:ext>
              </c:extLst>
            </c:dLbl>
            <c:dLbl>
              <c:idx val="1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3C63-014F-BD34-CC598EFA7441}"/>
                </c:ext>
              </c:extLst>
            </c:dLbl>
            <c:dLbl>
              <c:idx val="1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3C63-014F-BD34-CC598EFA7441}"/>
                </c:ext>
              </c:extLst>
            </c:dLbl>
            <c:dLbl>
              <c:idx val="2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1F78-4079-BBE8-927FD4707412}"/>
                </c:ext>
              </c:extLst>
            </c:dLbl>
            <c:dLbl>
              <c:idx val="2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1F78-4079-BBE8-927FD4707412}"/>
                </c:ext>
              </c:extLst>
            </c:dLbl>
            <c:dLbl>
              <c:idx val="2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1F78-4079-BBE8-927FD470741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'3c.1 - ISCED 1&amp;2'!$N$3:$N$32</c:f>
              <c:strCache>
                <c:ptCount val="30"/>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Slovakia</c:v>
                </c:pt>
                <c:pt idx="22">
                  <c:v>Slovenia</c:v>
                </c:pt>
                <c:pt idx="23">
                  <c:v>Spain</c:v>
                </c:pt>
                <c:pt idx="24">
                  <c:v>Sweden</c:v>
                </c:pt>
                <c:pt idx="25">
                  <c:v>UK (England)</c:v>
                </c:pt>
                <c:pt idx="26">
                  <c:v>UK (N. Ireland)</c:v>
                </c:pt>
                <c:pt idx="27">
                  <c:v>UK (Scotland)</c:v>
                </c:pt>
                <c:pt idx="28">
                  <c:v>UK (Wales)</c:v>
                </c:pt>
                <c:pt idx="29">
                  <c:v>Total average (29)</c:v>
                </c:pt>
              </c:strCache>
            </c:strRef>
          </c:cat>
          <c:val>
            <c:numRef>
              <c:f>'3c.1 - ISCED 1&amp;2'!$O$3:$O$32</c:f>
              <c:numCache>
                <c:formatCode>0.00</c:formatCode>
                <c:ptCount val="30"/>
                <c:pt idx="0">
                  <c:v>68.737769080234841</c:v>
                </c:pt>
                <c:pt idx="1">
                  <c:v>19.106718192627824</c:v>
                </c:pt>
                <c:pt idx="2">
                  <c:v>81.379567486950037</c:v>
                </c:pt>
                <c:pt idx="3">
                  <c:v>82.465876706164693</c:v>
                </c:pt>
                <c:pt idx="4">
                  <c:v>68.163240282829932</c:v>
                </c:pt>
                <c:pt idx="5">
                  <c:v>37.339246119733929</c:v>
                </c:pt>
                <c:pt idx="6">
                  <c:v>38.981863664790495</c:v>
                </c:pt>
                <c:pt idx="7">
                  <c:v>58.908347073054223</c:v>
                </c:pt>
                <c:pt idx="8">
                  <c:v>43.386051791970878</c:v>
                </c:pt>
                <c:pt idx="9">
                  <c:v>71.746212057934216</c:v>
                </c:pt>
                <c:pt idx="10">
                  <c:v>66.838404233098942</c:v>
                </c:pt>
                <c:pt idx="11">
                  <c:v>91.814321276907307</c:v>
                </c:pt>
                <c:pt idx="12">
                  <c:v>79.450064057211705</c:v>
                </c:pt>
                <c:pt idx="13">
                  <c:v>99.121729095842554</c:v>
                </c:pt>
                <c:pt idx="14">
                  <c:v>39.05424666722562</c:v>
                </c:pt>
                <c:pt idx="15">
                  <c:v>89.422048759623607</c:v>
                </c:pt>
                <c:pt idx="16">
                  <c:v>50</c:v>
                </c:pt>
                <c:pt idx="17">
                  <c:v>94.650856389986828</c:v>
                </c:pt>
                <c:pt idx="18">
                  <c:v>91.891180164485675</c:v>
                </c:pt>
                <c:pt idx="19">
                  <c:v>56.882273683547005</c:v>
                </c:pt>
                <c:pt idx="20">
                  <c:v>84.466254328791564</c:v>
                </c:pt>
                <c:pt idx="21">
                  <c:v>62.676193388751422</c:v>
                </c:pt>
                <c:pt idx="22">
                  <c:v>73.800446011078336</c:v>
                </c:pt>
                <c:pt idx="23">
                  <c:v>80.383632158322172</c:v>
                </c:pt>
                <c:pt idx="24">
                  <c:v>11.205593348450492</c:v>
                </c:pt>
                <c:pt idx="25">
                  <c:v>51.955353716259431</c:v>
                </c:pt>
                <c:pt idx="26">
                  <c:v>60</c:v>
                </c:pt>
                <c:pt idx="27">
                  <c:v>94.498882020255166</c:v>
                </c:pt>
                <c:pt idx="28">
                  <c:v>43.057336508518048</c:v>
                </c:pt>
                <c:pt idx="29">
                  <c:v>64.971189442840881</c:v>
                </c:pt>
              </c:numCache>
            </c:numRef>
          </c:val>
          <c:extLst>
            <c:ext xmlns:c16="http://schemas.microsoft.com/office/drawing/2014/chart" uri="{C3380CC4-5D6E-409C-BE32-E72D297353CC}">
              <c16:uniqueId val="{00000006-1F78-4079-BBE8-927FD4707412}"/>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437677655438302E-2"/>
          <c:y val="4.271381678313229E-2"/>
          <c:w val="0.8453526970954357"/>
          <c:h val="0.92304421665961844"/>
        </c:manualLayout>
      </c:layout>
      <c:barChart>
        <c:barDir val="bar"/>
        <c:grouping val="clustered"/>
        <c:varyColors val="0"/>
        <c:ser>
          <c:idx val="0"/>
          <c:order val="0"/>
          <c:tx>
            <c:strRef>
              <c:f>Blad1!$Q$2</c:f>
              <c:strCache>
                <c:ptCount val="1"/>
                <c:pt idx="0">
                  <c:v>Boys</c:v>
                </c:pt>
              </c:strCache>
            </c:strRef>
          </c:tx>
          <c:spPr>
            <a:solidFill>
              <a:srgbClr val="17255B"/>
            </a:solidFill>
            <a:ln>
              <a:noFill/>
            </a:ln>
            <a:effectLst/>
          </c:spPr>
          <c:invertIfNegative val="0"/>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1D9-9942-ADCB-A917FCA0DCE7}"/>
                </c:ext>
              </c:extLst>
            </c:dLbl>
            <c:dLbl>
              <c:idx val="2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C1D9-9942-ADCB-A917FCA0DCE7}"/>
                </c:ext>
              </c:extLst>
            </c:dLbl>
            <c:dLbl>
              <c:idx val="2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C1D9-9942-ADCB-A917FCA0DCE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Blad1!$P$3:$P$29</c:f>
              <c:strCache>
                <c:ptCount val="27"/>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Poland</c:v>
                </c:pt>
                <c:pt idx="17">
                  <c:v>Portugal</c:v>
                </c:pt>
                <c:pt idx="18">
                  <c:v>Slovakia</c:v>
                </c:pt>
                <c:pt idx="19">
                  <c:v>Slovenia</c:v>
                </c:pt>
                <c:pt idx="20">
                  <c:v>Spain</c:v>
                </c:pt>
                <c:pt idx="21">
                  <c:v>Sweden</c:v>
                </c:pt>
                <c:pt idx="22">
                  <c:v>UK (England)</c:v>
                </c:pt>
                <c:pt idx="23">
                  <c:v>UK (N. Ireland)</c:v>
                </c:pt>
                <c:pt idx="24">
                  <c:v>UK (Scotland)</c:v>
                </c:pt>
                <c:pt idx="25">
                  <c:v>UK (Wales)</c:v>
                </c:pt>
                <c:pt idx="26">
                  <c:v>Total average (26)</c:v>
                </c:pt>
              </c:strCache>
            </c:strRef>
          </c:cat>
          <c:val>
            <c:numRef>
              <c:f>Blad1!$Q$3:$Q$29</c:f>
              <c:numCache>
                <c:formatCode>0.00</c:formatCode>
                <c:ptCount val="27"/>
                <c:pt idx="0">
                  <c:v>42.959067188519242</c:v>
                </c:pt>
                <c:pt idx="1">
                  <c:v>14.177690249702735</c:v>
                </c:pt>
                <c:pt idx="2">
                  <c:v>52.348993288590606</c:v>
                </c:pt>
                <c:pt idx="3">
                  <c:v>55.527223638818057</c:v>
                </c:pt>
                <c:pt idx="4">
                  <c:v>47.527281644664242</c:v>
                </c:pt>
                <c:pt idx="5">
                  <c:v>24.268292682926827</c:v>
                </c:pt>
                <c:pt idx="6">
                  <c:v>27.287054409005627</c:v>
                </c:pt>
                <c:pt idx="7">
                  <c:v>43.07132841271553</c:v>
                </c:pt>
                <c:pt idx="8">
                  <c:v>28.252657127757441</c:v>
                </c:pt>
                <c:pt idx="9">
                  <c:v>50.087703179031415</c:v>
                </c:pt>
                <c:pt idx="10">
                  <c:v>44.440576481236512</c:v>
                </c:pt>
                <c:pt idx="11">
                  <c:v>59.847708302826184</c:v>
                </c:pt>
                <c:pt idx="12">
                  <c:v>57.720328125896323</c:v>
                </c:pt>
                <c:pt idx="13">
                  <c:v>70.148145837881671</c:v>
                </c:pt>
                <c:pt idx="14">
                  <c:v>59.014114627887082</c:v>
                </c:pt>
                <c:pt idx="15">
                  <c:v>64.347826086956516</c:v>
                </c:pt>
                <c:pt idx="16">
                  <c:v>37.744754280491364</c:v>
                </c:pt>
                <c:pt idx="17">
                  <c:v>52.580640283091626</c:v>
                </c:pt>
                <c:pt idx="18">
                  <c:v>38.109205148878203</c:v>
                </c:pt>
                <c:pt idx="19">
                  <c:v>50.579095029134592</c:v>
                </c:pt>
                <c:pt idx="20">
                  <c:v>54.917714438087287</c:v>
                </c:pt>
                <c:pt idx="21">
                  <c:v>6.623204837490551</c:v>
                </c:pt>
                <c:pt idx="22">
                  <c:v>38.205833439938594</c:v>
                </c:pt>
                <c:pt idx="23">
                  <c:v>43.983133311709373</c:v>
                </c:pt>
                <c:pt idx="24">
                  <c:v>56.792713402604235</c:v>
                </c:pt>
                <c:pt idx="25">
                  <c:v>31.764059351529582</c:v>
                </c:pt>
                <c:pt idx="26">
                  <c:v>43.646079452020679</c:v>
                </c:pt>
              </c:numCache>
            </c:numRef>
          </c:val>
          <c:extLst>
            <c:ext xmlns:c16="http://schemas.microsoft.com/office/drawing/2014/chart" uri="{C3380CC4-5D6E-409C-BE32-E72D297353CC}">
              <c16:uniqueId val="{00000000-157F-426E-9129-443A346C1B5B}"/>
            </c:ext>
          </c:extLst>
        </c:ser>
        <c:ser>
          <c:idx val="1"/>
          <c:order val="1"/>
          <c:tx>
            <c:strRef>
              <c:f>Blad1!$R$2</c:f>
              <c:strCache>
                <c:ptCount val="1"/>
                <c:pt idx="0">
                  <c:v>Girls</c:v>
                </c:pt>
              </c:strCache>
            </c:strRef>
          </c:tx>
          <c:spPr>
            <a:solidFill>
              <a:srgbClr val="F9C623"/>
            </a:solidFill>
            <a:ln>
              <a:noFill/>
            </a:ln>
            <a:effectLst/>
          </c:spPr>
          <c:invertIfNegative val="0"/>
          <c:dLbls>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1D9-9942-ADCB-A917FCA0DCE7}"/>
                </c:ext>
              </c:extLst>
            </c:dLbl>
            <c:dLbl>
              <c:idx val="2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1D9-9942-ADCB-A917FCA0DCE7}"/>
                </c:ext>
              </c:extLst>
            </c:dLbl>
            <c:dLbl>
              <c:idx val="2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3-C1D9-9942-ADCB-A917FCA0DCE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Blad1!$P$3:$P$29</c:f>
              <c:strCache>
                <c:ptCount val="27"/>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Poland</c:v>
                </c:pt>
                <c:pt idx="17">
                  <c:v>Portugal</c:v>
                </c:pt>
                <c:pt idx="18">
                  <c:v>Slovakia</c:v>
                </c:pt>
                <c:pt idx="19">
                  <c:v>Slovenia</c:v>
                </c:pt>
                <c:pt idx="20">
                  <c:v>Spain</c:v>
                </c:pt>
                <c:pt idx="21">
                  <c:v>Sweden</c:v>
                </c:pt>
                <c:pt idx="22">
                  <c:v>UK (England)</c:v>
                </c:pt>
                <c:pt idx="23">
                  <c:v>UK (N. Ireland)</c:v>
                </c:pt>
                <c:pt idx="24">
                  <c:v>UK (Scotland)</c:v>
                </c:pt>
                <c:pt idx="25">
                  <c:v>UK (Wales)</c:v>
                </c:pt>
                <c:pt idx="26">
                  <c:v>Total average (26)</c:v>
                </c:pt>
              </c:strCache>
            </c:strRef>
          </c:cat>
          <c:val>
            <c:numRef>
              <c:f>Blad1!$R$3:$R$29</c:f>
              <c:numCache>
                <c:formatCode>0.00</c:formatCode>
                <c:ptCount val="27"/>
                <c:pt idx="0">
                  <c:v>25.778701891715588</c:v>
                </c:pt>
                <c:pt idx="1">
                  <c:v>4.9290279429250887</c:v>
                </c:pt>
                <c:pt idx="2">
                  <c:v>29.030574198359432</c:v>
                </c:pt>
                <c:pt idx="3">
                  <c:v>26.938653067346635</c:v>
                </c:pt>
                <c:pt idx="4">
                  <c:v>20.63595863816569</c:v>
                </c:pt>
                <c:pt idx="5">
                  <c:v>13.070953436807095</c:v>
                </c:pt>
                <c:pt idx="6">
                  <c:v>11.694809255784866</c:v>
                </c:pt>
                <c:pt idx="7">
                  <c:v>15.837018660338689</c:v>
                </c:pt>
                <c:pt idx="8">
                  <c:v>15.133394664213432</c:v>
                </c:pt>
                <c:pt idx="9">
                  <c:v>21.65850887890279</c:v>
                </c:pt>
                <c:pt idx="10">
                  <c:v>22.397827751862422</c:v>
                </c:pt>
                <c:pt idx="11">
                  <c:v>31.966612974081126</c:v>
                </c:pt>
                <c:pt idx="12">
                  <c:v>21.729735931315371</c:v>
                </c:pt>
                <c:pt idx="13">
                  <c:v>28.97358325796089</c:v>
                </c:pt>
                <c:pt idx="14">
                  <c:v>30.407934131736525</c:v>
                </c:pt>
                <c:pt idx="15">
                  <c:v>30.303030303030305</c:v>
                </c:pt>
                <c:pt idx="16">
                  <c:v>19.137519403055634</c:v>
                </c:pt>
                <c:pt idx="17">
                  <c:v>31.885614045699938</c:v>
                </c:pt>
                <c:pt idx="18">
                  <c:v>24.566988239873226</c:v>
                </c:pt>
                <c:pt idx="19">
                  <c:v>23.221350981943743</c:v>
                </c:pt>
                <c:pt idx="20">
                  <c:v>25.465917720234888</c:v>
                </c:pt>
                <c:pt idx="21">
                  <c:v>4.5823885109599392</c:v>
                </c:pt>
                <c:pt idx="22">
                  <c:v>13.74952027632084</c:v>
                </c:pt>
                <c:pt idx="23">
                  <c:v>16.016866688290627</c:v>
                </c:pt>
                <c:pt idx="24">
                  <c:v>37.706168617650924</c:v>
                </c:pt>
                <c:pt idx="25">
                  <c:v>11.293277156988459</c:v>
                </c:pt>
                <c:pt idx="26">
                  <c:v>20.843058363589869</c:v>
                </c:pt>
              </c:numCache>
            </c:numRef>
          </c:val>
          <c:extLst>
            <c:ext xmlns:c16="http://schemas.microsoft.com/office/drawing/2014/chart" uri="{C3380CC4-5D6E-409C-BE32-E72D297353CC}">
              <c16:uniqueId val="{00000001-157F-426E-9129-443A346C1B5B}"/>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7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81167979002618E-2"/>
          <c:y val="4.271381678313229E-2"/>
          <c:w val="0.82387500000000002"/>
          <c:h val="0.91963415698357409"/>
        </c:manualLayout>
      </c:layout>
      <c:barChart>
        <c:barDir val="bar"/>
        <c:grouping val="clustered"/>
        <c:varyColors val="0"/>
        <c:ser>
          <c:idx val="0"/>
          <c:order val="0"/>
          <c:tx>
            <c:strRef>
              <c:f>Blad1!$T$2</c:f>
              <c:strCache>
                <c:ptCount val="1"/>
                <c:pt idx="0">
                  <c:v>Boys</c:v>
                </c:pt>
              </c:strCache>
            </c:strRef>
          </c:tx>
          <c:spPr>
            <a:solidFill>
              <a:srgbClr val="17255B"/>
            </a:solidFill>
            <a:ln>
              <a:noFill/>
            </a:ln>
            <a:effectLst/>
          </c:spPr>
          <c:invertIfNegative val="0"/>
          <c:dLbls>
            <c:dLbl>
              <c:idx val="2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3BB-2C4B-9ABE-E5A2DBAC9AE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Blad1!$S$3:$S$29</c:f>
              <c:strCache>
                <c:ptCount val="27"/>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Poland</c:v>
                </c:pt>
                <c:pt idx="17">
                  <c:v>Portugal</c:v>
                </c:pt>
                <c:pt idx="18">
                  <c:v>Slovakia</c:v>
                </c:pt>
                <c:pt idx="19">
                  <c:v>Slovenia</c:v>
                </c:pt>
                <c:pt idx="20">
                  <c:v>Spain</c:v>
                </c:pt>
                <c:pt idx="21">
                  <c:v>Sweden</c:v>
                </c:pt>
                <c:pt idx="22">
                  <c:v>UK (England)</c:v>
                </c:pt>
                <c:pt idx="23">
                  <c:v>UK (N. Ireland)</c:v>
                </c:pt>
                <c:pt idx="24">
                  <c:v>UK (Scotland)</c:v>
                </c:pt>
                <c:pt idx="25">
                  <c:v>UK (Wales)</c:v>
                </c:pt>
                <c:pt idx="26">
                  <c:v>Total average (26)</c:v>
                </c:pt>
              </c:strCache>
            </c:strRef>
          </c:cat>
          <c:val>
            <c:numRef>
              <c:f>Blad1!$T$3:$T$29</c:f>
              <c:numCache>
                <c:formatCode>0.00</c:formatCode>
                <c:ptCount val="27"/>
                <c:pt idx="0">
                  <c:v>62.497034400948991</c:v>
                </c:pt>
                <c:pt idx="1">
                  <c:v>74.20264488525865</c:v>
                </c:pt>
                <c:pt idx="2">
                  <c:v>64.326949509759004</c:v>
                </c:pt>
                <c:pt idx="3">
                  <c:v>67.333575845762098</c:v>
                </c:pt>
                <c:pt idx="4">
                  <c:v>69.725678309099081</c:v>
                </c:pt>
                <c:pt idx="5">
                  <c:v>64.994061757719706</c:v>
                </c:pt>
                <c:pt idx="6">
                  <c:v>69.999358275043321</c:v>
                </c:pt>
                <c:pt idx="7">
                  <c:v>73.115832564952683</c:v>
                </c:pt>
                <c:pt idx="8">
                  <c:v>65.11921680088426</c:v>
                </c:pt>
                <c:pt idx="9">
                  <c:v>69.812331191207974</c:v>
                </c:pt>
                <c:pt idx="10">
                  <c:v>66.489583333333329</c:v>
                </c:pt>
                <c:pt idx="11">
                  <c:v>65.183413078149925</c:v>
                </c:pt>
                <c:pt idx="12">
                  <c:v>72.649819494584833</c:v>
                </c:pt>
                <c:pt idx="13">
                  <c:v>70.769695482263202</c:v>
                </c:pt>
                <c:pt idx="14">
                  <c:v>65.995037517563006</c:v>
                </c:pt>
                <c:pt idx="15">
                  <c:v>67.98440979955457</c:v>
                </c:pt>
                <c:pt idx="16">
                  <c:v>66.355916942555169</c:v>
                </c:pt>
                <c:pt idx="17">
                  <c:v>62.250469966878526</c:v>
                </c:pt>
                <c:pt idx="18">
                  <c:v>60.803317955997159</c:v>
                </c:pt>
                <c:pt idx="19">
                  <c:v>68.534944926406084</c:v>
                </c:pt>
                <c:pt idx="20">
                  <c:v>68.319523469556998</c:v>
                </c:pt>
                <c:pt idx="21">
                  <c:v>59.106239460370993</c:v>
                </c:pt>
                <c:pt idx="22">
                  <c:v>73.53589323747029</c:v>
                </c:pt>
                <c:pt idx="23">
                  <c:v>73.305222186182291</c:v>
                </c:pt>
                <c:pt idx="24">
                  <c:v>60.09882041824698</c:v>
                </c:pt>
                <c:pt idx="25">
                  <c:v>73.771537970644545</c:v>
                </c:pt>
                <c:pt idx="26">
                  <c:v>67.679737906893678</c:v>
                </c:pt>
              </c:numCache>
            </c:numRef>
          </c:val>
          <c:extLst>
            <c:ext xmlns:c16="http://schemas.microsoft.com/office/drawing/2014/chart" uri="{C3380CC4-5D6E-409C-BE32-E72D297353CC}">
              <c16:uniqueId val="{00000000-A03E-42DE-88B3-52186C17E8EE}"/>
            </c:ext>
          </c:extLst>
        </c:ser>
        <c:ser>
          <c:idx val="1"/>
          <c:order val="1"/>
          <c:tx>
            <c:strRef>
              <c:f>Blad1!$U$2</c:f>
              <c:strCache>
                <c:ptCount val="1"/>
                <c:pt idx="0">
                  <c:v>Girls</c:v>
                </c:pt>
              </c:strCache>
            </c:strRef>
          </c:tx>
          <c:spPr>
            <a:solidFill>
              <a:srgbClr val="F9C623"/>
            </a:solidFill>
            <a:ln>
              <a:noFill/>
            </a:ln>
            <a:effectLst/>
          </c:spPr>
          <c:invertIfNegative val="0"/>
          <c:dLbls>
            <c:dLbl>
              <c:idx val="2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C3BB-2C4B-9ABE-E5A2DBAC9AE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Blad1!$S$3:$S$29</c:f>
              <c:strCache>
                <c:ptCount val="27"/>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Lithuania</c:v>
                </c:pt>
                <c:pt idx="15">
                  <c:v>Malta</c:v>
                </c:pt>
                <c:pt idx="16">
                  <c:v>Poland</c:v>
                </c:pt>
                <c:pt idx="17">
                  <c:v>Portugal</c:v>
                </c:pt>
                <c:pt idx="18">
                  <c:v>Slovakia</c:v>
                </c:pt>
                <c:pt idx="19">
                  <c:v>Slovenia</c:v>
                </c:pt>
                <c:pt idx="20">
                  <c:v>Spain</c:v>
                </c:pt>
                <c:pt idx="21">
                  <c:v>Sweden</c:v>
                </c:pt>
                <c:pt idx="22">
                  <c:v>UK (England)</c:v>
                </c:pt>
                <c:pt idx="23">
                  <c:v>UK (N. Ireland)</c:v>
                </c:pt>
                <c:pt idx="24">
                  <c:v>UK (Scotland)</c:v>
                </c:pt>
                <c:pt idx="25">
                  <c:v>UK (Wales)</c:v>
                </c:pt>
                <c:pt idx="26">
                  <c:v>Total average (26)</c:v>
                </c:pt>
              </c:strCache>
            </c:strRef>
          </c:cat>
          <c:val>
            <c:numRef>
              <c:f>Blad1!$U$3:$U$29</c:f>
              <c:numCache>
                <c:formatCode>0.00</c:formatCode>
                <c:ptCount val="27"/>
                <c:pt idx="0">
                  <c:v>37.502965599051009</c:v>
                </c:pt>
                <c:pt idx="1">
                  <c:v>25.797355114741343</c:v>
                </c:pt>
                <c:pt idx="2">
                  <c:v>35.673050490240996</c:v>
                </c:pt>
                <c:pt idx="3">
                  <c:v>32.666424154237902</c:v>
                </c:pt>
                <c:pt idx="4">
                  <c:v>30.274321690900912</c:v>
                </c:pt>
                <c:pt idx="5">
                  <c:v>35.00593824228028</c:v>
                </c:pt>
                <c:pt idx="6">
                  <c:v>30.000641724956683</c:v>
                </c:pt>
                <c:pt idx="7">
                  <c:v>26.884167435047313</c:v>
                </c:pt>
                <c:pt idx="8">
                  <c:v>34.880783199115747</c:v>
                </c:pt>
                <c:pt idx="9">
                  <c:v>30.187668808792029</c:v>
                </c:pt>
                <c:pt idx="10">
                  <c:v>33.510416666666664</c:v>
                </c:pt>
                <c:pt idx="11">
                  <c:v>34.816586921850082</c:v>
                </c:pt>
                <c:pt idx="12">
                  <c:v>27.35018050541516</c:v>
                </c:pt>
                <c:pt idx="13">
                  <c:v>29.230304517736787</c:v>
                </c:pt>
                <c:pt idx="14">
                  <c:v>34.004962482436994</c:v>
                </c:pt>
                <c:pt idx="15">
                  <c:v>32.01559020044543</c:v>
                </c:pt>
                <c:pt idx="16">
                  <c:v>33.644083057444831</c:v>
                </c:pt>
                <c:pt idx="17">
                  <c:v>37.749530033121474</c:v>
                </c:pt>
                <c:pt idx="18">
                  <c:v>39.196682044002841</c:v>
                </c:pt>
                <c:pt idx="19">
                  <c:v>31.465055073593916</c:v>
                </c:pt>
                <c:pt idx="20">
                  <c:v>31.680476530442998</c:v>
                </c:pt>
                <c:pt idx="21">
                  <c:v>40.893760539629007</c:v>
                </c:pt>
                <c:pt idx="22">
                  <c:v>26.464106762529699</c:v>
                </c:pt>
                <c:pt idx="23">
                  <c:v>26.694777813817712</c:v>
                </c:pt>
                <c:pt idx="24">
                  <c:v>39.90117958175302</c:v>
                </c:pt>
                <c:pt idx="25">
                  <c:v>26.228462029355455</c:v>
                </c:pt>
                <c:pt idx="26">
                  <c:v>32.320262093106315</c:v>
                </c:pt>
              </c:numCache>
            </c:numRef>
          </c:val>
          <c:extLst>
            <c:ext xmlns:c16="http://schemas.microsoft.com/office/drawing/2014/chart" uri="{C3380CC4-5D6E-409C-BE32-E72D297353CC}">
              <c16:uniqueId val="{00000001-A03E-42DE-88B3-52186C17E8EE}"/>
            </c:ext>
          </c:extLst>
        </c:ser>
        <c:dLbls>
          <c:showLegendKey val="0"/>
          <c:showVal val="0"/>
          <c:showCatName val="0"/>
          <c:showSerName val="0"/>
          <c:showPercent val="0"/>
          <c:showBubbleSize val="0"/>
        </c:dLbls>
        <c:gapWidth val="6"/>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266999233791424E-2"/>
          <c:y val="4.2750262019295368E-2"/>
          <c:w val="0.8456728778467909"/>
          <c:h val="0.92468503937007884"/>
        </c:manualLayout>
      </c:layout>
      <c:barChart>
        <c:barDir val="bar"/>
        <c:grouping val="clustered"/>
        <c:varyColors val="0"/>
        <c:ser>
          <c:idx val="0"/>
          <c:order val="0"/>
          <c:tx>
            <c:strRef>
              <c:f>'3c.1 - ISCED 1&amp;2'!$W$2</c:f>
              <c:strCache>
                <c:ptCount val="1"/>
                <c:pt idx="0">
                  <c:v>ISCED 1</c:v>
                </c:pt>
              </c:strCache>
            </c:strRef>
          </c:tx>
          <c:spPr>
            <a:solidFill>
              <a:srgbClr val="17255B"/>
            </a:solidFill>
            <a:ln>
              <a:noFill/>
            </a:ln>
            <a:effectLst/>
          </c:spPr>
          <c:invertIfNegative val="0"/>
          <c:dLbls>
            <c:dLbl>
              <c:idx val="0"/>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446-F44C-8666-4840C3E8F2BE}"/>
                </c:ext>
              </c:extLst>
            </c:dLbl>
            <c:dLbl>
              <c:idx val="3"/>
              <c:layout>
                <c:manualLayout>
                  <c:x val="-0.19875776397515527"/>
                  <c:y val="1.5642595177089411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0DE-6D47-A008-EC4D55C8B132}"/>
                </c:ext>
              </c:extLst>
            </c:dLbl>
            <c:dLbl>
              <c:idx val="1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3446-F44C-8666-4840C3E8F2BE}"/>
                </c:ext>
              </c:extLst>
            </c:dLbl>
            <c:dLbl>
              <c:idx val="12"/>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3446-F44C-8666-4840C3E8F2BE}"/>
                </c:ext>
              </c:extLst>
            </c:dLbl>
            <c:dLbl>
              <c:idx val="1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3446-F44C-8666-4840C3E8F2BE}"/>
                </c:ext>
              </c:extLst>
            </c:dLbl>
            <c:dLbl>
              <c:idx val="15"/>
              <c:layout>
                <c:manualLayout>
                  <c:x val="-0.2318840579710145"/>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10DE-6D47-A008-EC4D55C8B132}"/>
                </c:ext>
              </c:extLst>
            </c:dLbl>
            <c:dLbl>
              <c:idx val="1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3446-F44C-8666-4840C3E8F2BE}"/>
                </c:ext>
              </c:extLst>
            </c:dLbl>
            <c:dLbl>
              <c:idx val="1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3446-F44C-8666-4840C3E8F2BE}"/>
                </c:ext>
              </c:extLst>
            </c:dLbl>
            <c:dLbl>
              <c:idx val="20"/>
              <c:layout>
                <c:manualLayout>
                  <c:x val="-0.2443064182194617"/>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10DE-6D47-A008-EC4D55C8B132}"/>
                </c:ext>
              </c:extLst>
            </c:dLbl>
            <c:dLbl>
              <c:idx val="2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3446-F44C-8666-4840C3E8F2BE}"/>
                </c:ext>
              </c:extLst>
            </c:dLbl>
            <c:dLbl>
              <c:idx val="29"/>
              <c:spPr>
                <a:noFill/>
                <a:ln>
                  <a:noFill/>
                </a:ln>
                <a:effectLst/>
              </c:spPr>
              <c:txPr>
                <a:bodyPr rot="0" spcFirstLastPara="1" vertOverflow="ellipsis" vert="horz" wrap="none" lIns="38100" tIns="19050" rIns="38100" bIns="19050" anchor="ctr" anchorCtr="1">
                  <a:no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43181200176064949"/>
                      <c:h val="2.4494101206632448E-2"/>
                    </c:manualLayout>
                  </c15:layout>
                </c:ext>
                <c:ext xmlns:c16="http://schemas.microsoft.com/office/drawing/2014/chart" uri="{C3380CC4-5D6E-409C-BE32-E72D297353CC}">
                  <c16:uniqueId val="{00000000-3E65-424A-9022-90B70459376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'3c.1 - ISCED 1&amp;2'!$V$3:$V$32</c:f>
              <c:strCache>
                <c:ptCount val="30"/>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Slovakia</c:v>
                </c:pt>
                <c:pt idx="22">
                  <c:v>Slovenia</c:v>
                </c:pt>
                <c:pt idx="23">
                  <c:v>Spain</c:v>
                </c:pt>
                <c:pt idx="24">
                  <c:v>Sweden</c:v>
                </c:pt>
                <c:pt idx="25">
                  <c:v>UK (England)</c:v>
                </c:pt>
                <c:pt idx="26">
                  <c:v>UK (N. Ireland)</c:v>
                </c:pt>
                <c:pt idx="27">
                  <c:v>UK (Scotland)</c:v>
                </c:pt>
                <c:pt idx="28">
                  <c:v>UK (Wales)</c:v>
                </c:pt>
                <c:pt idx="29">
                  <c:v>Total average (29)</c:v>
                </c:pt>
              </c:strCache>
            </c:strRef>
          </c:cat>
          <c:val>
            <c:numRef>
              <c:f>'3c.1 - ISCED 1&amp;2'!$W$3:$W$32</c:f>
              <c:numCache>
                <c:formatCode>0.00</c:formatCode>
                <c:ptCount val="30"/>
                <c:pt idx="0">
                  <c:v>27.062948467058057</c:v>
                </c:pt>
                <c:pt idx="1">
                  <c:v>11.732684304399523</c:v>
                </c:pt>
                <c:pt idx="2">
                  <c:v>43.586875466070097</c:v>
                </c:pt>
                <c:pt idx="3">
                  <c:v>54.597270136493172</c:v>
                </c:pt>
                <c:pt idx="4">
                  <c:v>33.609555728123595</c:v>
                </c:pt>
                <c:pt idx="5">
                  <c:v>24.988913525498891</c:v>
                </c:pt>
                <c:pt idx="6">
                  <c:v>21.688555347091931</c:v>
                </c:pt>
                <c:pt idx="7">
                  <c:v>33.395226281646302</c:v>
                </c:pt>
                <c:pt idx="8">
                  <c:v>19.359842627571496</c:v>
                </c:pt>
                <c:pt idx="9">
                  <c:v>39.010374033176859</c:v>
                </c:pt>
                <c:pt idx="10">
                  <c:v>28.5908236440855</c:v>
                </c:pt>
                <c:pt idx="11">
                  <c:v>62.117440328012883</c:v>
                </c:pt>
                <c:pt idx="12">
                  <c:v>60.23481270436163</c:v>
                </c:pt>
                <c:pt idx="13">
                  <c:v>55.907432242772039</c:v>
                </c:pt>
                <c:pt idx="14">
                  <c:v>25.714764819317516</c:v>
                </c:pt>
                <c:pt idx="15">
                  <c:v>52.405902480752772</c:v>
                </c:pt>
                <c:pt idx="16">
                  <c:v>35.454545454545453</c:v>
                </c:pt>
                <c:pt idx="17">
                  <c:v>61.159420289855071</c:v>
                </c:pt>
                <c:pt idx="18">
                  <c:v>57.804966981323183</c:v>
                </c:pt>
                <c:pt idx="19">
                  <c:v>37.926768731335642</c:v>
                </c:pt>
                <c:pt idx="20">
                  <c:v>52.061941415760579</c:v>
                </c:pt>
                <c:pt idx="21">
                  <c:v>28.152019794823318</c:v>
                </c:pt>
                <c:pt idx="22">
                  <c:v>39.917991511402057</c:v>
                </c:pt>
                <c:pt idx="23">
                  <c:v>50.916184083149282</c:v>
                </c:pt>
                <c:pt idx="24">
                  <c:v>6.8499622071050652</c:v>
                </c:pt>
                <c:pt idx="25">
                  <c:v>33.97339132659588</c:v>
                </c:pt>
                <c:pt idx="26">
                  <c:v>28.965293545248134</c:v>
                </c:pt>
                <c:pt idx="27">
                  <c:v>56.705247928449296</c:v>
                </c:pt>
                <c:pt idx="28">
                  <c:v>19.802161568052757</c:v>
                </c:pt>
                <c:pt idx="29">
                  <c:v>36.920527876556605</c:v>
                </c:pt>
              </c:numCache>
            </c:numRef>
          </c:val>
          <c:extLst>
            <c:ext xmlns:c16="http://schemas.microsoft.com/office/drawing/2014/chart" uri="{C3380CC4-5D6E-409C-BE32-E72D297353CC}">
              <c16:uniqueId val="{00000000-3A58-4EA4-8F7C-4C1765656B24}"/>
            </c:ext>
          </c:extLst>
        </c:ser>
        <c:ser>
          <c:idx val="1"/>
          <c:order val="1"/>
          <c:tx>
            <c:strRef>
              <c:f>'3c.1 - ISCED 1&amp;2'!$X$2</c:f>
              <c:strCache>
                <c:ptCount val="1"/>
                <c:pt idx="0">
                  <c:v>ISCED 2</c:v>
                </c:pt>
              </c:strCache>
            </c:strRef>
          </c:tx>
          <c:spPr>
            <a:solidFill>
              <a:schemeClr val="accent4"/>
            </a:solidFill>
            <a:ln>
              <a:noFill/>
            </a:ln>
            <a:effectLst/>
          </c:spPr>
          <c:invertIfNegative val="0"/>
          <c:dLbls>
            <c:dLbl>
              <c:idx val="3"/>
              <c:layout>
                <c:manualLayout>
                  <c:x val="-0.1242236024844721"/>
                  <c:y val="-8.5324232081908282E-4"/>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1927519929574018"/>
                      <c:h val="2.7653650802182149E-2"/>
                    </c:manualLayout>
                  </c15:layout>
                </c:ext>
                <c:ext xmlns:c16="http://schemas.microsoft.com/office/drawing/2014/chart" uri="{C3380CC4-5D6E-409C-BE32-E72D297353CC}">
                  <c16:uniqueId val="{00000000-3519-DE45-A69C-DB7428D90448}"/>
                </c:ext>
              </c:extLst>
            </c:dLbl>
            <c:dLbl>
              <c:idx val="1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446-F44C-8666-4840C3E8F2BE}"/>
                </c:ext>
              </c:extLst>
            </c:dLbl>
            <c:dLbl>
              <c:idx val="1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446-F44C-8666-4840C3E8F2BE}"/>
                </c:ext>
              </c:extLst>
            </c:dLbl>
            <c:dLbl>
              <c:idx val="1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446-F44C-8666-4840C3E8F2BE}"/>
                </c:ext>
              </c:extLst>
            </c:dLbl>
            <c:dLbl>
              <c:idx val="15"/>
              <c:layout>
                <c:manualLayout>
                  <c:x val="-0.12836438923395446"/>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19-DE45-A69C-DB7428D90448}"/>
                </c:ext>
              </c:extLst>
            </c:dLbl>
            <c:dLbl>
              <c:idx val="17"/>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446-F44C-8666-4840C3E8F2BE}"/>
                </c:ext>
              </c:extLst>
            </c:dLbl>
            <c:dLbl>
              <c:idx val="18"/>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446-F44C-8666-4840C3E8F2BE}"/>
                </c:ext>
              </c:extLst>
            </c:dLbl>
            <c:dLbl>
              <c:idx val="20"/>
              <c:layout>
                <c:manualLayout>
                  <c:x val="-0.12008281573498966"/>
                  <c:y val="8.5324232081911361E-4"/>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1927519929574018"/>
                      <c:h val="3.4479589368735054E-2"/>
                    </c:manualLayout>
                  </c15:layout>
                </c:ext>
                <c:ext xmlns:c16="http://schemas.microsoft.com/office/drawing/2014/chart" uri="{C3380CC4-5D6E-409C-BE32-E72D297353CC}">
                  <c16:uniqueId val="{00000002-3519-DE45-A69C-DB7428D90448}"/>
                </c:ext>
              </c:extLst>
            </c:dLbl>
            <c:dLbl>
              <c:idx val="27"/>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446-F44C-8666-4840C3E8F2BE}"/>
                </c:ext>
              </c:extLst>
            </c:dLbl>
            <c:dLbl>
              <c:idx val="29"/>
              <c:layout>
                <c:manualLayout>
                  <c:x val="-7.5913546780740329E-17"/>
                  <c:y val="-3.4129692832763252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1987577639751552"/>
                      <c:h val="1.9121227593991024E-2"/>
                    </c:manualLayout>
                  </c15:layout>
                </c:ext>
                <c:ext xmlns:c16="http://schemas.microsoft.com/office/drawing/2014/chart" uri="{C3380CC4-5D6E-409C-BE32-E72D297353CC}">
                  <c16:uniqueId val="{00000001-3E65-424A-9022-90B70459376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'3c.1 - ISCED 1&amp;2'!$V$3:$V$32</c:f>
              <c:strCache>
                <c:ptCount val="30"/>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Slovakia</c:v>
                </c:pt>
                <c:pt idx="22">
                  <c:v>Slovenia</c:v>
                </c:pt>
                <c:pt idx="23">
                  <c:v>Spain</c:v>
                </c:pt>
                <c:pt idx="24">
                  <c:v>Sweden</c:v>
                </c:pt>
                <c:pt idx="25">
                  <c:v>UK (England)</c:v>
                </c:pt>
                <c:pt idx="26">
                  <c:v>UK (N. Ireland)</c:v>
                </c:pt>
                <c:pt idx="27">
                  <c:v>UK (Scotland)</c:v>
                </c:pt>
                <c:pt idx="28">
                  <c:v>UK (Wales)</c:v>
                </c:pt>
                <c:pt idx="29">
                  <c:v>Total average (29)</c:v>
                </c:pt>
              </c:strCache>
            </c:strRef>
          </c:cat>
          <c:val>
            <c:numRef>
              <c:f>'3c.1 - ISCED 1&amp;2'!$X$3:$X$32</c:f>
              <c:numCache>
                <c:formatCode>0.00</c:formatCode>
                <c:ptCount val="30"/>
                <c:pt idx="0">
                  <c:v>41.674820613176777</c:v>
                </c:pt>
                <c:pt idx="1">
                  <c:v>7.3740338882282996</c:v>
                </c:pt>
                <c:pt idx="2">
                  <c:v>37.79269202087994</c:v>
                </c:pt>
                <c:pt idx="3">
                  <c:v>27.868606569671517</c:v>
                </c:pt>
                <c:pt idx="4">
                  <c:v>34.553684554706336</c:v>
                </c:pt>
                <c:pt idx="5">
                  <c:v>12.350332594235033</c:v>
                </c:pt>
                <c:pt idx="6">
                  <c:v>17.29330831769856</c:v>
                </c:pt>
                <c:pt idx="7">
                  <c:v>25.513120791407921</c:v>
                </c:pt>
                <c:pt idx="8">
                  <c:v>24.026209164399383</c:v>
                </c:pt>
                <c:pt idx="9">
                  <c:v>32.735838024757349</c:v>
                </c:pt>
                <c:pt idx="10">
                  <c:v>38.247580589013438</c:v>
                </c:pt>
                <c:pt idx="11">
                  <c:v>29.696880948894421</c:v>
                </c:pt>
                <c:pt idx="12">
                  <c:v>19.215251352850068</c:v>
                </c:pt>
                <c:pt idx="13">
                  <c:v>43.214296853070515</c:v>
                </c:pt>
                <c:pt idx="14">
                  <c:v>13.339481847908107</c:v>
                </c:pt>
                <c:pt idx="15">
                  <c:v>37.016146278870835</c:v>
                </c:pt>
                <c:pt idx="16">
                  <c:v>14.545454545454545</c:v>
                </c:pt>
                <c:pt idx="17">
                  <c:v>33.49143610013175</c:v>
                </c:pt>
                <c:pt idx="18">
                  <c:v>34.086213183162499</c:v>
                </c:pt>
                <c:pt idx="19">
                  <c:v>18.955504952211356</c:v>
                </c:pt>
                <c:pt idx="20">
                  <c:v>32.404312913030985</c:v>
                </c:pt>
                <c:pt idx="21">
                  <c:v>34.524173593928104</c:v>
                </c:pt>
                <c:pt idx="22">
                  <c:v>33.882454499676285</c:v>
                </c:pt>
                <c:pt idx="23">
                  <c:v>29.467448075172893</c:v>
                </c:pt>
                <c:pt idx="24">
                  <c:v>4.3556311413454267</c:v>
                </c:pt>
                <c:pt idx="25">
                  <c:v>17.981962389663554</c:v>
                </c:pt>
                <c:pt idx="26">
                  <c:v>31.034706454751866</c:v>
                </c:pt>
                <c:pt idx="27">
                  <c:v>37.793634091805863</c:v>
                </c:pt>
                <c:pt idx="28">
                  <c:v>23.255174940465288</c:v>
                </c:pt>
                <c:pt idx="29">
                  <c:v>28.05066156628428</c:v>
                </c:pt>
              </c:numCache>
            </c:numRef>
          </c:val>
          <c:extLst>
            <c:ext xmlns:c16="http://schemas.microsoft.com/office/drawing/2014/chart" uri="{C3380CC4-5D6E-409C-BE32-E72D297353CC}">
              <c16:uniqueId val="{00000001-3A58-4EA4-8F7C-4C1765656B24}"/>
            </c:ext>
          </c:extLst>
        </c:ser>
        <c:dLbls>
          <c:showLegendKey val="0"/>
          <c:showVal val="0"/>
          <c:showCatName val="0"/>
          <c:showSerName val="0"/>
          <c:showPercent val="0"/>
          <c:showBubbleSize val="0"/>
        </c:dLbls>
        <c:gapWidth val="3"/>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6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layout>
        <c:manualLayout>
          <c:xMode val="edge"/>
          <c:yMode val="edge"/>
          <c:x val="0.29232519848062472"/>
          <c:y val="0.9691417860310122"/>
          <c:w val="0.41534960303875057"/>
          <c:h val="3.0858213968987663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2885651875900176E-2"/>
          <c:w val="0.83713191231619777"/>
          <c:h val="0.92780816520072384"/>
        </c:manualLayout>
      </c:layout>
      <c:barChart>
        <c:barDir val="bar"/>
        <c:grouping val="clustered"/>
        <c:varyColors val="0"/>
        <c:ser>
          <c:idx val="0"/>
          <c:order val="0"/>
          <c:tx>
            <c:strRef>
              <c:f>'3c.1 - ISCED 1&amp;2'!$Z$2</c:f>
              <c:strCache>
                <c:ptCount val="1"/>
                <c:pt idx="0">
                  <c:v>ISCED 1</c:v>
                </c:pt>
              </c:strCache>
            </c:strRef>
          </c:tx>
          <c:spPr>
            <a:solidFill>
              <a:srgbClr val="17255B"/>
            </a:solidFill>
            <a:ln>
              <a:noFill/>
            </a:ln>
            <a:effectLst/>
          </c:spPr>
          <c:invertIfNegative val="0"/>
          <c:dLbls>
            <c:dLbl>
              <c:idx val="2"/>
              <c:layout>
                <c:manualLayout>
                  <c:x val="-0.22913256955810155"/>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7B6D-C145-86AD-C92991B75A60}"/>
                </c:ext>
              </c:extLst>
            </c:dLbl>
            <c:dLbl>
              <c:idx val="3"/>
              <c:layout>
                <c:manualLayout>
                  <c:x val="-0.20049099836333886"/>
                  <c:y val="0"/>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7B6D-C145-86AD-C92991B75A60}"/>
                </c:ext>
              </c:extLst>
            </c:dLbl>
            <c:dLbl>
              <c:idx val="4"/>
              <c:layout>
                <c:manualLayout>
                  <c:x val="-0.33960720130932898"/>
                  <c:y val="3.1384270388682343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7B6D-C145-86AD-C92991B75A60}"/>
                </c:ext>
              </c:extLst>
            </c:dLbl>
            <c:dLbl>
              <c:idx val="1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2294-6347-86A6-56E60AA5970F}"/>
                </c:ext>
              </c:extLst>
            </c:dLbl>
            <c:dLbl>
              <c:idx val="12"/>
              <c:layout>
                <c:manualLayout>
                  <c:x val="-0.22913256955810146"/>
                  <c:y val="6.2768540777364686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7B6D-C145-86AD-C92991B75A60}"/>
                </c:ext>
              </c:extLst>
            </c:dLbl>
            <c:dLbl>
              <c:idx val="1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2294-6347-86A6-56E60AA5970F}"/>
                </c:ext>
              </c:extLst>
            </c:dLbl>
            <c:dLbl>
              <c:idx val="15"/>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2294-6347-86A6-56E60AA5970F}"/>
                </c:ext>
              </c:extLst>
            </c:dLbl>
            <c:dLbl>
              <c:idx val="1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2294-6347-86A6-56E60AA5970F}"/>
                </c:ext>
              </c:extLst>
            </c:dLbl>
            <c:dLbl>
              <c:idx val="1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2294-6347-86A6-56E60AA5970F}"/>
                </c:ext>
              </c:extLst>
            </c:dLbl>
            <c:dLbl>
              <c:idx val="2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A-2294-6347-86A6-56E60AA5970F}"/>
                </c:ext>
              </c:extLst>
            </c:dLbl>
            <c:dLbl>
              <c:idx val="2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2294-6347-86A6-56E60AA5970F}"/>
                </c:ext>
              </c:extLst>
            </c:dLbl>
            <c:dLbl>
              <c:idx val="2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CC32-BB46-A2D8-31CD96C403C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'3c.1 - ISCED 1&amp;2'!$Y$3:$Y$32</c:f>
              <c:strCache>
                <c:ptCount val="30"/>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Slovakia</c:v>
                </c:pt>
                <c:pt idx="22">
                  <c:v>Slovenia</c:v>
                </c:pt>
                <c:pt idx="23">
                  <c:v>Spain</c:v>
                </c:pt>
                <c:pt idx="24">
                  <c:v>Sweden</c:v>
                </c:pt>
                <c:pt idx="25">
                  <c:v>UK (England)</c:v>
                </c:pt>
                <c:pt idx="26">
                  <c:v>UK (N. Ireland)</c:v>
                </c:pt>
                <c:pt idx="27">
                  <c:v>UK (Scotland)</c:v>
                </c:pt>
                <c:pt idx="28">
                  <c:v>UK (Wales)</c:v>
                </c:pt>
                <c:pt idx="29">
                  <c:v>Total average (29)</c:v>
                </c:pt>
              </c:strCache>
            </c:strRef>
          </c:cat>
          <c:val>
            <c:numRef>
              <c:f>'3c.1 - ISCED 1&amp;2'!$Z$3:$Z$32</c:f>
              <c:numCache>
                <c:formatCode>0.00</c:formatCode>
                <c:ptCount val="30"/>
                <c:pt idx="0">
                  <c:v>69.326370757180158</c:v>
                </c:pt>
                <c:pt idx="1">
                  <c:v>20.397286821705425</c:v>
                </c:pt>
                <c:pt idx="2">
                  <c:v>82.02357563850687</c:v>
                </c:pt>
                <c:pt idx="3">
                  <c:v>85.889570552147248</c:v>
                </c:pt>
                <c:pt idx="4">
                  <c:v>69.136347394749563</c:v>
                </c:pt>
                <c:pt idx="5">
                  <c:v>39.760098782854122</c:v>
                </c:pt>
                <c:pt idx="6">
                  <c:v>36.203440788374813</c:v>
                </c:pt>
                <c:pt idx="7">
                  <c:v>51.234921779422102</c:v>
                </c:pt>
                <c:pt idx="8">
                  <c:v>47.822697135811723</c:v>
                </c:pt>
                <c:pt idx="9">
                  <c:v>77.550478214665247</c:v>
                </c:pt>
                <c:pt idx="10">
                  <c:v>64.98654850451021</c:v>
                </c:pt>
                <c:pt idx="11">
                  <c:v>92.64031447914391</c:v>
                </c:pt>
                <c:pt idx="12">
                  <c:v>81.729496925511768</c:v>
                </c:pt>
                <c:pt idx="13">
                  <c:v>98.660355550663212</c:v>
                </c:pt>
                <c:pt idx="14">
                  <c:v>39.625322997416021</c:v>
                </c:pt>
                <c:pt idx="15">
                  <c:v>93.037824498125389</c:v>
                </c:pt>
                <c:pt idx="16">
                  <c:v>55.319148936170215</c:v>
                </c:pt>
                <c:pt idx="17">
                  <c:v>98.098055790363475</c:v>
                </c:pt>
                <c:pt idx="18">
                  <c:v>93.309790072591724</c:v>
                </c:pt>
                <c:pt idx="19">
                  <c:v>61.034959359902615</c:v>
                </c:pt>
                <c:pt idx="20">
                  <c:v>87.875539219439986</c:v>
                </c:pt>
                <c:pt idx="21">
                  <c:v>62.367578221236755</c:v>
                </c:pt>
                <c:pt idx="22">
                  <c:v>68.337438423645324</c:v>
                </c:pt>
                <c:pt idx="23">
                  <c:v>80.667676906828305</c:v>
                </c:pt>
                <c:pt idx="24">
                  <c:v>11.600000000000001</c:v>
                </c:pt>
                <c:pt idx="25">
                  <c:v>55.769755769755768</c:v>
                </c:pt>
                <c:pt idx="26">
                  <c:v>55.763706756587986</c:v>
                </c:pt>
                <c:pt idx="27">
                  <c:v>93.927081404342005</c:v>
                </c:pt>
                <c:pt idx="28">
                  <c:v>43.987792472024417</c:v>
                </c:pt>
                <c:pt idx="29">
                  <c:v>66.765700407936052</c:v>
                </c:pt>
              </c:numCache>
            </c:numRef>
          </c:val>
          <c:extLst>
            <c:ext xmlns:c16="http://schemas.microsoft.com/office/drawing/2014/chart" uri="{C3380CC4-5D6E-409C-BE32-E72D297353CC}">
              <c16:uniqueId val="{00000000-B66A-4851-941B-EC495867F19F}"/>
            </c:ext>
          </c:extLst>
        </c:ser>
        <c:ser>
          <c:idx val="1"/>
          <c:order val="1"/>
          <c:tx>
            <c:strRef>
              <c:f>'3c.1 - ISCED 1&amp;2'!$AA$2</c:f>
              <c:strCache>
                <c:ptCount val="1"/>
                <c:pt idx="0">
                  <c:v>ISCED2</c:v>
                </c:pt>
              </c:strCache>
            </c:strRef>
          </c:tx>
          <c:spPr>
            <a:solidFill>
              <a:schemeClr val="accent4"/>
            </a:solidFill>
            <a:ln>
              <a:noFill/>
            </a:ln>
            <a:effectLst/>
          </c:spPr>
          <c:invertIfNegative val="0"/>
          <c:dLbls>
            <c:dLbl>
              <c:idx val="2"/>
              <c:layout>
                <c:manualLayout>
                  <c:x val="-0.12684124386252052"/>
                  <c:y val="-1.71188906958827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6D-C145-86AD-C92991B75A60}"/>
                </c:ext>
              </c:extLst>
            </c:dLbl>
            <c:dLbl>
              <c:idx val="3"/>
              <c:layout>
                <c:manualLayout>
                  <c:x val="-0.12274959083469729"/>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6D-C145-86AD-C92991B75A60}"/>
                </c:ext>
              </c:extLst>
            </c:dLbl>
            <c:dLbl>
              <c:idx val="4"/>
              <c:layout>
                <c:manualLayout>
                  <c:x val="-0.11865793780687398"/>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E8-624B-B817-205422CE0431}"/>
                </c:ext>
              </c:extLst>
            </c:dLbl>
            <c:dLbl>
              <c:idx val="1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94-6347-86A6-56E60AA5970F}"/>
                </c:ext>
              </c:extLst>
            </c:dLbl>
            <c:dLbl>
              <c:idx val="12"/>
              <c:layout>
                <c:manualLayout>
                  <c:x val="-0.11865793780687406"/>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E8-624B-B817-205422CE0431}"/>
                </c:ext>
              </c:extLst>
            </c:dLbl>
            <c:dLbl>
              <c:idx val="1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294-6347-86A6-56E60AA5970F}"/>
                </c:ext>
              </c:extLst>
            </c:dLbl>
            <c:dLbl>
              <c:idx val="15"/>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294-6347-86A6-56E60AA5970F}"/>
                </c:ext>
              </c:extLst>
            </c:dLbl>
            <c:dLbl>
              <c:idx val="17"/>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294-6347-86A6-56E60AA5970F}"/>
                </c:ext>
              </c:extLst>
            </c:dLbl>
            <c:dLbl>
              <c:idx val="18"/>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294-6347-86A6-56E60AA5970F}"/>
                </c:ext>
              </c:extLst>
            </c:dLbl>
            <c:dLbl>
              <c:idx val="2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294-6347-86A6-56E60AA5970F}"/>
                </c:ext>
              </c:extLst>
            </c:dLbl>
            <c:dLbl>
              <c:idx val="27"/>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294-6347-86A6-56E60AA5970F}"/>
                </c:ext>
              </c:extLst>
            </c:dLbl>
            <c:dLbl>
              <c:idx val="29"/>
              <c:tx>
                <c:rich>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fld id="{2FD6D982-86CF-574E-BF60-60DAEF19EB0A}" type="VALUE">
                      <a:rPr lang="en-US" sz="1000">
                        <a:solidFill>
                          <a:srgbClr val="17255B"/>
                        </a:solidFill>
                        <a:latin typeface="Calibri" panose="020F0502020204030204" pitchFamily="34" charset="0"/>
                        <a:cs typeface="Calibri" panose="020F0502020204030204" pitchFamily="34" charset="0"/>
                      </a:rPr>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t>[VALUE]</a:t>
                    </a:fld>
                    <a:endParaRPr lang="en-GB"/>
                  </a:p>
                </c:rich>
              </c:tx>
              <c:spPr>
                <a:noFill/>
                <a:ln>
                  <a:noFill/>
                </a:ln>
                <a:effectLst/>
              </c:spPr>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C32-BB46-A2D8-31CD96C403C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'3c.1 - ISCED 1&amp;2'!$Y$3:$Y$32</c:f>
              <c:strCache>
                <c:ptCount val="30"/>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Iceland </c:v>
                </c:pt>
                <c:pt idx="12">
                  <c:v>Ireland</c:v>
                </c:pt>
                <c:pt idx="13">
                  <c:v>Italy</c:v>
                </c:pt>
                <c:pt idx="14">
                  <c:v>Latvia</c:v>
                </c:pt>
                <c:pt idx="15">
                  <c:v>Lithuania</c:v>
                </c:pt>
                <c:pt idx="16">
                  <c:v>Luxembourg</c:v>
                </c:pt>
                <c:pt idx="17">
                  <c:v>Malta</c:v>
                </c:pt>
                <c:pt idx="18">
                  <c:v>Norway</c:v>
                </c:pt>
                <c:pt idx="19">
                  <c:v>Poland</c:v>
                </c:pt>
                <c:pt idx="20">
                  <c:v>Portugal</c:v>
                </c:pt>
                <c:pt idx="21">
                  <c:v>Slovakia</c:v>
                </c:pt>
                <c:pt idx="22">
                  <c:v>Slovenia</c:v>
                </c:pt>
                <c:pt idx="23">
                  <c:v>Spain</c:v>
                </c:pt>
                <c:pt idx="24">
                  <c:v>Sweden</c:v>
                </c:pt>
                <c:pt idx="25">
                  <c:v>UK (England)</c:v>
                </c:pt>
                <c:pt idx="26">
                  <c:v>UK (N. Ireland)</c:v>
                </c:pt>
                <c:pt idx="27">
                  <c:v>UK (Scotland)</c:v>
                </c:pt>
                <c:pt idx="28">
                  <c:v>UK (Wales)</c:v>
                </c:pt>
                <c:pt idx="29">
                  <c:v>Total average (29)</c:v>
                </c:pt>
              </c:strCache>
            </c:strRef>
          </c:cat>
          <c:val>
            <c:numRef>
              <c:f>'3c.1 - ISCED 1&amp;2'!$AA$3:$AA$32</c:f>
              <c:numCache>
                <c:formatCode>0.00</c:formatCode>
                <c:ptCount val="30"/>
                <c:pt idx="0">
                  <c:v>68.360864040660744</c:v>
                </c:pt>
                <c:pt idx="1">
                  <c:v>17.359167249825052</c:v>
                </c:pt>
                <c:pt idx="2">
                  <c:v>80.649267982176951</c:v>
                </c:pt>
                <c:pt idx="3">
                  <c:v>76.492383696994651</c:v>
                </c:pt>
                <c:pt idx="4">
                  <c:v>67.242647789863</c:v>
                </c:pt>
                <c:pt idx="5">
                  <c:v>33.243807818561621</c:v>
                </c:pt>
                <c:pt idx="6">
                  <c:v>43.133462282398455</c:v>
                </c:pt>
                <c:pt idx="7">
                  <c:v>73.272705145651472</c:v>
                </c:pt>
                <c:pt idx="8">
                  <c:v>40.36833775256418</c:v>
                </c:pt>
                <c:pt idx="9">
                  <c:v>65.871121718377097</c:v>
                </c:pt>
                <c:pt idx="10">
                  <c:v>68.293137742416704</c:v>
                </c:pt>
                <c:pt idx="11">
                  <c:v>90.133333333333326</c:v>
                </c:pt>
                <c:pt idx="12">
                  <c:v>73.062381852551979</c:v>
                </c:pt>
                <c:pt idx="13">
                  <c:v>99.72506117748668</c:v>
                </c:pt>
                <c:pt idx="14">
                  <c:v>37.998566993073801</c:v>
                </c:pt>
                <c:pt idx="15">
                  <c:v>84.758523596743586</c:v>
                </c:pt>
                <c:pt idx="16">
                  <c:v>40.506329113924053</c:v>
                </c:pt>
                <c:pt idx="17">
                  <c:v>88.943317004898532</c:v>
                </c:pt>
                <c:pt idx="18">
                  <c:v>89.581558773424192</c:v>
                </c:pt>
                <c:pt idx="19">
                  <c:v>50.066597294484914</c:v>
                </c:pt>
                <c:pt idx="20">
                  <c:v>79.510204081632651</c:v>
                </c:pt>
                <c:pt idx="21">
                  <c:v>62.930117062788227</c:v>
                </c:pt>
                <c:pt idx="22">
                  <c:v>81.473793461338872</c:v>
                </c:pt>
                <c:pt idx="23">
                  <c:v>79.89752294731548</c:v>
                </c:pt>
                <c:pt idx="24">
                  <c:v>10.63682510383018</c:v>
                </c:pt>
                <c:pt idx="25">
                  <c:v>46.009950574449284</c:v>
                </c:pt>
                <c:pt idx="26">
                  <c:v>64.578833693304531</c:v>
                </c:pt>
                <c:pt idx="27">
                  <c:v>95.369986226123899</c:v>
                </c:pt>
                <c:pt idx="28">
                  <c:v>42.295518907213058</c:v>
                </c:pt>
                <c:pt idx="29">
                  <c:v>62.751256150717282</c:v>
                </c:pt>
              </c:numCache>
            </c:numRef>
          </c:val>
          <c:extLst>
            <c:ext xmlns:c16="http://schemas.microsoft.com/office/drawing/2014/chart" uri="{C3380CC4-5D6E-409C-BE32-E72D297353CC}">
              <c16:uniqueId val="{00000001-B66A-4851-941B-EC495867F19F}"/>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layout>
        <c:manualLayout>
          <c:xMode val="edge"/>
          <c:yMode val="edge"/>
          <c:x val="0.3003376419191463"/>
          <c:y val="0.96904405822849138"/>
          <c:w val="0.39932471616170728"/>
          <c:h val="3.0955941771508639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63895511424411E-2"/>
          <c:y val="5.9233716475095788E-2"/>
          <c:w val="0.85585138600719102"/>
          <c:h val="0.9254406130268199"/>
        </c:manualLayout>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546B-4403-A2A4-8320EBC6C264}"/>
              </c:ext>
            </c:extLst>
          </c:dPt>
          <c:dPt>
            <c:idx val="23"/>
            <c:invertIfNegative val="0"/>
            <c:bubble3D val="0"/>
            <c:spPr>
              <a:solidFill>
                <a:srgbClr val="F9C623"/>
              </a:solidFill>
              <a:ln>
                <a:noFill/>
              </a:ln>
              <a:effectLst/>
            </c:spPr>
            <c:extLst>
              <c:ext xmlns:c16="http://schemas.microsoft.com/office/drawing/2014/chart" uri="{C3380CC4-5D6E-409C-BE32-E72D297353CC}">
                <c16:uniqueId val="{00000003-546B-4403-A2A4-8320EBC6C264}"/>
              </c:ext>
            </c:extLst>
          </c:dPt>
          <c:dPt>
            <c:idx val="27"/>
            <c:invertIfNegative val="0"/>
            <c:bubble3D val="0"/>
            <c:extLst>
              <c:ext xmlns:c16="http://schemas.microsoft.com/office/drawing/2014/chart" uri="{C3380CC4-5D6E-409C-BE32-E72D297353CC}">
                <c16:uniqueId val="{00000005-546B-4403-A2A4-8320EBC6C264}"/>
              </c:ext>
            </c:extLst>
          </c:dPt>
          <c:dLbls>
            <c:dLbl>
              <c:idx val="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8F80-3740-8241-599C0B79E007}"/>
                </c:ext>
              </c:extLst>
            </c:dLbl>
            <c:dLbl>
              <c:idx val="1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8F80-3740-8241-599C0B79E007}"/>
                </c:ext>
              </c:extLst>
            </c:dLbl>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546B-4403-A2A4-8320EBC6C26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'3c.2 - ISCED 1&amp;2 '!$N$3:$N$26</c:f>
              <c:strCache>
                <c:ptCount val="24"/>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(Wales)</c:v>
                </c:pt>
                <c:pt idx="23">
                  <c:v>Total average (23)</c:v>
                </c:pt>
              </c:strCache>
            </c:strRef>
          </c:cat>
          <c:val>
            <c:numRef>
              <c:f>'3c.2 - ISCED 1&amp;2 '!$O$3:$O$26</c:f>
              <c:numCache>
                <c:formatCode>0.00</c:formatCode>
                <c:ptCount val="24"/>
                <c:pt idx="0">
                  <c:v>0.79045488441461598</c:v>
                </c:pt>
                <c:pt idx="1">
                  <c:v>10.304484775761212</c:v>
                </c:pt>
                <c:pt idx="2">
                  <c:v>6.274778272775575</c:v>
                </c:pt>
                <c:pt idx="3">
                  <c:v>26.984478935698448</c:v>
                </c:pt>
                <c:pt idx="4">
                  <c:v>51.222013758599125</c:v>
                </c:pt>
                <c:pt idx="5">
                  <c:v>23.858961123010307</c:v>
                </c:pt>
                <c:pt idx="6">
                  <c:v>1.0173568767645045</c:v>
                </c:pt>
                <c:pt idx="7">
                  <c:v>33.161595766901065</c:v>
                </c:pt>
                <c:pt idx="8">
                  <c:v>5.7841558061209541</c:v>
                </c:pt>
                <c:pt idx="9">
                  <c:v>9.5244469090005168</c:v>
                </c:pt>
                <c:pt idx="10">
                  <c:v>12.509432380313573</c:v>
                </c:pt>
                <c:pt idx="11">
                  <c:v>2.4299615055603083</c:v>
                </c:pt>
                <c:pt idx="12">
                  <c:v>26.36363636363636</c:v>
                </c:pt>
                <c:pt idx="13">
                  <c:v>5.2769112344528617</c:v>
                </c:pt>
                <c:pt idx="14">
                  <c:v>2.6829402819254136</c:v>
                </c:pt>
                <c:pt idx="15">
                  <c:v>14.029065283469688</c:v>
                </c:pt>
                <c:pt idx="16">
                  <c:v>13.089048903222219</c:v>
                </c:pt>
                <c:pt idx="17">
                  <c:v>3.5896698079274869</c:v>
                </c:pt>
                <c:pt idx="18">
                  <c:v>4.2113744790126892</c:v>
                </c:pt>
                <c:pt idx="19">
                  <c:v>49.230769230769234</c:v>
                </c:pt>
                <c:pt idx="20">
                  <c:v>3.4111551746194193</c:v>
                </c:pt>
                <c:pt idx="21">
                  <c:v>12.156989944858903</c:v>
                </c:pt>
                <c:pt idx="22">
                  <c:v>23.172742260487269</c:v>
                </c:pt>
                <c:pt idx="23">
                  <c:v>12.896460703642948</c:v>
                </c:pt>
              </c:numCache>
            </c:numRef>
          </c:val>
          <c:extLst>
            <c:ext xmlns:c16="http://schemas.microsoft.com/office/drawing/2014/chart" uri="{C3380CC4-5D6E-409C-BE32-E72D297353CC}">
              <c16:uniqueId val="{00000006-546B-4403-A2A4-8320EBC6C264}"/>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5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266999233791424E-2"/>
          <c:y val="4.2496443669732126E-2"/>
          <c:w val="0.82496894409937893"/>
          <c:h val="0.91325773209646499"/>
        </c:manualLayout>
      </c:layout>
      <c:barChart>
        <c:barDir val="bar"/>
        <c:grouping val="clustered"/>
        <c:varyColors val="0"/>
        <c:ser>
          <c:idx val="0"/>
          <c:order val="0"/>
          <c:tx>
            <c:strRef>
              <c:f>Blad1!$Q$2</c:f>
              <c:strCache>
                <c:ptCount val="1"/>
                <c:pt idx="0">
                  <c:v>Boys</c:v>
                </c:pt>
              </c:strCache>
            </c:strRef>
          </c:tx>
          <c:spPr>
            <a:solidFill>
              <a:srgbClr val="17255B"/>
            </a:solidFill>
            <a:ln>
              <a:noFill/>
            </a:ln>
            <a:effectLst/>
          </c:spPr>
          <c:invertIfNegative val="0"/>
          <c:dLbls>
            <c:dLbl>
              <c:idx val="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AE43-7C4D-B547-E6D2CCB68531}"/>
                </c:ext>
              </c:extLst>
            </c:dLbl>
            <c:dLbl>
              <c:idx val="1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AE43-7C4D-B547-E6D2CCB68531}"/>
                </c:ext>
              </c:extLst>
            </c:dLbl>
            <c:dLbl>
              <c:idx val="2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AE43-7C4D-B547-E6D2CCB6853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Blad1!$P$3:$P$24</c:f>
              <c:strCache>
                <c:ptCount val="22"/>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Poland</c:v>
                </c:pt>
                <c:pt idx="13">
                  <c:v>Portugal</c:v>
                </c:pt>
                <c:pt idx="14">
                  <c:v>Slovakia</c:v>
                </c:pt>
                <c:pt idx="15">
                  <c:v>Slovenia</c:v>
                </c:pt>
                <c:pt idx="16">
                  <c:v>Spain</c:v>
                </c:pt>
                <c:pt idx="17">
                  <c:v>Switzerland</c:v>
                </c:pt>
                <c:pt idx="18">
                  <c:v>UK (England)</c:v>
                </c:pt>
                <c:pt idx="19">
                  <c:v>UK (N. Ireland)</c:v>
                </c:pt>
                <c:pt idx="20">
                  <c:v>UK (Wales)</c:v>
                </c:pt>
                <c:pt idx="21">
                  <c:v>Total average (21)</c:v>
                </c:pt>
              </c:strCache>
            </c:strRef>
          </c:cat>
          <c:val>
            <c:numRef>
              <c:f>Blad1!$Q$3:$Q$24</c:f>
              <c:numCache>
                <c:formatCode>0.00</c:formatCode>
                <c:ptCount val="22"/>
                <c:pt idx="0">
                  <c:v>0.46234153616703955</c:v>
                </c:pt>
                <c:pt idx="1">
                  <c:v>7.0796460176991154</c:v>
                </c:pt>
                <c:pt idx="2">
                  <c:v>4.0728327951935261</c:v>
                </c:pt>
                <c:pt idx="3">
                  <c:v>20.266075388026607</c:v>
                </c:pt>
                <c:pt idx="4">
                  <c:v>35.854909318323955</c:v>
                </c:pt>
                <c:pt idx="5">
                  <c:v>15.202936961646918</c:v>
                </c:pt>
                <c:pt idx="6">
                  <c:v>0.6481682564608009</c:v>
                </c:pt>
                <c:pt idx="7">
                  <c:v>21.395251688365942</c:v>
                </c:pt>
                <c:pt idx="8">
                  <c:v>4.4808903206911701</c:v>
                </c:pt>
                <c:pt idx="9">
                  <c:v>7.7767367152991564</c:v>
                </c:pt>
                <c:pt idx="10">
                  <c:v>8.3172633520583545</c:v>
                </c:pt>
                <c:pt idx="11">
                  <c:v>1.6012617621899059</c:v>
                </c:pt>
                <c:pt idx="12">
                  <c:v>1.6176435826117104</c:v>
                </c:pt>
                <c:pt idx="13">
                  <c:v>8.7316829736718748</c:v>
                </c:pt>
                <c:pt idx="14">
                  <c:v>7.1297506185882291</c:v>
                </c:pt>
                <c:pt idx="15">
                  <c:v>2.2156679375584489</c:v>
                </c:pt>
                <c:pt idx="16">
                  <c:v>2.7071051365436007</c:v>
                </c:pt>
                <c:pt idx="17">
                  <c:v>30.29142663503897</c:v>
                </c:pt>
                <c:pt idx="18">
                  <c:v>2.5706792887296914</c:v>
                </c:pt>
                <c:pt idx="19">
                  <c:v>9.1274732403503069</c:v>
                </c:pt>
                <c:pt idx="20">
                  <c:v>17.026928008792819</c:v>
                </c:pt>
                <c:pt idx="21">
                  <c:v>8.5835031192219908</c:v>
                </c:pt>
              </c:numCache>
            </c:numRef>
          </c:val>
          <c:extLst>
            <c:ext xmlns:c16="http://schemas.microsoft.com/office/drawing/2014/chart" uri="{C3380CC4-5D6E-409C-BE32-E72D297353CC}">
              <c16:uniqueId val="{00000000-C8DA-430A-AC5C-7E25249E37D4}"/>
            </c:ext>
          </c:extLst>
        </c:ser>
        <c:ser>
          <c:idx val="1"/>
          <c:order val="1"/>
          <c:tx>
            <c:strRef>
              <c:f>Blad1!$R$2</c:f>
              <c:strCache>
                <c:ptCount val="1"/>
                <c:pt idx="0">
                  <c:v>Girls</c:v>
                </c:pt>
              </c:strCache>
            </c:strRef>
          </c:tx>
          <c:spPr>
            <a:solidFill>
              <a:srgbClr val="F9C623"/>
            </a:solidFill>
            <a:ln>
              <a:noFill/>
            </a:ln>
            <a:effectLst/>
          </c:spPr>
          <c:invertIfNegative val="0"/>
          <c:dLbls>
            <c:dLbl>
              <c:idx val="4"/>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E43-7C4D-B547-E6D2CCB68531}"/>
                </c:ext>
              </c:extLst>
            </c:dLbl>
            <c:dLbl>
              <c:idx val="17"/>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E43-7C4D-B547-E6D2CCB68531}"/>
                </c:ext>
              </c:extLst>
            </c:dLbl>
            <c:dLbl>
              <c:idx val="2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5-AE43-7C4D-B547-E6D2CCB6853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Blad1!$P$3:$P$24</c:f>
              <c:strCache>
                <c:ptCount val="22"/>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Poland</c:v>
                </c:pt>
                <c:pt idx="13">
                  <c:v>Portugal</c:v>
                </c:pt>
                <c:pt idx="14">
                  <c:v>Slovakia</c:v>
                </c:pt>
                <c:pt idx="15">
                  <c:v>Slovenia</c:v>
                </c:pt>
                <c:pt idx="16">
                  <c:v>Spain</c:v>
                </c:pt>
                <c:pt idx="17">
                  <c:v>Switzerland</c:v>
                </c:pt>
                <c:pt idx="18">
                  <c:v>UK (England)</c:v>
                </c:pt>
                <c:pt idx="19">
                  <c:v>UK (N. Ireland)</c:v>
                </c:pt>
                <c:pt idx="20">
                  <c:v>UK (Wales)</c:v>
                </c:pt>
                <c:pt idx="21">
                  <c:v>Total average (21)</c:v>
                </c:pt>
              </c:strCache>
            </c:strRef>
          </c:cat>
          <c:val>
            <c:numRef>
              <c:f>Blad1!$R$3:$R$24</c:f>
              <c:numCache>
                <c:formatCode>0.00</c:formatCode>
                <c:ptCount val="22"/>
                <c:pt idx="0">
                  <c:v>0.32811334824757643</c:v>
                </c:pt>
                <c:pt idx="1">
                  <c:v>3.2248387580620972</c:v>
                </c:pt>
                <c:pt idx="2">
                  <c:v>2.2019454775820493</c:v>
                </c:pt>
                <c:pt idx="3">
                  <c:v>6.7184035476718407</c:v>
                </c:pt>
                <c:pt idx="4">
                  <c:v>15.367104440275172</c:v>
                </c:pt>
                <c:pt idx="5">
                  <c:v>8.6560241613633924</c:v>
                </c:pt>
                <c:pt idx="6">
                  <c:v>0.36918862030370359</c:v>
                </c:pt>
                <c:pt idx="7">
                  <c:v>11.766344078535125</c:v>
                </c:pt>
                <c:pt idx="8">
                  <c:v>1.3032654854297847</c:v>
                </c:pt>
                <c:pt idx="9">
                  <c:v>1.7477101937013597</c:v>
                </c:pt>
                <c:pt idx="10">
                  <c:v>4.1921690282552193</c:v>
                </c:pt>
                <c:pt idx="11">
                  <c:v>0.82869974337040198</c:v>
                </c:pt>
                <c:pt idx="12">
                  <c:v>1.065296699313703</c:v>
                </c:pt>
                <c:pt idx="13">
                  <c:v>5.2973823097978139</c:v>
                </c:pt>
                <c:pt idx="14">
                  <c:v>5.9592982846339906</c:v>
                </c:pt>
                <c:pt idx="15">
                  <c:v>1.3740018703690382</c:v>
                </c:pt>
                <c:pt idx="16">
                  <c:v>1.5042693424690885</c:v>
                </c:pt>
                <c:pt idx="17">
                  <c:v>18.93934259573026</c:v>
                </c:pt>
                <c:pt idx="18">
                  <c:v>0.84047588588972744</c:v>
                </c:pt>
                <c:pt idx="19">
                  <c:v>3.0295167045085956</c:v>
                </c:pt>
                <c:pt idx="20">
                  <c:v>6.1458142516944498</c:v>
                </c:pt>
                <c:pt idx="21">
                  <c:v>4.5898046392015033</c:v>
                </c:pt>
              </c:numCache>
            </c:numRef>
          </c:val>
          <c:extLst>
            <c:ext xmlns:c16="http://schemas.microsoft.com/office/drawing/2014/chart" uri="{C3380CC4-5D6E-409C-BE32-E72D297353CC}">
              <c16:uniqueId val="{00000001-C8DA-430A-AC5C-7E25249E37D4}"/>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723052317575347E-2"/>
          <c:y val="3.3655007625557377E-2"/>
          <c:w val="0.82187104930467758"/>
          <c:h val="0.93095910216660982"/>
        </c:manualLayout>
      </c:layout>
      <c:barChart>
        <c:barDir val="bar"/>
        <c:grouping val="clustered"/>
        <c:varyColors val="0"/>
        <c:ser>
          <c:idx val="0"/>
          <c:order val="0"/>
          <c:tx>
            <c:strRef>
              <c:f>Blad1!$E$3</c:f>
              <c:strCache>
                <c:ptCount val="1"/>
                <c:pt idx="0">
                  <c:v>Boys</c:v>
                </c:pt>
              </c:strCache>
            </c:strRef>
          </c:tx>
          <c:spPr>
            <a:solidFill>
              <a:srgbClr val="17255B"/>
            </a:solidFill>
            <a:ln>
              <a:noFill/>
            </a:ln>
            <a:effectLst/>
          </c:spPr>
          <c:invertIfNegative val="0"/>
          <c:dLbls>
            <c:dLbl>
              <c:idx val="24"/>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08F2-2B4A-BCF9-593397B3C29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Blad1!$D$4:$D$28</c:f>
              <c:strCache>
                <c:ptCount val="25"/>
                <c:pt idx="0">
                  <c:v>Belgium (Fl)</c:v>
                </c:pt>
                <c:pt idx="1">
                  <c:v>Bulgaria</c:v>
                </c:pt>
                <c:pt idx="2">
                  <c:v>Cyprus</c:v>
                </c:pt>
                <c:pt idx="3">
                  <c:v>Czech Republic</c:v>
                </c:pt>
                <c:pt idx="4">
                  <c:v>Estonia</c:v>
                </c:pt>
                <c:pt idx="5">
                  <c:v>Finland</c:v>
                </c:pt>
                <c:pt idx="6">
                  <c:v>France</c:v>
                </c:pt>
                <c:pt idx="7">
                  <c:v>Greece</c:v>
                </c:pt>
                <c:pt idx="8">
                  <c:v>Hungary</c:v>
                </c:pt>
                <c:pt idx="9">
                  <c:v>Iceland </c:v>
                </c:pt>
                <c:pt idx="10">
                  <c:v>Italy</c:v>
                </c:pt>
                <c:pt idx="11">
                  <c:v>Lithuania</c:v>
                </c:pt>
                <c:pt idx="12">
                  <c:v>Malta</c:v>
                </c:pt>
                <c:pt idx="13">
                  <c:v>Netherlands</c:v>
                </c:pt>
                <c:pt idx="14">
                  <c:v>Poland</c:v>
                </c:pt>
                <c:pt idx="15">
                  <c:v>Portugal</c:v>
                </c:pt>
                <c:pt idx="16">
                  <c:v>Serbia</c:v>
                </c:pt>
                <c:pt idx="17">
                  <c:v>Slovakia</c:v>
                </c:pt>
                <c:pt idx="18">
                  <c:v>Slovenia</c:v>
                </c:pt>
                <c:pt idx="19">
                  <c:v>Spain</c:v>
                </c:pt>
                <c:pt idx="20">
                  <c:v>Switzerland</c:v>
                </c:pt>
                <c:pt idx="21">
                  <c:v>UK (England)</c:v>
                </c:pt>
                <c:pt idx="22">
                  <c:v>UK (N. Ireland)</c:v>
                </c:pt>
                <c:pt idx="23">
                  <c:v>UK (Wales)</c:v>
                </c:pt>
                <c:pt idx="24">
                  <c:v>Total average (24)</c:v>
                </c:pt>
              </c:strCache>
            </c:strRef>
          </c:cat>
          <c:val>
            <c:numRef>
              <c:f>Blad1!$E$4:$E$28</c:f>
              <c:numCache>
                <c:formatCode>0.00</c:formatCode>
                <c:ptCount val="25"/>
                <c:pt idx="0">
                  <c:v>69.281914893617028</c:v>
                </c:pt>
                <c:pt idx="1">
                  <c:v>66.348655680832607</c:v>
                </c:pt>
                <c:pt idx="2">
                  <c:v>68.23361823361823</c:v>
                </c:pt>
                <c:pt idx="3">
                  <c:v>66.177812540737847</c:v>
                </c:pt>
                <c:pt idx="4">
                  <c:v>67.500762892889838</c:v>
                </c:pt>
                <c:pt idx="5">
                  <c:v>70.041753653444673</c:v>
                </c:pt>
                <c:pt idx="6">
                  <c:v>67.583035915243883</c:v>
                </c:pt>
                <c:pt idx="7">
                  <c:v>73.362222788682132</c:v>
                </c:pt>
                <c:pt idx="8">
                  <c:v>68.779015784586818</c:v>
                </c:pt>
                <c:pt idx="9">
                  <c:v>65.55965559655597</c:v>
                </c:pt>
                <c:pt idx="10">
                  <c:v>72.585116212950467</c:v>
                </c:pt>
                <c:pt idx="11">
                  <c:v>61.497693591127685</c:v>
                </c:pt>
                <c:pt idx="12">
                  <c:v>70.438799076212462</c:v>
                </c:pt>
                <c:pt idx="13">
                  <c:v>72.328398384925976</c:v>
                </c:pt>
                <c:pt idx="14">
                  <c:v>68.548927613941018</c:v>
                </c:pt>
                <c:pt idx="15">
                  <c:v>72.295938882187372</c:v>
                </c:pt>
                <c:pt idx="16">
                  <c:v>59.340659340659343</c:v>
                </c:pt>
                <c:pt idx="17">
                  <c:v>57.230320699708457</c:v>
                </c:pt>
                <c:pt idx="18">
                  <c:v>67.680278019113814</c:v>
                </c:pt>
                <c:pt idx="19">
                  <c:v>68.556464811783954</c:v>
                </c:pt>
                <c:pt idx="20">
                  <c:v>70.777202072538856</c:v>
                </c:pt>
                <c:pt idx="21">
                  <c:v>68.777558870438128</c:v>
                </c:pt>
                <c:pt idx="22">
                  <c:v>72.118959107806688</c:v>
                </c:pt>
                <c:pt idx="23">
                  <c:v>70.472440944881882</c:v>
                </c:pt>
                <c:pt idx="24">
                  <c:v>67.760000000000005</c:v>
                </c:pt>
              </c:numCache>
            </c:numRef>
          </c:val>
          <c:extLst>
            <c:ext xmlns:c16="http://schemas.microsoft.com/office/drawing/2014/chart" uri="{C3380CC4-5D6E-409C-BE32-E72D297353CC}">
              <c16:uniqueId val="{00000000-B44E-4D52-80A6-A70A932DC447}"/>
            </c:ext>
          </c:extLst>
        </c:ser>
        <c:ser>
          <c:idx val="1"/>
          <c:order val="1"/>
          <c:tx>
            <c:strRef>
              <c:f>Blad1!$F$3</c:f>
              <c:strCache>
                <c:ptCount val="1"/>
                <c:pt idx="0">
                  <c:v>Girls</c:v>
                </c:pt>
              </c:strCache>
            </c:strRef>
          </c:tx>
          <c:spPr>
            <a:solidFill>
              <a:srgbClr val="F9C623"/>
            </a:solidFill>
            <a:ln>
              <a:noFill/>
            </a:ln>
            <a:effectLst/>
          </c:spPr>
          <c:invertIfNegative val="0"/>
          <c:dLbls>
            <c:dLbl>
              <c:idx val="24"/>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08F2-2B4A-BCF9-593397B3C29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Blad1!$D$4:$D$28</c:f>
              <c:strCache>
                <c:ptCount val="25"/>
                <c:pt idx="0">
                  <c:v>Belgium (Fl)</c:v>
                </c:pt>
                <c:pt idx="1">
                  <c:v>Bulgaria</c:v>
                </c:pt>
                <c:pt idx="2">
                  <c:v>Cyprus</c:v>
                </c:pt>
                <c:pt idx="3">
                  <c:v>Czech Republic</c:v>
                </c:pt>
                <c:pt idx="4">
                  <c:v>Estonia</c:v>
                </c:pt>
                <c:pt idx="5">
                  <c:v>Finland</c:v>
                </c:pt>
                <c:pt idx="6">
                  <c:v>France</c:v>
                </c:pt>
                <c:pt idx="7">
                  <c:v>Greece</c:v>
                </c:pt>
                <c:pt idx="8">
                  <c:v>Hungary</c:v>
                </c:pt>
                <c:pt idx="9">
                  <c:v>Iceland </c:v>
                </c:pt>
                <c:pt idx="10">
                  <c:v>Italy</c:v>
                </c:pt>
                <c:pt idx="11">
                  <c:v>Lithuania</c:v>
                </c:pt>
                <c:pt idx="12">
                  <c:v>Malta</c:v>
                </c:pt>
                <c:pt idx="13">
                  <c:v>Netherlands</c:v>
                </c:pt>
                <c:pt idx="14">
                  <c:v>Poland</c:v>
                </c:pt>
                <c:pt idx="15">
                  <c:v>Portugal</c:v>
                </c:pt>
                <c:pt idx="16">
                  <c:v>Serbia</c:v>
                </c:pt>
                <c:pt idx="17">
                  <c:v>Slovakia</c:v>
                </c:pt>
                <c:pt idx="18">
                  <c:v>Slovenia</c:v>
                </c:pt>
                <c:pt idx="19">
                  <c:v>Spain</c:v>
                </c:pt>
                <c:pt idx="20">
                  <c:v>Switzerland</c:v>
                </c:pt>
                <c:pt idx="21">
                  <c:v>UK (England)</c:v>
                </c:pt>
                <c:pt idx="22">
                  <c:v>UK (N. Ireland)</c:v>
                </c:pt>
                <c:pt idx="23">
                  <c:v>UK (Wales)</c:v>
                </c:pt>
                <c:pt idx="24">
                  <c:v>Total average (24)</c:v>
                </c:pt>
              </c:strCache>
            </c:strRef>
          </c:cat>
          <c:val>
            <c:numRef>
              <c:f>Blad1!$F$4:$F$28</c:f>
              <c:numCache>
                <c:formatCode>0.00</c:formatCode>
                <c:ptCount val="25"/>
                <c:pt idx="0">
                  <c:v>30.718085106382979</c:v>
                </c:pt>
                <c:pt idx="1">
                  <c:v>33.651344319167386</c:v>
                </c:pt>
                <c:pt idx="2">
                  <c:v>31.76638176638177</c:v>
                </c:pt>
                <c:pt idx="3">
                  <c:v>33.822187459262153</c:v>
                </c:pt>
                <c:pt idx="4">
                  <c:v>32.499237107110162</c:v>
                </c:pt>
                <c:pt idx="5">
                  <c:v>29.958246346555324</c:v>
                </c:pt>
                <c:pt idx="6">
                  <c:v>32.416964084756117</c:v>
                </c:pt>
                <c:pt idx="7">
                  <c:v>26.637777211317871</c:v>
                </c:pt>
                <c:pt idx="8">
                  <c:v>31.220984215413182</c:v>
                </c:pt>
                <c:pt idx="9">
                  <c:v>34.440344403444037</c:v>
                </c:pt>
                <c:pt idx="10">
                  <c:v>27.414883787049543</c:v>
                </c:pt>
                <c:pt idx="11">
                  <c:v>38.502306408872315</c:v>
                </c:pt>
                <c:pt idx="12">
                  <c:v>29.561200923787528</c:v>
                </c:pt>
                <c:pt idx="13">
                  <c:v>27.671601615074024</c:v>
                </c:pt>
                <c:pt idx="14">
                  <c:v>31.451072386058982</c:v>
                </c:pt>
                <c:pt idx="15">
                  <c:v>27.704061117812628</c:v>
                </c:pt>
                <c:pt idx="16">
                  <c:v>40.659340659340657</c:v>
                </c:pt>
                <c:pt idx="17">
                  <c:v>42.76967930029155</c:v>
                </c:pt>
                <c:pt idx="18">
                  <c:v>32.319721980886186</c:v>
                </c:pt>
                <c:pt idx="19">
                  <c:v>31.443535188216039</c:v>
                </c:pt>
                <c:pt idx="20">
                  <c:v>29.222797927461141</c:v>
                </c:pt>
                <c:pt idx="21">
                  <c:v>31.222441129561872</c:v>
                </c:pt>
                <c:pt idx="22">
                  <c:v>27.881040892193308</c:v>
                </c:pt>
                <c:pt idx="23">
                  <c:v>29.527559055118108</c:v>
                </c:pt>
                <c:pt idx="24">
                  <c:v>32.24</c:v>
                </c:pt>
              </c:numCache>
            </c:numRef>
          </c:val>
          <c:extLst>
            <c:ext xmlns:c16="http://schemas.microsoft.com/office/drawing/2014/chart" uri="{C3380CC4-5D6E-409C-BE32-E72D297353CC}">
              <c16:uniqueId val="{00000001-B44E-4D52-80A6-A70A932DC447}"/>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81167979002618E-2"/>
          <c:y val="4.3133012299082452E-2"/>
          <c:w val="0.81331266404199476"/>
          <c:h val="0.91023662718813036"/>
        </c:manualLayout>
      </c:layout>
      <c:barChart>
        <c:barDir val="bar"/>
        <c:grouping val="clustered"/>
        <c:varyColors val="0"/>
        <c:ser>
          <c:idx val="0"/>
          <c:order val="0"/>
          <c:tx>
            <c:strRef>
              <c:f>Blad1!$T$2</c:f>
              <c:strCache>
                <c:ptCount val="1"/>
                <c:pt idx="0">
                  <c:v>Boys</c:v>
                </c:pt>
              </c:strCache>
            </c:strRef>
          </c:tx>
          <c:spPr>
            <a:solidFill>
              <a:srgbClr val="17255B"/>
            </a:solidFill>
            <a:ln>
              <a:noFill/>
            </a:ln>
            <a:effectLst/>
          </c:spPr>
          <c:invertIfNegative val="0"/>
          <c:dLbls>
            <c:dLbl>
              <c:idx val="1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F39F-4346-82EC-0339786361B8}"/>
                </c:ext>
              </c:extLst>
            </c:dLbl>
            <c:dLbl>
              <c:idx val="1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39F-4346-82EC-0339786361B8}"/>
                </c:ext>
              </c:extLst>
            </c:dLbl>
            <c:dLbl>
              <c:idx val="2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F39F-4346-82EC-0339786361B8}"/>
                </c:ext>
              </c:extLst>
            </c:dLbl>
            <c:dLbl>
              <c:idx val="2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9F0-154C-BF6C-9E5FCA659CF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Blad1!$S$3:$S$24</c:f>
              <c:strCache>
                <c:ptCount val="22"/>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Poland</c:v>
                </c:pt>
                <c:pt idx="13">
                  <c:v>Portugal</c:v>
                </c:pt>
                <c:pt idx="14">
                  <c:v>Slovakia</c:v>
                </c:pt>
                <c:pt idx="15">
                  <c:v>Slovenia</c:v>
                </c:pt>
                <c:pt idx="16">
                  <c:v>Spain</c:v>
                </c:pt>
                <c:pt idx="17">
                  <c:v>Switzerland</c:v>
                </c:pt>
                <c:pt idx="18">
                  <c:v>UK (England)</c:v>
                </c:pt>
                <c:pt idx="19">
                  <c:v>UK (N. Ireland)</c:v>
                </c:pt>
                <c:pt idx="20">
                  <c:v>UK (Wales)</c:v>
                </c:pt>
                <c:pt idx="21">
                  <c:v>Total average (21)</c:v>
                </c:pt>
              </c:strCache>
            </c:strRef>
          </c:cat>
          <c:val>
            <c:numRef>
              <c:f>Blad1!$T$3:$T$24</c:f>
              <c:numCache>
                <c:formatCode>0.00</c:formatCode>
                <c:ptCount val="22"/>
                <c:pt idx="0">
                  <c:v>58.490566037735846</c:v>
                </c:pt>
                <c:pt idx="1">
                  <c:v>68.704512372634639</c:v>
                </c:pt>
                <c:pt idx="2">
                  <c:v>64.907995440481997</c:v>
                </c:pt>
                <c:pt idx="3">
                  <c:v>75.102711585866885</c:v>
                </c:pt>
                <c:pt idx="4">
                  <c:v>69.999023246727873</c:v>
                </c:pt>
                <c:pt idx="5">
                  <c:v>63.720029062727058</c:v>
                </c:pt>
                <c:pt idx="6">
                  <c:v>63.711001642036123</c:v>
                </c:pt>
                <c:pt idx="7">
                  <c:v>64.518160823010703</c:v>
                </c:pt>
                <c:pt idx="8">
                  <c:v>77.468354430379748</c:v>
                </c:pt>
                <c:pt idx="9">
                  <c:v>81.650271029913668</c:v>
                </c:pt>
                <c:pt idx="10">
                  <c:v>66.487935656836456</c:v>
                </c:pt>
                <c:pt idx="11">
                  <c:v>65.896589658965894</c:v>
                </c:pt>
                <c:pt idx="12">
                  <c:v>60.293685756240819</c:v>
                </c:pt>
                <c:pt idx="13">
                  <c:v>62.239948259135488</c:v>
                </c:pt>
                <c:pt idx="14">
                  <c:v>54.471112999150385</c:v>
                </c:pt>
                <c:pt idx="15">
                  <c:v>61.723446893787568</c:v>
                </c:pt>
                <c:pt idx="16">
                  <c:v>64.280798348245</c:v>
                </c:pt>
                <c:pt idx="17">
                  <c:v>61.529460352422902</c:v>
                </c:pt>
                <c:pt idx="18">
                  <c:v>75.360960060003748</c:v>
                </c:pt>
                <c:pt idx="19">
                  <c:v>75.080042689434364</c:v>
                </c:pt>
                <c:pt idx="20">
                  <c:v>73.478260869565219</c:v>
                </c:pt>
                <c:pt idx="21">
                  <c:v>65.158297950895331</c:v>
                </c:pt>
              </c:numCache>
            </c:numRef>
          </c:val>
          <c:extLst>
            <c:ext xmlns:c16="http://schemas.microsoft.com/office/drawing/2014/chart" uri="{C3380CC4-5D6E-409C-BE32-E72D297353CC}">
              <c16:uniqueId val="{00000000-DCC3-4E58-B3A4-4E7AAF1609BA}"/>
            </c:ext>
          </c:extLst>
        </c:ser>
        <c:ser>
          <c:idx val="1"/>
          <c:order val="1"/>
          <c:tx>
            <c:strRef>
              <c:f>Blad1!$U$2</c:f>
              <c:strCache>
                <c:ptCount val="1"/>
                <c:pt idx="0">
                  <c:v>Girls</c:v>
                </c:pt>
              </c:strCache>
            </c:strRef>
          </c:tx>
          <c:spPr>
            <a:solidFill>
              <a:srgbClr val="F9C623"/>
            </a:solidFill>
            <a:ln>
              <a:noFill/>
            </a:ln>
            <a:effectLst/>
          </c:spPr>
          <c:invertIfNegative val="0"/>
          <c:dLbls>
            <c:dLbl>
              <c:idx val="18"/>
              <c:layout>
                <c:manualLayout>
                  <c:x val="-0.12418733595800525"/>
                  <c:y val="-1.721491941606472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9F-4346-82EC-0339786361B8}"/>
                </c:ext>
              </c:extLst>
            </c:dLbl>
            <c:dLbl>
              <c:idx val="19"/>
              <c:layout>
                <c:manualLayout>
                  <c:x val="-0.12002066929133862"/>
                  <c:y val="-3.4433905989024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9F-4346-82EC-0339786361B8}"/>
                </c:ext>
              </c:extLst>
            </c:dLbl>
            <c:dLbl>
              <c:idx val="20"/>
              <c:layout>
                <c:manualLayout>
                  <c:x val="-0.12418733595800525"/>
                  <c:y val="-1.721491941606346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39F-4346-82EC-0339786361B8}"/>
                </c:ext>
              </c:extLst>
            </c:dLbl>
            <c:dLbl>
              <c:idx val="21"/>
              <c:layout>
                <c:manualLayout>
                  <c:x val="-0.13729166666666667"/>
                  <c:y val="-1.7214919416063471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20625"/>
                      <c:h val="2.9623001670245765E-2"/>
                    </c:manualLayout>
                  </c15:layout>
                </c:ext>
                <c:ext xmlns:c16="http://schemas.microsoft.com/office/drawing/2014/chart" uri="{C3380CC4-5D6E-409C-BE32-E72D297353CC}">
                  <c16:uniqueId val="{00000001-69F0-154C-BF6C-9E5FCA659CF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Blad1!$S$3:$S$24</c:f>
              <c:strCache>
                <c:ptCount val="22"/>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Poland</c:v>
                </c:pt>
                <c:pt idx="13">
                  <c:v>Portugal</c:v>
                </c:pt>
                <c:pt idx="14">
                  <c:v>Slovakia</c:v>
                </c:pt>
                <c:pt idx="15">
                  <c:v>Slovenia</c:v>
                </c:pt>
                <c:pt idx="16">
                  <c:v>Spain</c:v>
                </c:pt>
                <c:pt idx="17">
                  <c:v>Switzerland</c:v>
                </c:pt>
                <c:pt idx="18">
                  <c:v>UK (England)</c:v>
                </c:pt>
                <c:pt idx="19">
                  <c:v>UK (N. Ireland)</c:v>
                </c:pt>
                <c:pt idx="20">
                  <c:v>UK (Wales)</c:v>
                </c:pt>
                <c:pt idx="21">
                  <c:v>Total average (21)</c:v>
                </c:pt>
              </c:strCache>
            </c:strRef>
          </c:cat>
          <c:val>
            <c:numRef>
              <c:f>Blad1!$U$3:$U$24</c:f>
              <c:numCache>
                <c:formatCode>0.00</c:formatCode>
                <c:ptCount val="22"/>
                <c:pt idx="0">
                  <c:v>41.509433962264154</c:v>
                </c:pt>
                <c:pt idx="1">
                  <c:v>31.295487627365361</c:v>
                </c:pt>
                <c:pt idx="2">
                  <c:v>35.092004559517989</c:v>
                </c:pt>
                <c:pt idx="3">
                  <c:v>24.897288414133115</c:v>
                </c:pt>
                <c:pt idx="4">
                  <c:v>30.000976753272123</c:v>
                </c:pt>
                <c:pt idx="5">
                  <c:v>36.27997093727295</c:v>
                </c:pt>
                <c:pt idx="6">
                  <c:v>36.288998357963877</c:v>
                </c:pt>
                <c:pt idx="7">
                  <c:v>35.481839176989297</c:v>
                </c:pt>
                <c:pt idx="8">
                  <c:v>22.531645569620252</c:v>
                </c:pt>
                <c:pt idx="9">
                  <c:v>18.349728970086328</c:v>
                </c:pt>
                <c:pt idx="10">
                  <c:v>33.512064343163537</c:v>
                </c:pt>
                <c:pt idx="11">
                  <c:v>34.103410341034099</c:v>
                </c:pt>
                <c:pt idx="12">
                  <c:v>39.706314243759181</c:v>
                </c:pt>
                <c:pt idx="13">
                  <c:v>37.760051740864505</c:v>
                </c:pt>
                <c:pt idx="14">
                  <c:v>45.528887000849615</c:v>
                </c:pt>
                <c:pt idx="15">
                  <c:v>38.276553106212425</c:v>
                </c:pt>
                <c:pt idx="16">
                  <c:v>35.719201651754986</c:v>
                </c:pt>
                <c:pt idx="17">
                  <c:v>38.470539647577091</c:v>
                </c:pt>
                <c:pt idx="18">
                  <c:v>24.639039939996248</c:v>
                </c:pt>
                <c:pt idx="19">
                  <c:v>24.919957310565636</c:v>
                </c:pt>
                <c:pt idx="20">
                  <c:v>26.521739130434785</c:v>
                </c:pt>
                <c:pt idx="21">
                  <c:v>34.841702049104676</c:v>
                </c:pt>
              </c:numCache>
            </c:numRef>
          </c:val>
          <c:extLst>
            <c:ext xmlns:c16="http://schemas.microsoft.com/office/drawing/2014/chart" uri="{C3380CC4-5D6E-409C-BE32-E72D297353CC}">
              <c16:uniqueId val="{00000001-DCC3-4E58-B3A4-4E7AAF1609BA}"/>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609065758672051E-2"/>
          <c:y val="4.2926068442952513E-2"/>
          <c:w val="0.84503118503118502"/>
          <c:h val="0.91445872213197488"/>
        </c:manualLayout>
      </c:layout>
      <c:barChart>
        <c:barDir val="bar"/>
        <c:grouping val="clustered"/>
        <c:varyColors val="0"/>
        <c:ser>
          <c:idx val="0"/>
          <c:order val="0"/>
          <c:tx>
            <c:strRef>
              <c:f>'3c.2 - ISCED 1&amp;2 '!$W$2</c:f>
              <c:strCache>
                <c:ptCount val="1"/>
                <c:pt idx="0">
                  <c:v>ISCED 1</c:v>
                </c:pt>
              </c:strCache>
            </c:strRef>
          </c:tx>
          <c:spPr>
            <a:solidFill>
              <a:srgbClr val="17255B"/>
            </a:solidFill>
            <a:ln>
              <a:noFill/>
            </a:ln>
            <a:effectLst/>
          </c:spPr>
          <c:invertIfNegative val="0"/>
          <c:dLbls>
            <c:dLbl>
              <c:idx val="4"/>
              <c:layout>
                <c:manualLayout>
                  <c:x val="-0.23700623700623702"/>
                  <c:y val="4.0476434622874376E-7"/>
                </c:manualLayout>
              </c:layout>
              <c:spPr>
                <a:noFill/>
                <a:ln>
                  <a:noFill/>
                </a:ln>
                <a:effectLst/>
              </c:spPr>
              <c:txPr>
                <a:bodyPr rot="0" spcFirstLastPara="1" vertOverflow="ellipsis" vert="horz" wrap="none" lIns="38100" tIns="19050" rIns="38100" bIns="19050" anchor="ctr" anchorCtr="1">
                  <a:no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552965442729222"/>
                      <c:h val="2.2881328490552799E-2"/>
                    </c:manualLayout>
                  </c15:layout>
                </c:ext>
                <c:ext xmlns:c16="http://schemas.microsoft.com/office/drawing/2014/chart" uri="{C3380CC4-5D6E-409C-BE32-E72D297353CC}">
                  <c16:uniqueId val="{00000000-BAC6-4F4A-9F73-B1DB9C63C9F9}"/>
                </c:ext>
              </c:extLst>
            </c:dLbl>
            <c:dLbl>
              <c:idx val="19"/>
              <c:layout>
                <c:manualLayout>
                  <c:x val="-0.30769230769230776"/>
                  <c:y val="1.256553910044468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BAC6-4F4A-9F73-B1DB9C63C9F9}"/>
                </c:ext>
              </c:extLst>
            </c:dLbl>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087-8441-A98B-416E4153335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'3c.2 - ISCED 1&amp;2 '!$V$3:$V$26</c:f>
              <c:strCache>
                <c:ptCount val="24"/>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(Wales)</c:v>
                </c:pt>
                <c:pt idx="23">
                  <c:v>Total average (23)</c:v>
                </c:pt>
              </c:strCache>
            </c:strRef>
          </c:cat>
          <c:val>
            <c:numRef>
              <c:f>'3c.2 - ISCED 1&amp;2 '!$W$3:$W$26</c:f>
              <c:numCache>
                <c:formatCode>0.00</c:formatCode>
                <c:ptCount val="24"/>
                <c:pt idx="0">
                  <c:v>0.49962714392244589</c:v>
                </c:pt>
                <c:pt idx="1">
                  <c:v>7.0646467676616167</c:v>
                </c:pt>
                <c:pt idx="2">
                  <c:v>2.8262557730821105</c:v>
                </c:pt>
                <c:pt idx="3">
                  <c:v>18.104212860310419</c:v>
                </c:pt>
                <c:pt idx="4">
                  <c:v>32.820512820512818</c:v>
                </c:pt>
                <c:pt idx="5">
                  <c:v>16.55045687782178</c:v>
                </c:pt>
                <c:pt idx="6">
                  <c:v>0.46273867793722123</c:v>
                </c:pt>
                <c:pt idx="7">
                  <c:v>15.404163475597022</c:v>
                </c:pt>
                <c:pt idx="8">
                  <c:v>3.2801288622053013</c:v>
                </c:pt>
                <c:pt idx="9">
                  <c:v>7.8646958716561173</c:v>
                </c:pt>
                <c:pt idx="10">
                  <c:v>9.0886224532573152</c:v>
                </c:pt>
                <c:pt idx="11">
                  <c:v>1.0933490162532078</c:v>
                </c:pt>
                <c:pt idx="12">
                  <c:v>16.590909090909093</c:v>
                </c:pt>
                <c:pt idx="13">
                  <c:v>2.837985658145282</c:v>
                </c:pt>
                <c:pt idx="14">
                  <c:v>1.866633047835919</c:v>
                </c:pt>
                <c:pt idx="15">
                  <c:v>6.9608480650868776</c:v>
                </c:pt>
                <c:pt idx="16">
                  <c:v>5.796658233478829</c:v>
                </c:pt>
                <c:pt idx="17">
                  <c:v>2.2732177541184084</c:v>
                </c:pt>
                <c:pt idx="18">
                  <c:v>2.6688462630935197</c:v>
                </c:pt>
                <c:pt idx="19">
                  <c:v>29.508641138597085</c:v>
                </c:pt>
                <c:pt idx="20">
                  <c:v>2.4369962901368813</c:v>
                </c:pt>
                <c:pt idx="21">
                  <c:v>7.1942912747324037</c:v>
                </c:pt>
                <c:pt idx="22">
                  <c:v>12.429016303352263</c:v>
                </c:pt>
                <c:pt idx="23">
                  <c:v>7.9473310890193316</c:v>
                </c:pt>
              </c:numCache>
            </c:numRef>
          </c:val>
          <c:extLst>
            <c:ext xmlns:c16="http://schemas.microsoft.com/office/drawing/2014/chart" uri="{C3380CC4-5D6E-409C-BE32-E72D297353CC}">
              <c16:uniqueId val="{00000000-BBFA-4C42-897F-6EADB2662780}"/>
            </c:ext>
          </c:extLst>
        </c:ser>
        <c:ser>
          <c:idx val="1"/>
          <c:order val="1"/>
          <c:tx>
            <c:strRef>
              <c:f>'3c.2 - ISCED 1&amp;2 '!$X$2</c:f>
              <c:strCache>
                <c:ptCount val="1"/>
                <c:pt idx="0">
                  <c:v>ISCED 2</c:v>
                </c:pt>
              </c:strCache>
            </c:strRef>
          </c:tx>
          <c:spPr>
            <a:solidFill>
              <a:srgbClr val="F9C623"/>
            </a:solidFill>
            <a:ln>
              <a:noFill/>
            </a:ln>
            <a:effectLst/>
          </c:spPr>
          <c:invertIfNegative val="0"/>
          <c:dLbls>
            <c:dLbl>
              <c:idx val="4"/>
              <c:layout>
                <c:manualLayout>
                  <c:x val="-0.12889812889812891"/>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D8-FE4B-885B-7D152C7FF6D7}"/>
                </c:ext>
              </c:extLst>
            </c:dLbl>
            <c:dLbl>
              <c:idx val="19"/>
              <c:layout>
                <c:manualLayout>
                  <c:x val="-0.1247401247401248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2D8-FE4B-885B-7D152C7FF6D7}"/>
                </c:ext>
              </c:extLst>
            </c:dLbl>
            <c:dLbl>
              <c:idx val="2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1087-8441-A98B-416E4153335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'3c.2 - ISCED 1&amp;2 '!$V$3:$V$26</c:f>
              <c:strCache>
                <c:ptCount val="24"/>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(Wales)</c:v>
                </c:pt>
                <c:pt idx="23">
                  <c:v>Total average (23)</c:v>
                </c:pt>
              </c:strCache>
            </c:strRef>
          </c:cat>
          <c:val>
            <c:numRef>
              <c:f>'3c.2 - ISCED 1&amp;2 '!$X$3:$X$26</c:f>
              <c:numCache>
                <c:formatCode>0.00</c:formatCode>
                <c:ptCount val="24"/>
                <c:pt idx="0">
                  <c:v>0.29082774049217003</c:v>
                </c:pt>
                <c:pt idx="1">
                  <c:v>3.239838008099595</c:v>
                </c:pt>
                <c:pt idx="2">
                  <c:v>3.4485224996934649</c:v>
                </c:pt>
                <c:pt idx="3">
                  <c:v>8.8802660753880271</c:v>
                </c:pt>
                <c:pt idx="4">
                  <c:v>18.401500938086304</c:v>
                </c:pt>
                <c:pt idx="5">
                  <c:v>7.30850424518853</c:v>
                </c:pt>
                <c:pt idx="6">
                  <c:v>0.55461819882728325</c:v>
                </c:pt>
                <c:pt idx="7">
                  <c:v>17.757432291304045</c:v>
                </c:pt>
                <c:pt idx="8">
                  <c:v>2.5040269439156537</c:v>
                </c:pt>
                <c:pt idx="9">
                  <c:v>1.6597510373443984</c:v>
                </c:pt>
                <c:pt idx="10">
                  <c:v>3.4208099270562591</c:v>
                </c:pt>
                <c:pt idx="11">
                  <c:v>1.3366124893071001</c:v>
                </c:pt>
                <c:pt idx="12">
                  <c:v>9.7727272727272734</c:v>
                </c:pt>
                <c:pt idx="13">
                  <c:v>2.4389255763075801</c:v>
                </c:pt>
                <c:pt idx="14">
                  <c:v>0.81630723408949446</c:v>
                </c:pt>
                <c:pt idx="15">
                  <c:v>7.0682172183828094</c:v>
                </c:pt>
                <c:pt idx="16">
                  <c:v>7.2923906697433898</c:v>
                </c:pt>
                <c:pt idx="17">
                  <c:v>1.3164520538090785</c:v>
                </c:pt>
                <c:pt idx="18">
                  <c:v>1.5425282159191696</c:v>
                </c:pt>
                <c:pt idx="19">
                  <c:v>19.722128092172145</c:v>
                </c:pt>
                <c:pt idx="20">
                  <c:v>0.97415888448253807</c:v>
                </c:pt>
                <c:pt idx="21">
                  <c:v>4.9626986701265006</c:v>
                </c:pt>
                <c:pt idx="22">
                  <c:v>10.743725957135005</c:v>
                </c:pt>
                <c:pt idx="23">
                  <c:v>4.9491296146236161</c:v>
                </c:pt>
              </c:numCache>
            </c:numRef>
          </c:val>
          <c:extLst>
            <c:ext xmlns:c16="http://schemas.microsoft.com/office/drawing/2014/chart" uri="{C3380CC4-5D6E-409C-BE32-E72D297353CC}">
              <c16:uniqueId val="{00000001-BBFA-4C42-897F-6EADB2662780}"/>
            </c:ext>
          </c:extLst>
        </c:ser>
        <c:dLbls>
          <c:showLegendKey val="0"/>
          <c:showVal val="0"/>
          <c:showCatName val="0"/>
          <c:showSerName val="0"/>
          <c:showPercent val="0"/>
          <c:showBubbleSize val="0"/>
        </c:dLbls>
        <c:gapWidth val="6"/>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734276472702328E-2"/>
          <c:y val="3.9586889723455101E-2"/>
          <c:w val="0.85381775410853722"/>
          <c:h val="0.91247368831371323"/>
        </c:manualLayout>
      </c:layout>
      <c:barChart>
        <c:barDir val="bar"/>
        <c:grouping val="clustered"/>
        <c:varyColors val="0"/>
        <c:ser>
          <c:idx val="0"/>
          <c:order val="0"/>
          <c:tx>
            <c:strRef>
              <c:f>'3c.2 - ISCED 1&amp;2 '!$Z$2</c:f>
              <c:strCache>
                <c:ptCount val="1"/>
                <c:pt idx="0">
                  <c:v>ISCED 1</c:v>
                </c:pt>
              </c:strCache>
            </c:strRef>
          </c:tx>
          <c:spPr>
            <a:solidFill>
              <a:srgbClr val="17255B"/>
            </a:solidFill>
            <a:ln>
              <a:noFill/>
            </a:ln>
            <a:effectLst/>
          </c:spPr>
          <c:invertIfNegative val="0"/>
          <c:dLbls>
            <c:dLbl>
              <c:idx val="4"/>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19D-8A4F-A61E-84B8BB94318A}"/>
                </c:ext>
              </c:extLst>
            </c:dLbl>
            <c:dLbl>
              <c:idx val="1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419D-8A4F-A61E-84B8BB94318A}"/>
                </c:ext>
              </c:extLst>
            </c:dLbl>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419D-8A4F-A61E-84B8BB94318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'3c.2 - ISCED 1&amp;2 '!$Y$3:$Y$26</c:f>
              <c:strCache>
                <c:ptCount val="24"/>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(Wales)</c:v>
                </c:pt>
                <c:pt idx="23">
                  <c:v>Total average (23)</c:v>
                </c:pt>
              </c:strCache>
            </c:strRef>
          </c:cat>
          <c:val>
            <c:numRef>
              <c:f>'3c.2 - ISCED 1&amp;2 '!$Z$3:$Z$26</c:f>
              <c:numCache>
                <c:formatCode>0.00</c:formatCode>
                <c:ptCount val="24"/>
                <c:pt idx="0">
                  <c:v>0.94021891664327806</c:v>
                </c:pt>
                <c:pt idx="1">
                  <c:v>11.113732892873998</c:v>
                </c:pt>
                <c:pt idx="2">
                  <c:v>5.8137335267040795</c:v>
                </c:pt>
                <c:pt idx="3">
                  <c:v>28.805785852884107</c:v>
                </c:pt>
                <c:pt idx="4">
                  <c:v>54.785368297978955</c:v>
                </c:pt>
                <c:pt idx="5">
                  <c:v>25.391693902518309</c:v>
                </c:pt>
                <c:pt idx="6">
                  <c:v>0.91989904357066954</c:v>
                </c:pt>
                <c:pt idx="7">
                  <c:v>35.013451495489797</c:v>
                </c:pt>
                <c:pt idx="8">
                  <c:v>4.8918977942782265</c:v>
                </c:pt>
                <c:pt idx="9">
                  <c:v>10.671198401785018</c:v>
                </c:pt>
                <c:pt idx="10">
                  <c:v>14.005167958656331</c:v>
                </c:pt>
                <c:pt idx="11">
                  <c:v>1.9410564282663376</c:v>
                </c:pt>
                <c:pt idx="12">
                  <c:v>25.886524822695034</c:v>
                </c:pt>
                <c:pt idx="13">
                  <c:v>4.5811261526388067</c:v>
                </c:pt>
                <c:pt idx="14">
                  <c:v>3.0039435476712781</c:v>
                </c:pt>
                <c:pt idx="15">
                  <c:v>11.749240625877428</c:v>
                </c:pt>
                <c:pt idx="16">
                  <c:v>12.841832963784183</c:v>
                </c:pt>
                <c:pt idx="17">
                  <c:v>3.8916256157635472</c:v>
                </c:pt>
                <c:pt idx="18">
                  <c:v>4.2283142765302841</c:v>
                </c:pt>
                <c:pt idx="19">
                  <c:v>49.345497818326059</c:v>
                </c:pt>
                <c:pt idx="20">
                  <c:v>4.0005040005039998</c:v>
                </c:pt>
                <c:pt idx="21">
                  <c:v>13.850380916697889</c:v>
                </c:pt>
                <c:pt idx="22">
                  <c:v>27.609359104781284</c:v>
                </c:pt>
                <c:pt idx="23">
                  <c:v>13.411154345006485</c:v>
                </c:pt>
              </c:numCache>
            </c:numRef>
          </c:val>
          <c:extLst>
            <c:ext xmlns:c16="http://schemas.microsoft.com/office/drawing/2014/chart" uri="{C3380CC4-5D6E-409C-BE32-E72D297353CC}">
              <c16:uniqueId val="{00000000-511D-4853-BF08-419B7A1AD3FB}"/>
            </c:ext>
          </c:extLst>
        </c:ser>
        <c:ser>
          <c:idx val="1"/>
          <c:order val="1"/>
          <c:tx>
            <c:strRef>
              <c:f>'3c.2 - ISCED 1&amp;2 '!$AA$2</c:f>
              <c:strCache>
                <c:ptCount val="1"/>
                <c:pt idx="0">
                  <c:v>ISCED2</c:v>
                </c:pt>
              </c:strCache>
            </c:strRef>
          </c:tx>
          <c:spPr>
            <a:solidFill>
              <a:srgbClr val="F9C623"/>
            </a:solidFill>
            <a:ln>
              <a:noFill/>
            </a:ln>
            <a:effectLst/>
          </c:spPr>
          <c:invertIfNegative val="0"/>
          <c:dLbls>
            <c:dLbl>
              <c:idx val="4"/>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9D-8A4F-A61E-84B8BB94318A}"/>
                </c:ext>
              </c:extLst>
            </c:dLbl>
            <c:dLbl>
              <c:idx val="19"/>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9D-8A4F-A61E-84B8BB94318A}"/>
                </c:ext>
              </c:extLst>
            </c:dLbl>
            <c:dLbl>
              <c:idx val="2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5-419D-8A4F-A61E-84B8BB94318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'3c.2 - ISCED 1&amp;2 '!$Y$3:$Y$26</c:f>
              <c:strCache>
                <c:ptCount val="24"/>
                <c:pt idx="0">
                  <c:v>Bulgaria</c:v>
                </c:pt>
                <c:pt idx="1">
                  <c:v>Cyprus</c:v>
                </c:pt>
                <c:pt idx="2">
                  <c:v>Czech Republic</c:v>
                </c:pt>
                <c:pt idx="3">
                  <c:v>Estonia</c:v>
                </c:pt>
                <c:pt idx="4">
                  <c:v>Finland</c:v>
                </c:pt>
                <c:pt idx="5">
                  <c:v>France</c:v>
                </c:pt>
                <c:pt idx="6">
                  <c:v>Greece</c:v>
                </c:pt>
                <c:pt idx="7">
                  <c:v>Hungary</c:v>
                </c:pt>
                <c:pt idx="8">
                  <c:v>Iceland </c:v>
                </c:pt>
                <c:pt idx="9">
                  <c:v>Ireland</c:v>
                </c:pt>
                <c:pt idx="10">
                  <c:v>Latvia</c:v>
                </c:pt>
                <c:pt idx="11">
                  <c:v>Lithuania</c:v>
                </c:pt>
                <c:pt idx="12">
                  <c:v>Luxembourg</c:v>
                </c:pt>
                <c:pt idx="13">
                  <c:v>Norway</c:v>
                </c:pt>
                <c:pt idx="14">
                  <c:v>Poland</c:v>
                </c:pt>
                <c:pt idx="15">
                  <c:v>Portugal</c:v>
                </c:pt>
                <c:pt idx="16">
                  <c:v>Slovakia</c:v>
                </c:pt>
                <c:pt idx="17">
                  <c:v>Slovenia</c:v>
                </c:pt>
                <c:pt idx="18">
                  <c:v>Spain</c:v>
                </c:pt>
                <c:pt idx="19">
                  <c:v>Switzerland</c:v>
                </c:pt>
                <c:pt idx="20">
                  <c:v>UK (England)</c:v>
                </c:pt>
                <c:pt idx="21">
                  <c:v>UK (N. Ireland)</c:v>
                </c:pt>
                <c:pt idx="22">
                  <c:v>UK (Wales)</c:v>
                </c:pt>
                <c:pt idx="23">
                  <c:v>Total average (23)</c:v>
                </c:pt>
              </c:strCache>
            </c:strRef>
          </c:cat>
          <c:val>
            <c:numRef>
              <c:f>'3c.2 - ISCED 1&amp;2 '!$AA$3:$AA$26</c:f>
              <c:numCache>
                <c:formatCode>0.00</c:formatCode>
                <c:ptCount val="24"/>
                <c:pt idx="0">
                  <c:v>0.6206238064926799</c:v>
                </c:pt>
                <c:pt idx="1">
                  <c:v>8.8925483738163855</c:v>
                </c:pt>
                <c:pt idx="2">
                  <c:v>6.7109423157224954</c:v>
                </c:pt>
                <c:pt idx="3">
                  <c:v>23.903312444046556</c:v>
                </c:pt>
                <c:pt idx="4">
                  <c:v>45.897547887939105</c:v>
                </c:pt>
                <c:pt idx="5">
                  <c:v>20.989744100368416</c:v>
                </c:pt>
                <c:pt idx="6">
                  <c:v>1.1160038992907324</c:v>
                </c:pt>
                <c:pt idx="7">
                  <c:v>31.706862257583289</c:v>
                </c:pt>
                <c:pt idx="8">
                  <c:v>7.6</c:v>
                </c:pt>
                <c:pt idx="9">
                  <c:v>6.3108913770539479</c:v>
                </c:pt>
                <c:pt idx="10">
                  <c:v>9.7444470981609737</c:v>
                </c:pt>
                <c:pt idx="11">
                  <c:v>3.0605374303727735</c:v>
                </c:pt>
                <c:pt idx="12">
                  <c:v>27.215189873417721</c:v>
                </c:pt>
                <c:pt idx="13">
                  <c:v>6.4097103918228271</c:v>
                </c:pt>
                <c:pt idx="14">
                  <c:v>2.1560874089490114</c:v>
                </c:pt>
                <c:pt idx="15">
                  <c:v>17.343228200371058</c:v>
                </c:pt>
                <c:pt idx="16">
                  <c:v>13.292454264430143</c:v>
                </c:pt>
                <c:pt idx="17">
                  <c:v>3.1655422937208098</c:v>
                </c:pt>
                <c:pt idx="18">
                  <c:v>4.1823840060354582</c:v>
                </c:pt>
                <c:pt idx="19">
                  <c:v>49.06010284076541</c:v>
                </c:pt>
                <c:pt idx="20">
                  <c:v>2.4925534352394356</c:v>
                </c:pt>
                <c:pt idx="21">
                  <c:v>10.326673866090713</c:v>
                </c:pt>
                <c:pt idx="22">
                  <c:v>19.540229885057471</c:v>
                </c:pt>
                <c:pt idx="23">
                  <c:v>12.14781994685295</c:v>
                </c:pt>
              </c:numCache>
            </c:numRef>
          </c:val>
          <c:extLst>
            <c:ext xmlns:c16="http://schemas.microsoft.com/office/drawing/2014/chart" uri="{C3380CC4-5D6E-409C-BE32-E72D297353CC}">
              <c16:uniqueId val="{00000001-511D-4853-BF08-419B7A1AD3FB}"/>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E20A-4F7C-8F16-A749A522C4A9}"/>
              </c:ext>
            </c:extLst>
          </c:dPt>
          <c:dPt>
            <c:idx val="27"/>
            <c:invertIfNegative val="0"/>
            <c:bubble3D val="0"/>
            <c:extLst>
              <c:ext xmlns:c16="http://schemas.microsoft.com/office/drawing/2014/chart" uri="{C3380CC4-5D6E-409C-BE32-E72D297353CC}">
                <c16:uniqueId val="{00000003-E20A-4F7C-8F16-A749A522C4A9}"/>
              </c:ext>
            </c:extLst>
          </c:dPt>
          <c:dPt>
            <c:idx val="29"/>
            <c:invertIfNegative val="0"/>
            <c:bubble3D val="0"/>
            <c:spPr>
              <a:solidFill>
                <a:srgbClr val="F9C623"/>
              </a:solidFill>
              <a:ln>
                <a:noFill/>
              </a:ln>
              <a:effectLst/>
            </c:spPr>
            <c:extLst>
              <c:ext xmlns:c16="http://schemas.microsoft.com/office/drawing/2014/chart" uri="{C3380CC4-5D6E-409C-BE32-E72D297353CC}">
                <c16:uniqueId val="{00000005-E20A-4F7C-8F16-A749A522C4A9}"/>
              </c:ext>
            </c:extLst>
          </c:dPt>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FD3D-E247-A310-A8B90D624438}"/>
                </c:ext>
              </c:extLst>
            </c:dLbl>
            <c:dLbl>
              <c:idx val="1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FD3D-E247-A310-A8B90D624438}"/>
                </c:ext>
              </c:extLst>
            </c:dLbl>
            <c:dLbl>
              <c:idx val="2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FD3D-E247-A310-A8B90D624438}"/>
                </c:ext>
              </c:extLst>
            </c:dLbl>
            <c:dLbl>
              <c:idx val="2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E20A-4F7C-8F16-A749A522C4A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'3c.3 - ISCED 1&amp;2'!$N$3:$N$32</c:f>
              <c:strCache>
                <c:ptCount val="30"/>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'3c.3 - ISCED 1&amp;2'!$O$3:$O$32</c:f>
              <c:numCache>
                <c:formatCode>0.00</c:formatCode>
                <c:ptCount val="30"/>
                <c:pt idx="0">
                  <c:v>31.262230919765166</c:v>
                </c:pt>
                <c:pt idx="1">
                  <c:v>80.893281807372176</c:v>
                </c:pt>
                <c:pt idx="2">
                  <c:v>17.829977628635348</c:v>
                </c:pt>
                <c:pt idx="3">
                  <c:v>25.561981444394487</c:v>
                </c:pt>
                <c:pt idx="4">
                  <c:v>35.676274944567623</c:v>
                </c:pt>
                <c:pt idx="5">
                  <c:v>9.7961225766103812</c:v>
                </c:pt>
                <c:pt idx="6">
                  <c:v>17.232691803935467</c:v>
                </c:pt>
                <c:pt idx="7">
                  <c:v>56.613948208029129</c:v>
                </c:pt>
                <c:pt idx="8">
                  <c:v>15.277058518902123</c:v>
                </c:pt>
                <c:pt idx="9">
                  <c:v>2.401522916971738</c:v>
                </c:pt>
                <c:pt idx="10">
                  <c:v>11.025489033787789</c:v>
                </c:pt>
                <c:pt idx="11">
                  <c:v>0.87827090415744002</c:v>
                </c:pt>
                <c:pt idx="12">
                  <c:v>48.436320952460804</c:v>
                </c:pt>
                <c:pt idx="13">
                  <c:v>8.1479897348160808</c:v>
                </c:pt>
                <c:pt idx="14">
                  <c:v>23.636363636363637</c:v>
                </c:pt>
                <c:pt idx="15">
                  <c:v>5.3491436100131757</c:v>
                </c:pt>
                <c:pt idx="16">
                  <c:v>100</c:v>
                </c:pt>
                <c:pt idx="17">
                  <c:v>2.8319086010614591</c:v>
                </c:pt>
                <c:pt idx="18">
                  <c:v>40.43478603452759</c:v>
                </c:pt>
                <c:pt idx="19">
                  <c:v>1.5046803877387451</c:v>
                </c:pt>
                <c:pt idx="20">
                  <c:v>24.234757708026354</c:v>
                </c:pt>
                <c:pt idx="21">
                  <c:v>22.609884180994172</c:v>
                </c:pt>
                <c:pt idx="22">
                  <c:v>15.404993362665136</c:v>
                </c:pt>
                <c:pt idx="23">
                  <c:v>88.794406651549508</c:v>
                </c:pt>
                <c:pt idx="24">
                  <c:v>50.769230769230766</c:v>
                </c:pt>
                <c:pt idx="25">
                  <c:v>44.633491109121145</c:v>
                </c:pt>
                <c:pt idx="26">
                  <c:v>27.8430100551411</c:v>
                </c:pt>
                <c:pt idx="27">
                  <c:v>3.433513086939366</c:v>
                </c:pt>
                <c:pt idx="28">
                  <c:v>30.381022165231723</c:v>
                </c:pt>
                <c:pt idx="29">
                  <c:v>30.244716422950436</c:v>
                </c:pt>
              </c:numCache>
            </c:numRef>
          </c:val>
          <c:extLst>
            <c:ext xmlns:c16="http://schemas.microsoft.com/office/drawing/2014/chart" uri="{C3380CC4-5D6E-409C-BE32-E72D297353CC}">
              <c16:uniqueId val="{00000006-E20A-4F7C-8F16-A749A522C4A9}"/>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3166457384866179E-2"/>
          <c:w val="0.82704582651391167"/>
          <c:h val="0.91189012332362562"/>
        </c:manualLayout>
      </c:layout>
      <c:barChart>
        <c:barDir val="bar"/>
        <c:grouping val="clustered"/>
        <c:varyColors val="0"/>
        <c:ser>
          <c:idx val="0"/>
          <c:order val="0"/>
          <c:tx>
            <c:strRef>
              <c:f>Blad1!$Q$2</c:f>
              <c:strCache>
                <c:ptCount val="1"/>
                <c:pt idx="0">
                  <c:v>Boys</c:v>
                </c:pt>
              </c:strCache>
            </c:strRef>
          </c:tx>
          <c:spPr>
            <a:solidFill>
              <a:srgbClr val="17255B"/>
            </a:solidFill>
            <a:ln>
              <a:noFill/>
            </a:ln>
            <a:effectLst/>
          </c:spPr>
          <c:invertIfNegative val="0"/>
          <c:dLbls>
            <c:dLbl>
              <c:idx val="15"/>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366-8742-AA30-24D3B6D6E187}"/>
                </c:ext>
              </c:extLst>
            </c:dLbl>
            <c:dLbl>
              <c:idx val="27"/>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1366-8742-AA30-24D3B6D6E18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Blad1!$P$3:$P$30</c:f>
              <c:strCache>
                <c:ptCount val="28"/>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Malta</c:v>
                </c:pt>
                <c:pt idx="15">
                  <c:v>Netherlands</c:v>
                </c:pt>
                <c:pt idx="16">
                  <c:v>Poland</c:v>
                </c:pt>
                <c:pt idx="17">
                  <c:v>Portugal</c:v>
                </c:pt>
                <c:pt idx="18">
                  <c:v>Slovakia</c:v>
                </c:pt>
                <c:pt idx="19">
                  <c:v>Slovenia</c:v>
                </c:pt>
                <c:pt idx="20">
                  <c:v>Spain</c:v>
                </c:pt>
                <c:pt idx="21">
                  <c:v>Sweden</c:v>
                </c:pt>
                <c:pt idx="22">
                  <c:v>Switzerland</c:v>
                </c:pt>
                <c:pt idx="23">
                  <c:v>UK (England)</c:v>
                </c:pt>
                <c:pt idx="24">
                  <c:v>UK (N. Ireland)</c:v>
                </c:pt>
                <c:pt idx="25">
                  <c:v>UK (Scotland)</c:v>
                </c:pt>
                <c:pt idx="26">
                  <c:v>UK (Wales)</c:v>
                </c:pt>
                <c:pt idx="27">
                  <c:v>Total average (27)</c:v>
                </c:pt>
              </c:strCache>
            </c:strRef>
          </c:cat>
          <c:val>
            <c:numRef>
              <c:f>Blad1!$Q$3:$Q$30</c:f>
              <c:numCache>
                <c:formatCode>0.00</c:formatCode>
                <c:ptCount val="28"/>
                <c:pt idx="0">
                  <c:v>20.776255707762555</c:v>
                </c:pt>
                <c:pt idx="1">
                  <c:v>52.251783590963143</c:v>
                </c:pt>
                <c:pt idx="2">
                  <c:v>10.827740492170022</c:v>
                </c:pt>
                <c:pt idx="3">
                  <c:v>15.983774063023665</c:v>
                </c:pt>
                <c:pt idx="4">
                  <c:v>24.290465631929049</c:v>
                </c:pt>
                <c:pt idx="5">
                  <c:v>6.8592870544090054</c:v>
                </c:pt>
                <c:pt idx="6">
                  <c:v>11.741297748740312</c:v>
                </c:pt>
                <c:pt idx="7">
                  <c:v>37.304752490751433</c:v>
                </c:pt>
                <c:pt idx="8">
                  <c:v>10.166886620671221</c:v>
                </c:pt>
                <c:pt idx="9">
                  <c:v>1.771855322887685</c:v>
                </c:pt>
                <c:pt idx="10">
                  <c:v>7.4363730233091774</c:v>
                </c:pt>
                <c:pt idx="11">
                  <c:v>0.61566291363877368</c:v>
                </c:pt>
                <c:pt idx="12">
                  <c:v>32.070093066152424</c:v>
                </c:pt>
                <c:pt idx="13">
                  <c:v>5.2582335329341321</c:v>
                </c:pt>
                <c:pt idx="14">
                  <c:v>3.5046113306982871</c:v>
                </c:pt>
                <c:pt idx="15">
                  <c:v>72.653138035943925</c:v>
                </c:pt>
                <c:pt idx="16">
                  <c:v>26.168320030256947</c:v>
                </c:pt>
                <c:pt idx="17">
                  <c:v>1.0555446338106975</c:v>
                </c:pt>
                <c:pt idx="18">
                  <c:v>14.392949484278128</c:v>
                </c:pt>
                <c:pt idx="19">
                  <c:v>13.552981799870512</c:v>
                </c:pt>
                <c:pt idx="20">
                  <c:v>9.7612298488774485</c:v>
                </c:pt>
                <c:pt idx="21">
                  <c:v>54.393424036281182</c:v>
                </c:pt>
                <c:pt idx="22">
                  <c:v>34.581497797356832</c:v>
                </c:pt>
                <c:pt idx="23">
                  <c:v>32.890495074836892</c:v>
                </c:pt>
                <c:pt idx="24">
                  <c:v>19.701589361012001</c:v>
                </c:pt>
                <c:pt idx="25">
                  <c:v>2.4365382086018674</c:v>
                </c:pt>
                <c:pt idx="26">
                  <c:v>21.899615314160105</c:v>
                </c:pt>
                <c:pt idx="27">
                  <c:v>20.712258927422514</c:v>
                </c:pt>
              </c:numCache>
            </c:numRef>
          </c:val>
          <c:extLst>
            <c:ext xmlns:c16="http://schemas.microsoft.com/office/drawing/2014/chart" uri="{C3380CC4-5D6E-409C-BE32-E72D297353CC}">
              <c16:uniqueId val="{00000000-B333-4C99-8D71-7C1EBD861B76}"/>
            </c:ext>
          </c:extLst>
        </c:ser>
        <c:ser>
          <c:idx val="1"/>
          <c:order val="1"/>
          <c:tx>
            <c:strRef>
              <c:f>Blad1!$R$2</c:f>
              <c:strCache>
                <c:ptCount val="1"/>
                <c:pt idx="0">
                  <c:v>Girls</c:v>
                </c:pt>
              </c:strCache>
            </c:strRef>
          </c:tx>
          <c:spPr>
            <a:solidFill>
              <a:srgbClr val="F9C623"/>
            </a:solidFill>
            <a:ln>
              <a:noFill/>
            </a:ln>
            <a:effectLst/>
          </c:spPr>
          <c:invertIfNegative val="0"/>
          <c:dLbls>
            <c:dLbl>
              <c:idx val="15"/>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66-8742-AA30-24D3B6D6E187}"/>
                </c:ext>
              </c:extLst>
            </c:dLbl>
            <c:dLbl>
              <c:idx val="27"/>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1366-8742-AA30-24D3B6D6E18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Blad1!$P$3:$P$30</c:f>
              <c:strCache>
                <c:ptCount val="28"/>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Malta</c:v>
                </c:pt>
                <c:pt idx="15">
                  <c:v>Netherlands</c:v>
                </c:pt>
                <c:pt idx="16">
                  <c:v>Poland</c:v>
                </c:pt>
                <c:pt idx="17">
                  <c:v>Portugal</c:v>
                </c:pt>
                <c:pt idx="18">
                  <c:v>Slovakia</c:v>
                </c:pt>
                <c:pt idx="19">
                  <c:v>Slovenia</c:v>
                </c:pt>
                <c:pt idx="20">
                  <c:v>Spain</c:v>
                </c:pt>
                <c:pt idx="21">
                  <c:v>Sweden</c:v>
                </c:pt>
                <c:pt idx="22">
                  <c:v>Switzerland</c:v>
                </c:pt>
                <c:pt idx="23">
                  <c:v>UK (England)</c:v>
                </c:pt>
                <c:pt idx="24">
                  <c:v>UK (N. Ireland)</c:v>
                </c:pt>
                <c:pt idx="25">
                  <c:v>UK (Scotland)</c:v>
                </c:pt>
                <c:pt idx="26">
                  <c:v>UK (Wales)</c:v>
                </c:pt>
                <c:pt idx="27">
                  <c:v>Total average (27)</c:v>
                </c:pt>
              </c:strCache>
            </c:strRef>
          </c:cat>
          <c:val>
            <c:numRef>
              <c:f>Blad1!$R$3:$R$30</c:f>
              <c:numCache>
                <c:formatCode>0.00</c:formatCode>
                <c:ptCount val="28"/>
                <c:pt idx="0">
                  <c:v>10.485975212002609</c:v>
                </c:pt>
                <c:pt idx="1">
                  <c:v>28.64149821640904</c:v>
                </c:pt>
                <c:pt idx="2">
                  <c:v>7.0022371364653235</c:v>
                </c:pt>
                <c:pt idx="3">
                  <c:v>9.5782073813708255</c:v>
                </c:pt>
                <c:pt idx="4">
                  <c:v>11.385809312638582</c:v>
                </c:pt>
                <c:pt idx="5">
                  <c:v>2.9368355222013762</c:v>
                </c:pt>
                <c:pt idx="6">
                  <c:v>5.4913940551951557</c:v>
                </c:pt>
                <c:pt idx="7">
                  <c:v>19.309195717277692</c:v>
                </c:pt>
                <c:pt idx="8">
                  <c:v>5.1101718982309015</c:v>
                </c:pt>
                <c:pt idx="9">
                  <c:v>0.62966759408405326</c:v>
                </c:pt>
                <c:pt idx="10">
                  <c:v>3.5891160104786124</c:v>
                </c:pt>
                <c:pt idx="11">
                  <c:v>0.2626079905186664</c:v>
                </c:pt>
                <c:pt idx="12">
                  <c:v>16.366227886308376</c:v>
                </c:pt>
                <c:pt idx="13">
                  <c:v>2.8897562018819505</c:v>
                </c:pt>
                <c:pt idx="14">
                  <c:v>1.8445322793148879</c:v>
                </c:pt>
                <c:pt idx="15">
                  <c:v>27.346861964056078</c:v>
                </c:pt>
                <c:pt idx="16">
                  <c:v>14.266466004270642</c:v>
                </c:pt>
                <c:pt idx="17">
                  <c:v>0.44913575392804761</c:v>
                </c:pt>
                <c:pt idx="18">
                  <c:v>9.8418082237482274</c:v>
                </c:pt>
                <c:pt idx="19">
                  <c:v>9.0569023811236598</c:v>
                </c:pt>
                <c:pt idx="20">
                  <c:v>5.643763513787686</c:v>
                </c:pt>
                <c:pt idx="21">
                  <c:v>34.400982615268326</c:v>
                </c:pt>
                <c:pt idx="22">
                  <c:v>16.187732971873942</c:v>
                </c:pt>
                <c:pt idx="23">
                  <c:v>11.742996034284252</c:v>
                </c:pt>
                <c:pt idx="24">
                  <c:v>8.1414206941290956</c:v>
                </c:pt>
                <c:pt idx="25">
                  <c:v>0.99697487833749832</c:v>
                </c:pt>
                <c:pt idx="26">
                  <c:v>8.4814068510716254</c:v>
                </c:pt>
                <c:pt idx="27">
                  <c:v>10.170719726036918</c:v>
                </c:pt>
              </c:numCache>
            </c:numRef>
          </c:val>
          <c:extLst>
            <c:ext xmlns:c16="http://schemas.microsoft.com/office/drawing/2014/chart" uri="{C3380CC4-5D6E-409C-BE32-E72D297353CC}">
              <c16:uniqueId val="{00000001-B333-4C99-8D71-7C1EBD861B76}"/>
            </c:ext>
          </c:extLst>
        </c:ser>
        <c:dLbls>
          <c:showLegendKey val="0"/>
          <c:showVal val="0"/>
          <c:showCatName val="0"/>
          <c:showSerName val="0"/>
          <c:showPercent val="0"/>
          <c:showBubbleSize val="0"/>
        </c:dLbls>
        <c:gapWidth val="7"/>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7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781167979002618E-2"/>
          <c:y val="4.2724743827589472E-2"/>
          <c:w val="0.82387500000000002"/>
          <c:h val="0.91449719974565724"/>
        </c:manualLayout>
      </c:layout>
      <c:barChart>
        <c:barDir val="bar"/>
        <c:grouping val="clustered"/>
        <c:varyColors val="0"/>
        <c:ser>
          <c:idx val="0"/>
          <c:order val="0"/>
          <c:tx>
            <c:strRef>
              <c:f>Blad1!$T$2</c:f>
              <c:strCache>
                <c:ptCount val="1"/>
                <c:pt idx="0">
                  <c:v>Boys</c:v>
                </c:pt>
              </c:strCache>
            </c:strRef>
          </c:tx>
          <c:spPr>
            <a:solidFill>
              <a:srgbClr val="17255B"/>
            </a:solidFill>
            <a:ln>
              <a:noFill/>
            </a:ln>
            <a:effectLst/>
          </c:spPr>
          <c:invertIfNegative val="0"/>
          <c:dLbls>
            <c:dLbl>
              <c:idx val="27"/>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4093-AD45-B565-9A5C0221C35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Blad1!$S$3:$S$30</c:f>
              <c:strCache>
                <c:ptCount val="28"/>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Malta</c:v>
                </c:pt>
                <c:pt idx="15">
                  <c:v>Netherlands</c:v>
                </c:pt>
                <c:pt idx="16">
                  <c:v>Poland</c:v>
                </c:pt>
                <c:pt idx="17">
                  <c:v>Portugal</c:v>
                </c:pt>
                <c:pt idx="18">
                  <c:v>Slovakia</c:v>
                </c:pt>
                <c:pt idx="19">
                  <c:v>Slovenia</c:v>
                </c:pt>
                <c:pt idx="20">
                  <c:v>Spain</c:v>
                </c:pt>
                <c:pt idx="21">
                  <c:v>Sweden</c:v>
                </c:pt>
                <c:pt idx="22">
                  <c:v>Switzerland</c:v>
                </c:pt>
                <c:pt idx="23">
                  <c:v>UK (England)</c:v>
                </c:pt>
                <c:pt idx="24">
                  <c:v>UK (N. Ireland)</c:v>
                </c:pt>
                <c:pt idx="25">
                  <c:v>UK (Scotland)</c:v>
                </c:pt>
                <c:pt idx="26">
                  <c:v>UK (Wales)</c:v>
                </c:pt>
                <c:pt idx="27">
                  <c:v>Total average (27)</c:v>
                </c:pt>
              </c:strCache>
            </c:strRef>
          </c:cat>
          <c:val>
            <c:numRef>
              <c:f>Blad1!$T$3:$T$30</c:f>
              <c:numCache>
                <c:formatCode>0.00</c:formatCode>
                <c:ptCount val="28"/>
                <c:pt idx="0">
                  <c:v>66.458007303077721</c:v>
                </c:pt>
                <c:pt idx="1">
                  <c:v>64.59347726228755</c:v>
                </c:pt>
                <c:pt idx="2">
                  <c:v>60.727728983688834</c:v>
                </c:pt>
                <c:pt idx="3">
                  <c:v>62.52947995363153</c:v>
                </c:pt>
                <c:pt idx="4">
                  <c:v>68.08576755748912</c:v>
                </c:pt>
                <c:pt idx="5">
                  <c:v>70.020429009193052</c:v>
                </c:pt>
                <c:pt idx="6">
                  <c:v>68.133857915679357</c:v>
                </c:pt>
                <c:pt idx="7">
                  <c:v>65.893218317285246</c:v>
                </c:pt>
                <c:pt idx="8">
                  <c:v>66.550027337342812</c:v>
                </c:pt>
                <c:pt idx="9">
                  <c:v>73.780487804878049</c:v>
                </c:pt>
                <c:pt idx="10">
                  <c:v>67.447103711411728</c:v>
                </c:pt>
                <c:pt idx="11">
                  <c:v>70.099431818181827</c:v>
                </c:pt>
                <c:pt idx="12">
                  <c:v>66.210836074086899</c:v>
                </c:pt>
                <c:pt idx="13">
                  <c:v>64.534120734908143</c:v>
                </c:pt>
                <c:pt idx="14">
                  <c:v>65.517241379310349</c:v>
                </c:pt>
                <c:pt idx="15">
                  <c:v>72.653138035943925</c:v>
                </c:pt>
                <c:pt idx="16">
                  <c:v>64.717345129294387</c:v>
                </c:pt>
                <c:pt idx="17">
                  <c:v>70.150753768844226</c:v>
                </c:pt>
                <c:pt idx="18">
                  <c:v>59.389698290696337</c:v>
                </c:pt>
                <c:pt idx="19">
                  <c:v>59.942729875914736</c:v>
                </c:pt>
                <c:pt idx="20">
                  <c:v>63.36406396989652</c:v>
                </c:pt>
                <c:pt idx="21">
                  <c:v>61.257714407320705</c:v>
                </c:pt>
                <c:pt idx="22">
                  <c:v>68.115071419036184</c:v>
                </c:pt>
                <c:pt idx="23">
                  <c:v>73.690169102894814</c:v>
                </c:pt>
                <c:pt idx="24">
                  <c:v>70.75955265610439</c:v>
                </c:pt>
                <c:pt idx="25">
                  <c:v>70.963416969929128</c:v>
                </c:pt>
                <c:pt idx="26">
                  <c:v>72.083207717817317</c:v>
                </c:pt>
                <c:pt idx="27">
                  <c:v>67.066908149749921</c:v>
                </c:pt>
              </c:numCache>
            </c:numRef>
          </c:val>
          <c:extLst>
            <c:ext xmlns:c16="http://schemas.microsoft.com/office/drawing/2014/chart" uri="{C3380CC4-5D6E-409C-BE32-E72D297353CC}">
              <c16:uniqueId val="{00000000-2A1E-43E5-808A-64715AE5C920}"/>
            </c:ext>
          </c:extLst>
        </c:ser>
        <c:ser>
          <c:idx val="1"/>
          <c:order val="1"/>
          <c:tx>
            <c:strRef>
              <c:f>Blad1!$U$2</c:f>
              <c:strCache>
                <c:ptCount val="1"/>
                <c:pt idx="0">
                  <c:v>Girls</c:v>
                </c:pt>
              </c:strCache>
            </c:strRef>
          </c:tx>
          <c:spPr>
            <a:solidFill>
              <a:schemeClr val="accent4"/>
            </a:solidFill>
            <a:ln>
              <a:noFill/>
            </a:ln>
            <a:effectLst/>
          </c:spPr>
          <c:invertIfNegative val="0"/>
          <c:dLbls>
            <c:dLbl>
              <c:idx val="27"/>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0-4093-AD45-B565-9A5C0221C35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Blad1!$S$3:$S$30</c:f>
              <c:strCache>
                <c:ptCount val="28"/>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Malta</c:v>
                </c:pt>
                <c:pt idx="15">
                  <c:v>Netherlands</c:v>
                </c:pt>
                <c:pt idx="16">
                  <c:v>Poland</c:v>
                </c:pt>
                <c:pt idx="17">
                  <c:v>Portugal</c:v>
                </c:pt>
                <c:pt idx="18">
                  <c:v>Slovakia</c:v>
                </c:pt>
                <c:pt idx="19">
                  <c:v>Slovenia</c:v>
                </c:pt>
                <c:pt idx="20">
                  <c:v>Spain</c:v>
                </c:pt>
                <c:pt idx="21">
                  <c:v>Sweden</c:v>
                </c:pt>
                <c:pt idx="22">
                  <c:v>Switzerland</c:v>
                </c:pt>
                <c:pt idx="23">
                  <c:v>UK (England)</c:v>
                </c:pt>
                <c:pt idx="24">
                  <c:v>UK (N. Ireland)</c:v>
                </c:pt>
                <c:pt idx="25">
                  <c:v>UK (Scotland)</c:v>
                </c:pt>
                <c:pt idx="26">
                  <c:v>UK (Wales)</c:v>
                </c:pt>
                <c:pt idx="27">
                  <c:v>Total average (27)</c:v>
                </c:pt>
              </c:strCache>
            </c:strRef>
          </c:cat>
          <c:val>
            <c:numRef>
              <c:f>Blad1!$U$3:$U$30</c:f>
              <c:numCache>
                <c:formatCode>0.00</c:formatCode>
                <c:ptCount val="28"/>
                <c:pt idx="0">
                  <c:v>33.541992696922271</c:v>
                </c:pt>
                <c:pt idx="1">
                  <c:v>35.40652273771245</c:v>
                </c:pt>
                <c:pt idx="2">
                  <c:v>39.272271016311166</c:v>
                </c:pt>
                <c:pt idx="3">
                  <c:v>37.47052004636847</c:v>
                </c:pt>
                <c:pt idx="4">
                  <c:v>31.914232442510876</c:v>
                </c:pt>
                <c:pt idx="5">
                  <c:v>29.979570990806948</c:v>
                </c:pt>
                <c:pt idx="6">
                  <c:v>31.866142084320654</c:v>
                </c:pt>
                <c:pt idx="7">
                  <c:v>34.106781682714747</c:v>
                </c:pt>
                <c:pt idx="8">
                  <c:v>33.449972662657188</c:v>
                </c:pt>
                <c:pt idx="9">
                  <c:v>26.219512195121951</c:v>
                </c:pt>
                <c:pt idx="10">
                  <c:v>32.552896288588272</c:v>
                </c:pt>
                <c:pt idx="11">
                  <c:v>29.900568181818183</c:v>
                </c:pt>
                <c:pt idx="12">
                  <c:v>33.789163925913101</c:v>
                </c:pt>
                <c:pt idx="13">
                  <c:v>35.465879265091864</c:v>
                </c:pt>
                <c:pt idx="14">
                  <c:v>34.482758620689658</c:v>
                </c:pt>
                <c:pt idx="15">
                  <c:v>27.346861964056078</c:v>
                </c:pt>
                <c:pt idx="16">
                  <c:v>35.282654870705613</c:v>
                </c:pt>
                <c:pt idx="17">
                  <c:v>29.849246231155778</c:v>
                </c:pt>
                <c:pt idx="18">
                  <c:v>40.610301709303656</c:v>
                </c:pt>
                <c:pt idx="19">
                  <c:v>40.057270124085271</c:v>
                </c:pt>
                <c:pt idx="20">
                  <c:v>36.63593603010348</c:v>
                </c:pt>
                <c:pt idx="21">
                  <c:v>38.742285592679295</c:v>
                </c:pt>
                <c:pt idx="22">
                  <c:v>31.884928580963823</c:v>
                </c:pt>
                <c:pt idx="23">
                  <c:v>26.309830897105186</c:v>
                </c:pt>
                <c:pt idx="24">
                  <c:v>29.240447343895621</c:v>
                </c:pt>
                <c:pt idx="25">
                  <c:v>29.036583030070869</c:v>
                </c:pt>
                <c:pt idx="26">
                  <c:v>27.916792282182694</c:v>
                </c:pt>
                <c:pt idx="27">
                  <c:v>32.933091850250072</c:v>
                </c:pt>
              </c:numCache>
            </c:numRef>
          </c:val>
          <c:extLst>
            <c:ext xmlns:c16="http://schemas.microsoft.com/office/drawing/2014/chart" uri="{C3380CC4-5D6E-409C-BE32-E72D297353CC}">
              <c16:uniqueId val="{00000001-2A1E-43E5-808A-64715AE5C920}"/>
            </c:ext>
          </c:extLst>
        </c:ser>
        <c:dLbls>
          <c:showLegendKey val="0"/>
          <c:showVal val="0"/>
          <c:showCatName val="0"/>
          <c:showSerName val="0"/>
          <c:showPercent val="0"/>
          <c:showBubbleSize val="0"/>
        </c:dLbls>
        <c:gapWidth val="7"/>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571265548328204E-2"/>
          <c:y val="3.9573378839590445E-2"/>
          <c:w val="0.85412040886193574"/>
          <c:h val="0.92103598398323072"/>
        </c:manualLayout>
      </c:layout>
      <c:barChart>
        <c:barDir val="bar"/>
        <c:grouping val="clustered"/>
        <c:varyColors val="0"/>
        <c:ser>
          <c:idx val="0"/>
          <c:order val="0"/>
          <c:tx>
            <c:strRef>
              <c:f>'3c.3 - ISCED 1&amp;2'!$W$2</c:f>
              <c:strCache>
                <c:ptCount val="1"/>
                <c:pt idx="0">
                  <c:v>ISCED 1</c:v>
                </c:pt>
              </c:strCache>
            </c:strRef>
          </c:tx>
          <c:spPr>
            <a:solidFill>
              <a:srgbClr val="17255B"/>
            </a:solidFill>
            <a:ln>
              <a:noFill/>
            </a:ln>
            <a:effectLst/>
          </c:spPr>
          <c:invertIfNegative val="0"/>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F733-8343-B61D-EBABB9696537}"/>
                </c:ext>
              </c:extLst>
            </c:dLbl>
            <c:dLbl>
              <c:idx val="16"/>
              <c:layout>
                <c:manualLayout>
                  <c:x val="-0.34368530020703936"/>
                  <c:y val="6.2570380708357642E-1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F971-6845-9823-B97FD7A0DA75}"/>
                </c:ext>
              </c:extLst>
            </c:dLbl>
            <c:dLbl>
              <c:idx val="2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733-8343-B61D-EBABB9696537}"/>
                </c:ext>
              </c:extLst>
            </c:dLbl>
            <c:dLbl>
              <c:idx val="2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F733-8343-B61D-EBABB969653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'3c.3 - ISCED 1&amp;2'!$V$3:$V$32</c:f>
              <c:strCache>
                <c:ptCount val="30"/>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'3c.3 - ISCED 1&amp;2'!$W$3:$W$32</c:f>
              <c:numCache>
                <c:formatCode>0.00</c:formatCode>
                <c:ptCount val="30"/>
                <c:pt idx="0">
                  <c:v>11.974070450097846</c:v>
                </c:pt>
                <c:pt idx="1">
                  <c:v>45.788124256837101</c:v>
                </c:pt>
                <c:pt idx="2">
                  <c:v>9.0529455630126758</c:v>
                </c:pt>
                <c:pt idx="3">
                  <c:v>12.177627007806432</c:v>
                </c:pt>
                <c:pt idx="4">
                  <c:v>19.756097560975611</c:v>
                </c:pt>
                <c:pt idx="5">
                  <c:v>5.3983739837398375</c:v>
                </c:pt>
                <c:pt idx="6">
                  <c:v>15.23491070465507</c:v>
                </c:pt>
                <c:pt idx="7">
                  <c:v>21.12269764528568</c:v>
                </c:pt>
                <c:pt idx="8">
                  <c:v>6.7155577086918026</c:v>
                </c:pt>
                <c:pt idx="9">
                  <c:v>1.65470786352321</c:v>
                </c:pt>
                <c:pt idx="10">
                  <c:v>5.6007036732508553</c:v>
                </c:pt>
                <c:pt idx="11">
                  <c:v>0.75913046190312816</c:v>
                </c:pt>
                <c:pt idx="12">
                  <c:v>30.091389284815961</c:v>
                </c:pt>
                <c:pt idx="13">
                  <c:v>2.8282720273738238</c:v>
                </c:pt>
                <c:pt idx="14">
                  <c:v>12.045454545454545</c:v>
                </c:pt>
                <c:pt idx="15">
                  <c:v>1.1857707509881421</c:v>
                </c:pt>
                <c:pt idx="16">
                  <c:v>40.813286077219836</c:v>
                </c:pt>
                <c:pt idx="17">
                  <c:v>1.306567273021918</c:v>
                </c:pt>
                <c:pt idx="18">
                  <c:v>22.346016562527087</c:v>
                </c:pt>
                <c:pt idx="19">
                  <c:v>0.22229951457044778</c:v>
                </c:pt>
                <c:pt idx="20">
                  <c:v>11.190191553838028</c:v>
                </c:pt>
                <c:pt idx="21">
                  <c:v>16.221854542838646</c:v>
                </c:pt>
                <c:pt idx="22">
                  <c:v>9.5334156478792416</c:v>
                </c:pt>
                <c:pt idx="23">
                  <c:v>52.201436130007565</c:v>
                </c:pt>
                <c:pt idx="24">
                  <c:v>30.29142663503897</c:v>
                </c:pt>
                <c:pt idx="25">
                  <c:v>24.506844057822693</c:v>
                </c:pt>
                <c:pt idx="26">
                  <c:v>15.783327927343496</c:v>
                </c:pt>
                <c:pt idx="27">
                  <c:v>2.1596738129685651</c:v>
                </c:pt>
                <c:pt idx="28">
                  <c:v>12.062648836783293</c:v>
                </c:pt>
                <c:pt idx="29">
                  <c:v>14.927160412262156</c:v>
                </c:pt>
              </c:numCache>
            </c:numRef>
          </c:val>
          <c:extLst>
            <c:ext xmlns:c16="http://schemas.microsoft.com/office/drawing/2014/chart" uri="{C3380CC4-5D6E-409C-BE32-E72D297353CC}">
              <c16:uniqueId val="{00000000-8135-4655-8F11-6B1A2E5A116A}"/>
            </c:ext>
          </c:extLst>
        </c:ser>
        <c:ser>
          <c:idx val="1"/>
          <c:order val="1"/>
          <c:tx>
            <c:strRef>
              <c:f>'3c.3 - ISCED 1&amp;2'!$X$2</c:f>
              <c:strCache>
                <c:ptCount val="1"/>
                <c:pt idx="0">
                  <c:v>ISCED 2</c:v>
                </c:pt>
              </c:strCache>
            </c:strRef>
          </c:tx>
          <c:spPr>
            <a:solidFill>
              <a:schemeClr val="accent4"/>
            </a:solidFill>
            <a:ln>
              <a:noFill/>
            </a:ln>
            <a:effectLst/>
          </c:spPr>
          <c:invertIfNegative val="0"/>
          <c:dLbls>
            <c:dLbl>
              <c:idx val="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733-8343-B61D-EBABB9696537}"/>
                </c:ext>
              </c:extLst>
            </c:dLbl>
            <c:dLbl>
              <c:idx val="16"/>
              <c:layout>
                <c:manualLayout>
                  <c:x val="-0.1035196687370602"/>
                  <c:y val="1.3436886948290307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971-6845-9823-B97FD7A0DA75}"/>
                </c:ext>
              </c:extLst>
            </c:dLbl>
            <c:dLbl>
              <c:idx val="23"/>
              <c:layout>
                <c:manualLayout>
                  <c:x val="-0.12422360248447206"/>
                  <c:y val="-8.6736173798840355E-19"/>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927519929574018"/>
                      <c:h val="2.9360135443820375E-2"/>
                    </c:manualLayout>
                  </c15:layout>
                </c:ext>
                <c:ext xmlns:c16="http://schemas.microsoft.com/office/drawing/2014/chart" uri="{C3380CC4-5D6E-409C-BE32-E72D297353CC}">
                  <c16:uniqueId val="{00000000-BC16-714E-A988-FC2F1BB80115}"/>
                </c:ext>
              </c:extLst>
            </c:dLbl>
            <c:dLbl>
              <c:idx val="2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4-F733-8343-B61D-EBABB969653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'3c.3 - ISCED 1&amp;2'!$V$3:$V$32</c:f>
              <c:strCache>
                <c:ptCount val="30"/>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'3c.3 - ISCED 1&amp;2'!$X$3:$X$32</c:f>
              <c:numCache>
                <c:formatCode>0.00</c:formatCode>
                <c:ptCount val="30"/>
                <c:pt idx="0">
                  <c:v>19.288160469667321</c:v>
                </c:pt>
                <c:pt idx="1">
                  <c:v>35.105157550535075</c:v>
                </c:pt>
                <c:pt idx="2">
                  <c:v>8.7770320656226701</c:v>
                </c:pt>
                <c:pt idx="3">
                  <c:v>13.384354436588058</c:v>
                </c:pt>
                <c:pt idx="4">
                  <c:v>15.920177383592019</c:v>
                </c:pt>
                <c:pt idx="5">
                  <c:v>4.3977485928705446</c:v>
                </c:pt>
                <c:pt idx="6">
                  <c:v>1.9977810992803979</c:v>
                </c:pt>
                <c:pt idx="7">
                  <c:v>35.491250562743446</c:v>
                </c:pt>
                <c:pt idx="8">
                  <c:v>8.5615008102103207</c:v>
                </c:pt>
                <c:pt idx="9">
                  <c:v>0.74681505344852828</c:v>
                </c:pt>
                <c:pt idx="10">
                  <c:v>5.4247853605369327</c:v>
                </c:pt>
                <c:pt idx="11">
                  <c:v>0.11914044225431182</c:v>
                </c:pt>
                <c:pt idx="12">
                  <c:v>18.34493166764484</c:v>
                </c:pt>
                <c:pt idx="13">
                  <c:v>5.3197177074422584</c:v>
                </c:pt>
                <c:pt idx="14">
                  <c:v>11.59090909090909</c:v>
                </c:pt>
                <c:pt idx="15">
                  <c:v>4.1633728590250332</c:v>
                </c:pt>
                <c:pt idx="16">
                  <c:v>59.186713922780164</c:v>
                </c:pt>
                <c:pt idx="17">
                  <c:v>1.5253413280395414</c:v>
                </c:pt>
                <c:pt idx="18">
                  <c:v>18.088769472000504</c:v>
                </c:pt>
                <c:pt idx="19">
                  <c:v>1.2823808731682973</c:v>
                </c:pt>
                <c:pt idx="20">
                  <c:v>13.044566154188328</c:v>
                </c:pt>
                <c:pt idx="21">
                  <c:v>6.3880296381555288</c:v>
                </c:pt>
                <c:pt idx="22">
                  <c:v>5.8715777147858947</c:v>
                </c:pt>
                <c:pt idx="23">
                  <c:v>36.59297052154195</c:v>
                </c:pt>
                <c:pt idx="24">
                  <c:v>20.4778041341918</c:v>
                </c:pt>
                <c:pt idx="25">
                  <c:v>20.126647051298452</c:v>
                </c:pt>
                <c:pt idx="26">
                  <c:v>12.059682127797601</c:v>
                </c:pt>
                <c:pt idx="27">
                  <c:v>1.2738392739708009</c:v>
                </c:pt>
                <c:pt idx="28">
                  <c:v>18.318373328448434</c:v>
                </c:pt>
                <c:pt idx="29">
                  <c:v>15.317556010688277</c:v>
                </c:pt>
              </c:numCache>
            </c:numRef>
          </c:val>
          <c:extLst>
            <c:ext xmlns:c16="http://schemas.microsoft.com/office/drawing/2014/chart" uri="{C3380CC4-5D6E-409C-BE32-E72D297353CC}">
              <c16:uniqueId val="{00000001-8135-4655-8F11-6B1A2E5A116A}"/>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6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609065758672051E-2"/>
          <c:y val="4.3248430804155524E-2"/>
          <c:w val="0.8344908081915956"/>
          <c:h val="0.9185940743001364"/>
        </c:manualLayout>
      </c:layout>
      <c:barChart>
        <c:barDir val="bar"/>
        <c:grouping val="clustered"/>
        <c:varyColors val="0"/>
        <c:ser>
          <c:idx val="0"/>
          <c:order val="0"/>
          <c:tx>
            <c:strRef>
              <c:f>'3c.3 - ISCED 1&amp;2'!$Z$2</c:f>
              <c:strCache>
                <c:ptCount val="1"/>
                <c:pt idx="0">
                  <c:v>ISCED 1</c:v>
                </c:pt>
              </c:strCache>
            </c:strRef>
          </c:tx>
          <c:spPr>
            <a:solidFill>
              <a:srgbClr val="17255B"/>
            </a:solidFill>
            <a:ln>
              <a:noFill/>
            </a:ln>
            <a:effectLst/>
          </c:spPr>
          <c:invertIfNegative val="0"/>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2ED3-3345-B6A8-8A8786B36A81}"/>
                </c:ext>
              </c:extLst>
            </c:dLbl>
            <c:dLbl>
              <c:idx val="1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2ED3-3345-B6A8-8A8786B36A81}"/>
                </c:ext>
              </c:extLst>
            </c:dLbl>
            <c:dLbl>
              <c:idx val="2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2ED3-3345-B6A8-8A8786B36A81}"/>
                </c:ext>
              </c:extLst>
            </c:dLbl>
            <c:dLbl>
              <c:idx val="2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2ED3-3345-B6A8-8A8786B36A8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'3c.3 - ISCED 1&amp;2'!$Y$3:$Y$32</c:f>
              <c:strCache>
                <c:ptCount val="30"/>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'3c.3 - ISCED 1&amp;2'!$Z$3:$Z$32</c:f>
              <c:numCache>
                <c:formatCode>0.00</c:formatCode>
                <c:ptCount val="30"/>
                <c:pt idx="0">
                  <c:v>30.673629242819842</c:v>
                </c:pt>
                <c:pt idx="1">
                  <c:v>79.602713178294564</c:v>
                </c:pt>
                <c:pt idx="2">
                  <c:v>17.036205444849845</c:v>
                </c:pt>
                <c:pt idx="3">
                  <c:v>25.049919078546356</c:v>
                </c:pt>
                <c:pt idx="4">
                  <c:v>31.434115364261771</c:v>
                </c:pt>
                <c:pt idx="5">
                  <c:v>9.0111909136462334</c:v>
                </c:pt>
                <c:pt idx="6">
                  <c:v>23.373384318059585</c:v>
                </c:pt>
                <c:pt idx="7">
                  <c:v>52.177302864188277</c:v>
                </c:pt>
                <c:pt idx="8">
                  <c:v>13.350159404888418</c:v>
                </c:pt>
                <c:pt idx="9">
                  <c:v>2.4677877265778552</c:v>
                </c:pt>
                <c:pt idx="10">
                  <c:v>7.599304672703215</c:v>
                </c:pt>
                <c:pt idx="11">
                  <c:v>1.3396444493367825</c:v>
                </c:pt>
                <c:pt idx="12">
                  <c:v>46.36950904392765</c:v>
                </c:pt>
                <c:pt idx="13">
                  <c:v>5.0211190736082765</c:v>
                </c:pt>
                <c:pt idx="14">
                  <c:v>18.794326241134751</c:v>
                </c:pt>
                <c:pt idx="15">
                  <c:v>1.9019442096365173</c:v>
                </c:pt>
                <c:pt idx="16">
                  <c:v>100</c:v>
                </c:pt>
                <c:pt idx="17">
                  <c:v>2.1090837747694722</c:v>
                </c:pt>
                <c:pt idx="18">
                  <c:v>35.961097092426108</c:v>
                </c:pt>
                <c:pt idx="19">
                  <c:v>0.37522015468259434</c:v>
                </c:pt>
                <c:pt idx="20">
                  <c:v>24.79058881497906</c:v>
                </c:pt>
                <c:pt idx="21">
                  <c:v>27.770935960591132</c:v>
                </c:pt>
                <c:pt idx="22">
                  <c:v>15.104008816641409</c:v>
                </c:pt>
                <c:pt idx="23">
                  <c:v>88.4</c:v>
                </c:pt>
                <c:pt idx="24">
                  <c:v>50.654502181673941</c:v>
                </c:pt>
                <c:pt idx="25">
                  <c:v>40.22974022974023</c:v>
                </c:pt>
                <c:pt idx="26">
                  <c:v>30.385912326714127</c:v>
                </c:pt>
                <c:pt idx="27">
                  <c:v>3.5773030794871512</c:v>
                </c:pt>
                <c:pt idx="28">
                  <c:v>26.795523906408953</c:v>
                </c:pt>
                <c:pt idx="29">
                  <c:v>27.037808055247382</c:v>
                </c:pt>
              </c:numCache>
            </c:numRef>
          </c:val>
          <c:extLst>
            <c:ext xmlns:c16="http://schemas.microsoft.com/office/drawing/2014/chart" uri="{C3380CC4-5D6E-409C-BE32-E72D297353CC}">
              <c16:uniqueId val="{00000000-12B6-45A2-9041-F4F1C82921D9}"/>
            </c:ext>
          </c:extLst>
        </c:ser>
        <c:ser>
          <c:idx val="1"/>
          <c:order val="1"/>
          <c:tx>
            <c:strRef>
              <c:f>'3c.3 - ISCED 1&amp;2'!$AA$2</c:f>
              <c:strCache>
                <c:ptCount val="1"/>
                <c:pt idx="0">
                  <c:v>ISCED2</c:v>
                </c:pt>
              </c:strCache>
            </c:strRef>
          </c:tx>
          <c:spPr>
            <a:solidFill>
              <a:schemeClr val="accent4"/>
            </a:solidFill>
            <a:ln>
              <a:noFill/>
            </a:ln>
            <a:effectLst/>
          </c:spPr>
          <c:invertIfNegative val="0"/>
          <c:dLbls>
            <c:dLbl>
              <c:idx val="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ED3-3345-B6A8-8A8786B36A81}"/>
                </c:ext>
              </c:extLst>
            </c:dLbl>
            <c:dLbl>
              <c:idx val="16"/>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ED3-3345-B6A8-8A8786B36A81}"/>
                </c:ext>
              </c:extLst>
            </c:dLbl>
            <c:dLbl>
              <c:idx val="2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ED3-3345-B6A8-8A8786B36A81}"/>
                </c:ext>
              </c:extLst>
            </c:dLbl>
            <c:dLbl>
              <c:idx val="2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7-2ED3-3345-B6A8-8A8786B36A8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'3c.3 - ISCED 1&amp;2'!$Y$3:$Y$32</c:f>
              <c:strCache>
                <c:ptCount val="30"/>
                <c:pt idx="0">
                  <c:v>Austria</c:v>
                </c:pt>
                <c:pt idx="1">
                  <c:v>Belgium (Fl)</c:v>
                </c:pt>
                <c:pt idx="2">
                  <c:v>Bulgaria</c:v>
                </c:pt>
                <c:pt idx="3">
                  <c:v>Czech Republic</c:v>
                </c:pt>
                <c:pt idx="4">
                  <c:v>Estonia</c:v>
                </c:pt>
                <c:pt idx="5">
                  <c:v>Finland</c:v>
                </c:pt>
                <c:pt idx="6">
                  <c:v>France</c:v>
                </c:pt>
                <c:pt idx="7">
                  <c:v>Germany</c:v>
                </c:pt>
                <c:pt idx="8">
                  <c:v>Greece</c:v>
                </c:pt>
                <c:pt idx="9">
                  <c:v>Iceland </c:v>
                </c:pt>
                <c:pt idx="10">
                  <c:v>Ireland</c:v>
                </c:pt>
                <c:pt idx="11">
                  <c:v>Italy</c:v>
                </c:pt>
                <c:pt idx="12">
                  <c:v>Latvia</c:v>
                </c:pt>
                <c:pt idx="13">
                  <c:v>Lithuania</c:v>
                </c:pt>
                <c:pt idx="14">
                  <c:v>Luxembourg</c:v>
                </c:pt>
                <c:pt idx="15">
                  <c:v>Malta</c:v>
                </c:pt>
                <c:pt idx="16">
                  <c:v>Netherlands</c:v>
                </c:pt>
                <c:pt idx="17">
                  <c:v>Norway</c:v>
                </c:pt>
                <c:pt idx="18">
                  <c:v>Poland</c:v>
                </c:pt>
                <c:pt idx="19">
                  <c:v>Portugal</c:v>
                </c:pt>
                <c:pt idx="20">
                  <c:v>Slovakia</c:v>
                </c:pt>
                <c:pt idx="21">
                  <c:v>Slovenia</c:v>
                </c:pt>
                <c:pt idx="22">
                  <c:v>Spain</c:v>
                </c:pt>
                <c:pt idx="23">
                  <c:v>Sweden</c:v>
                </c:pt>
                <c:pt idx="24">
                  <c:v>Switzerland</c:v>
                </c:pt>
                <c:pt idx="25">
                  <c:v>UK (England)</c:v>
                </c:pt>
                <c:pt idx="26">
                  <c:v>UK (N. Ireland)</c:v>
                </c:pt>
                <c:pt idx="27">
                  <c:v>UK (Scotland)</c:v>
                </c:pt>
                <c:pt idx="28">
                  <c:v>UK (Wales)</c:v>
                </c:pt>
                <c:pt idx="29">
                  <c:v>Total average (29)</c:v>
                </c:pt>
              </c:strCache>
            </c:strRef>
          </c:cat>
          <c:val>
            <c:numRef>
              <c:f>'3c.3 - ISCED 1&amp;2'!$AA$3:$AA$32</c:f>
              <c:numCache>
                <c:formatCode>0.00</c:formatCode>
                <c:ptCount val="30"/>
                <c:pt idx="0">
                  <c:v>31.639135959339264</c:v>
                </c:pt>
                <c:pt idx="1">
                  <c:v>82.640832750174951</c:v>
                </c:pt>
                <c:pt idx="2">
                  <c:v>18.730108211330361</c:v>
                </c:pt>
                <c:pt idx="3">
                  <c:v>26.046409894414506</c:v>
                </c:pt>
                <c:pt idx="4">
                  <c:v>42.852879737391824</c:v>
                </c:pt>
                <c:pt idx="5">
                  <c:v>10.968989829662444</c:v>
                </c:pt>
                <c:pt idx="6">
                  <c:v>5.7375507539801074</c:v>
                </c:pt>
                <c:pt idx="7">
                  <c:v>59.631662247435827</c:v>
                </c:pt>
                <c:pt idx="8">
                  <c:v>17.227469830918686</c:v>
                </c:pt>
                <c:pt idx="9">
                  <c:v>2.2666666666666666</c:v>
                </c:pt>
                <c:pt idx="10">
                  <c:v>20.626726770394065</c:v>
                </c:pt>
                <c:pt idx="11">
                  <c:v>0.27493882251331508</c:v>
                </c:pt>
                <c:pt idx="12">
                  <c:v>52.25698590876523</c:v>
                </c:pt>
                <c:pt idx="13">
                  <c:v>12.180938972883638</c:v>
                </c:pt>
                <c:pt idx="14">
                  <c:v>32.278481012658226</c:v>
                </c:pt>
                <c:pt idx="15">
                  <c:v>11.056682995101468</c:v>
                </c:pt>
                <c:pt idx="16">
                  <c:v>100</c:v>
                </c:pt>
                <c:pt idx="17">
                  <c:v>4.0087308347529813</c:v>
                </c:pt>
                <c:pt idx="18">
                  <c:v>47.777315296566073</c:v>
                </c:pt>
                <c:pt idx="19">
                  <c:v>3.1465677179962896</c:v>
                </c:pt>
                <c:pt idx="20">
                  <c:v>23.777428672781635</c:v>
                </c:pt>
                <c:pt idx="21">
                  <c:v>15.360664244940322</c:v>
                </c:pt>
                <c:pt idx="22">
                  <c:v>15.920093046649065</c:v>
                </c:pt>
                <c:pt idx="23">
                  <c:v>89.363174896169824</c:v>
                </c:pt>
                <c:pt idx="24">
                  <c:v>50.93989715923459</c:v>
                </c:pt>
                <c:pt idx="25">
                  <c:v>51.497495990311279</c:v>
                </c:pt>
                <c:pt idx="26">
                  <c:v>25.094492440604753</c:v>
                </c:pt>
                <c:pt idx="27">
                  <c:v>3.214457591397136</c:v>
                </c:pt>
                <c:pt idx="28">
                  <c:v>33.316674995835413</c:v>
                </c:pt>
                <c:pt idx="29">
                  <c:v>34.197439435237627</c:v>
                </c:pt>
              </c:numCache>
            </c:numRef>
          </c:val>
          <c:extLst>
            <c:ext xmlns:c16="http://schemas.microsoft.com/office/drawing/2014/chart" uri="{C3380CC4-5D6E-409C-BE32-E72D297353CC}">
              <c16:uniqueId val="{00000001-12B6-45A2-9041-F4F1C82921D9}"/>
            </c:ext>
          </c:extLst>
        </c:ser>
        <c:dLbls>
          <c:showLegendKey val="0"/>
          <c:showVal val="0"/>
          <c:showCatName val="0"/>
          <c:showSerName val="0"/>
          <c:showPercent val="0"/>
          <c:showBubbleSize val="0"/>
        </c:dLbls>
        <c:gapWidth val="5"/>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spPr>
              <a:solidFill>
                <a:srgbClr val="F9C623"/>
              </a:solidFill>
              <a:ln>
                <a:noFill/>
              </a:ln>
              <a:effectLst/>
            </c:spPr>
            <c:extLst>
              <c:ext xmlns:c16="http://schemas.microsoft.com/office/drawing/2014/chart" uri="{C3380CC4-5D6E-409C-BE32-E72D297353CC}">
                <c16:uniqueId val="{00000001-6812-44A0-89A0-0B831DDB1345}"/>
              </c:ext>
            </c:extLst>
          </c:dPt>
          <c:dPt>
            <c:idx val="27"/>
            <c:invertIfNegative val="0"/>
            <c:bubble3D val="0"/>
            <c:extLst>
              <c:ext xmlns:c16="http://schemas.microsoft.com/office/drawing/2014/chart" uri="{C3380CC4-5D6E-409C-BE32-E72D297353CC}">
                <c16:uniqueId val="{00000003-6812-44A0-89A0-0B831DDB1345}"/>
              </c:ext>
            </c:extLst>
          </c:dPt>
          <c:dLbls>
            <c:dLbl>
              <c:idx val="1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E426-E648-8CF2-FEA7A7A7537A}"/>
                </c:ext>
              </c:extLst>
            </c:dLbl>
            <c:dLbl>
              <c:idx val="2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6812-44A0-89A0-0B831DDB1345}"/>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'3c.5 - ISCED 1&amp;2 '!$V$3:$V$23</c:f>
              <c:strCache>
                <c:ptCount val="21"/>
                <c:pt idx="0">
                  <c:v>Bulgaria</c:v>
                </c:pt>
                <c:pt idx="1">
                  <c:v>Czech Republic</c:v>
                </c:pt>
                <c:pt idx="2">
                  <c:v>Estonia</c:v>
                </c:pt>
                <c:pt idx="3">
                  <c:v>Finland</c:v>
                </c:pt>
                <c:pt idx="4">
                  <c:v>France</c:v>
                </c:pt>
                <c:pt idx="5">
                  <c:v>Greece</c:v>
                </c:pt>
                <c:pt idx="6">
                  <c:v>Iceland </c:v>
                </c:pt>
                <c:pt idx="7">
                  <c:v>Ireland</c:v>
                </c:pt>
                <c:pt idx="8">
                  <c:v>Latvia</c:v>
                </c:pt>
                <c:pt idx="9">
                  <c:v>Lithuania</c:v>
                </c:pt>
                <c:pt idx="10">
                  <c:v>Luxembourg</c:v>
                </c:pt>
                <c:pt idx="11">
                  <c:v>Poland</c:v>
                </c:pt>
                <c:pt idx="12">
                  <c:v>Portugal</c:v>
                </c:pt>
                <c:pt idx="13">
                  <c:v>Slovakia</c:v>
                </c:pt>
                <c:pt idx="14">
                  <c:v>Slovenia</c:v>
                </c:pt>
                <c:pt idx="15">
                  <c:v>Spain</c:v>
                </c:pt>
                <c:pt idx="16">
                  <c:v>Switzerland</c:v>
                </c:pt>
                <c:pt idx="17">
                  <c:v>UK (England)</c:v>
                </c:pt>
                <c:pt idx="18">
                  <c:v>UK (N. Ireland)</c:v>
                </c:pt>
                <c:pt idx="19">
                  <c:v>UK (Wales)</c:v>
                </c:pt>
                <c:pt idx="20">
                  <c:v>Total average (20)</c:v>
                </c:pt>
              </c:strCache>
            </c:strRef>
          </c:cat>
          <c:val>
            <c:numRef>
              <c:f>'3c.5 - ISCED 1&amp;2 '!$W$3:$W$23</c:f>
              <c:numCache>
                <c:formatCode>0.00</c:formatCode>
                <c:ptCount val="21"/>
                <c:pt idx="0">
                  <c:v>18.620432513049963</c:v>
                </c:pt>
                <c:pt idx="1">
                  <c:v>31.836759717170064</c:v>
                </c:pt>
                <c:pt idx="2">
                  <c:v>62.660753880266071</c:v>
                </c:pt>
                <c:pt idx="3">
                  <c:v>61.018136335209505</c:v>
                </c:pt>
                <c:pt idx="4">
                  <c:v>41.091652926945777</c:v>
                </c:pt>
                <c:pt idx="5">
                  <c:v>16.294415395666629</c:v>
                </c:pt>
                <c:pt idx="6">
                  <c:v>8.1856787230926926</c:v>
                </c:pt>
                <c:pt idx="7">
                  <c:v>20.549935942788306</c:v>
                </c:pt>
                <c:pt idx="8">
                  <c:v>60.94575333277438</c:v>
                </c:pt>
                <c:pt idx="9">
                  <c:v>10.57795124037639</c:v>
                </c:pt>
                <c:pt idx="10">
                  <c:v>50</c:v>
                </c:pt>
                <c:pt idx="11">
                  <c:v>43.117726316453002</c:v>
                </c:pt>
                <c:pt idx="12">
                  <c:v>15.533745671208433</c:v>
                </c:pt>
                <c:pt idx="13">
                  <c:v>37.323806611248578</c:v>
                </c:pt>
                <c:pt idx="14">
                  <c:v>26.199553988921657</c:v>
                </c:pt>
                <c:pt idx="15">
                  <c:v>19.616367841677825</c:v>
                </c:pt>
                <c:pt idx="16">
                  <c:v>100</c:v>
                </c:pt>
                <c:pt idx="17">
                  <c:v>48.044646283740569</c:v>
                </c:pt>
                <c:pt idx="18">
                  <c:v>40</c:v>
                </c:pt>
                <c:pt idx="19">
                  <c:v>53.553764425718995</c:v>
                </c:pt>
                <c:pt idx="20">
                  <c:v>35.848939115495824</c:v>
                </c:pt>
              </c:numCache>
            </c:numRef>
          </c:val>
          <c:extLst>
            <c:ext xmlns:c16="http://schemas.microsoft.com/office/drawing/2014/chart" uri="{C3380CC4-5D6E-409C-BE32-E72D297353CC}">
              <c16:uniqueId val="{00000004-6812-44A0-89A0-0B831DDB1345}"/>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Blad1!$Y$2</c:f>
              <c:strCache>
                <c:ptCount val="1"/>
                <c:pt idx="0">
                  <c:v>Boys</c:v>
                </c:pt>
              </c:strCache>
            </c:strRef>
          </c:tx>
          <c:spPr>
            <a:solidFill>
              <a:srgbClr val="17255B"/>
            </a:solidFill>
            <a:ln>
              <a:noFill/>
            </a:ln>
            <a:effectLst/>
          </c:spPr>
          <c:invertIfNegative val="0"/>
          <c:dLbls>
            <c:dLbl>
              <c:idx val="15"/>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FFA0-A247-8151-648C32B075F3}"/>
                </c:ext>
              </c:extLst>
            </c:dLbl>
            <c:dLbl>
              <c:idx val="1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FA0-A247-8151-648C32B075F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Blad1!$X$3:$X$22</c:f>
              <c:strCache>
                <c:ptCount val="20"/>
                <c:pt idx="0">
                  <c:v>Bulgaria</c:v>
                </c:pt>
                <c:pt idx="1">
                  <c:v>Czech Republic</c:v>
                </c:pt>
                <c:pt idx="2">
                  <c:v>Estonia</c:v>
                </c:pt>
                <c:pt idx="3">
                  <c:v>Finland</c:v>
                </c:pt>
                <c:pt idx="4">
                  <c:v>France</c:v>
                </c:pt>
                <c:pt idx="5">
                  <c:v>Greece</c:v>
                </c:pt>
                <c:pt idx="6">
                  <c:v>Iceland </c:v>
                </c:pt>
                <c:pt idx="7">
                  <c:v>Ireland</c:v>
                </c:pt>
                <c:pt idx="8">
                  <c:v>Latvia</c:v>
                </c:pt>
                <c:pt idx="9">
                  <c:v>Lithuania</c:v>
                </c:pt>
                <c:pt idx="10">
                  <c:v>Poland</c:v>
                </c:pt>
                <c:pt idx="11">
                  <c:v>Portugal</c:v>
                </c:pt>
                <c:pt idx="12">
                  <c:v>Slovakia</c:v>
                </c:pt>
                <c:pt idx="13">
                  <c:v>Slovenia</c:v>
                </c:pt>
                <c:pt idx="14">
                  <c:v>Spain</c:v>
                </c:pt>
                <c:pt idx="15">
                  <c:v>Switzerland</c:v>
                </c:pt>
                <c:pt idx="16">
                  <c:v>UK (England)</c:v>
                </c:pt>
                <c:pt idx="17">
                  <c:v>UK (N. Ireland)</c:v>
                </c:pt>
                <c:pt idx="18">
                  <c:v>UK (Wales)</c:v>
                </c:pt>
                <c:pt idx="19">
                  <c:v>Total average (19)</c:v>
                </c:pt>
              </c:strCache>
            </c:strRef>
          </c:cat>
          <c:val>
            <c:numRef>
              <c:f>Blad1!$Y$3:$Y$22</c:f>
              <c:numCache>
                <c:formatCode>0.00</c:formatCode>
                <c:ptCount val="20"/>
                <c:pt idx="0">
                  <c:v>11.290082028337062</c:v>
                </c:pt>
                <c:pt idx="1">
                  <c:v>20.05660685821719</c:v>
                </c:pt>
                <c:pt idx="2">
                  <c:v>44.556541019955652</c:v>
                </c:pt>
                <c:pt idx="3">
                  <c:v>42.714196372732957</c:v>
                </c:pt>
                <c:pt idx="4">
                  <c:v>26.944234710387228</c:v>
                </c:pt>
                <c:pt idx="5">
                  <c:v>10.815054877132022</c:v>
                </c:pt>
                <c:pt idx="6">
                  <c:v>6.2527456435788551</c:v>
                </c:pt>
                <c:pt idx="7">
                  <c:v>15.213109738608333</c:v>
                </c:pt>
                <c:pt idx="8">
                  <c:v>40.387356418210786</c:v>
                </c:pt>
                <c:pt idx="9">
                  <c:v>6.859495295124038</c:v>
                </c:pt>
                <c:pt idx="10">
                  <c:v>27.78596361286866</c:v>
                </c:pt>
                <c:pt idx="11">
                  <c:v>9.7872276074825706</c:v>
                </c:pt>
                <c:pt idx="12">
                  <c:v>21.522700102866356</c:v>
                </c:pt>
                <c:pt idx="13">
                  <c:v>15.76864973742896</c:v>
                </c:pt>
                <c:pt idx="14">
                  <c:v>12.46833498542105</c:v>
                </c:pt>
                <c:pt idx="15">
                  <c:v>64.872924432395791</c:v>
                </c:pt>
                <c:pt idx="16">
                  <c:v>35.461174363566585</c:v>
                </c:pt>
                <c:pt idx="17">
                  <c:v>28.82906260136231</c:v>
                </c:pt>
                <c:pt idx="18">
                  <c:v>38.926543322952924</c:v>
                </c:pt>
                <c:pt idx="19">
                  <c:v>23.856045197379039</c:v>
                </c:pt>
              </c:numCache>
            </c:numRef>
          </c:val>
          <c:extLst>
            <c:ext xmlns:c16="http://schemas.microsoft.com/office/drawing/2014/chart" uri="{C3380CC4-5D6E-409C-BE32-E72D297353CC}">
              <c16:uniqueId val="{00000000-8505-4C89-ABBE-D84D00E989E2}"/>
            </c:ext>
          </c:extLst>
        </c:ser>
        <c:ser>
          <c:idx val="1"/>
          <c:order val="1"/>
          <c:tx>
            <c:strRef>
              <c:f>Blad1!$Z$2</c:f>
              <c:strCache>
                <c:ptCount val="1"/>
                <c:pt idx="0">
                  <c:v>Girls</c:v>
                </c:pt>
              </c:strCache>
            </c:strRef>
          </c:tx>
          <c:spPr>
            <a:solidFill>
              <a:srgbClr val="F9C623"/>
            </a:solidFill>
            <a:ln>
              <a:noFill/>
            </a:ln>
            <a:effectLst/>
          </c:spPr>
          <c:invertIfNegative val="0"/>
          <c:dLbls>
            <c:dLbl>
              <c:idx val="15"/>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A0-A247-8151-648C32B075F3}"/>
                </c:ext>
              </c:extLst>
            </c:dLbl>
            <c:dLbl>
              <c:idx val="1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FFA0-A247-8151-648C32B075F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Blad1!$X$3:$X$22</c:f>
              <c:strCache>
                <c:ptCount val="20"/>
                <c:pt idx="0">
                  <c:v>Bulgaria</c:v>
                </c:pt>
                <c:pt idx="1">
                  <c:v>Czech Republic</c:v>
                </c:pt>
                <c:pt idx="2">
                  <c:v>Estonia</c:v>
                </c:pt>
                <c:pt idx="3">
                  <c:v>Finland</c:v>
                </c:pt>
                <c:pt idx="4">
                  <c:v>France</c:v>
                </c:pt>
                <c:pt idx="5">
                  <c:v>Greece</c:v>
                </c:pt>
                <c:pt idx="6">
                  <c:v>Iceland </c:v>
                </c:pt>
                <c:pt idx="7">
                  <c:v>Ireland</c:v>
                </c:pt>
                <c:pt idx="8">
                  <c:v>Latvia</c:v>
                </c:pt>
                <c:pt idx="9">
                  <c:v>Lithuania</c:v>
                </c:pt>
                <c:pt idx="10">
                  <c:v>Poland</c:v>
                </c:pt>
                <c:pt idx="11">
                  <c:v>Portugal</c:v>
                </c:pt>
                <c:pt idx="12">
                  <c:v>Slovakia</c:v>
                </c:pt>
                <c:pt idx="13">
                  <c:v>Slovenia</c:v>
                </c:pt>
                <c:pt idx="14">
                  <c:v>Spain</c:v>
                </c:pt>
                <c:pt idx="15">
                  <c:v>Switzerland</c:v>
                </c:pt>
                <c:pt idx="16">
                  <c:v>UK (England)</c:v>
                </c:pt>
                <c:pt idx="17">
                  <c:v>UK (N. Ireland)</c:v>
                </c:pt>
                <c:pt idx="18">
                  <c:v>UK (Wales)</c:v>
                </c:pt>
                <c:pt idx="19">
                  <c:v>Total average (19)</c:v>
                </c:pt>
              </c:strCache>
            </c:strRef>
          </c:cat>
          <c:val>
            <c:numRef>
              <c:f>Blad1!$Z$3:$Z$22</c:f>
              <c:numCache>
                <c:formatCode>0.00</c:formatCode>
                <c:ptCount val="20"/>
                <c:pt idx="0">
                  <c:v>7.3303504847129011</c:v>
                </c:pt>
                <c:pt idx="1">
                  <c:v>11.780152858952874</c:v>
                </c:pt>
                <c:pt idx="2">
                  <c:v>18.104212860310419</c:v>
                </c:pt>
                <c:pt idx="3">
                  <c:v>18.303939962476548</c:v>
                </c:pt>
                <c:pt idx="4">
                  <c:v>14.147418216558547</c:v>
                </c:pt>
                <c:pt idx="5">
                  <c:v>5.4793605185346053</c:v>
                </c:pt>
                <c:pt idx="6">
                  <c:v>1.9329330795138382</c:v>
                </c:pt>
                <c:pt idx="7">
                  <c:v>5.3368262041799719</c:v>
                </c:pt>
                <c:pt idx="8">
                  <c:v>20.558396914563595</c:v>
                </c:pt>
                <c:pt idx="9">
                  <c:v>3.7184559452523525</c:v>
                </c:pt>
                <c:pt idx="10">
                  <c:v>15.331762703584346</c:v>
                </c:pt>
                <c:pt idx="11">
                  <c:v>5.746518063725861</c:v>
                </c:pt>
                <c:pt idx="12">
                  <c:v>15.801106508382217</c:v>
                </c:pt>
                <c:pt idx="13">
                  <c:v>10.430904251492699</c:v>
                </c:pt>
                <c:pt idx="14">
                  <c:v>7.1480328562567754</c:v>
                </c:pt>
                <c:pt idx="15">
                  <c:v>35.127075567604201</c:v>
                </c:pt>
                <c:pt idx="16">
                  <c:v>12.583471920173981</c:v>
                </c:pt>
                <c:pt idx="17">
                  <c:v>11.17093739863769</c:v>
                </c:pt>
                <c:pt idx="18">
                  <c:v>14.627221102766075</c:v>
                </c:pt>
                <c:pt idx="19">
                  <c:v>11.982945530831138</c:v>
                </c:pt>
              </c:numCache>
            </c:numRef>
          </c:val>
          <c:extLst>
            <c:ext xmlns:c16="http://schemas.microsoft.com/office/drawing/2014/chart" uri="{C3380CC4-5D6E-409C-BE32-E72D297353CC}">
              <c16:uniqueId val="{00000001-8505-4C89-ABBE-D84D00E989E2}"/>
            </c:ext>
          </c:extLst>
        </c:ser>
        <c:dLbls>
          <c:showLegendKey val="0"/>
          <c:showVal val="0"/>
          <c:showCatName val="0"/>
          <c:showSerName val="0"/>
          <c:showPercent val="0"/>
          <c:showBubbleSize val="0"/>
        </c:dLbls>
        <c:gapWidth val="6"/>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spPr>
              <a:solidFill>
                <a:srgbClr val="F9C623"/>
              </a:solidFill>
              <a:ln>
                <a:noFill/>
              </a:ln>
              <a:effectLst/>
            </c:spPr>
            <c:extLst>
              <c:ext xmlns:c16="http://schemas.microsoft.com/office/drawing/2014/chart" uri="{C3380CC4-5D6E-409C-BE32-E72D297353CC}">
                <c16:uniqueId val="{00000001-FBA3-41F8-ADFF-113E5A67311B}"/>
              </c:ext>
            </c:extLst>
          </c:dPt>
          <c:dPt>
            <c:idx val="27"/>
            <c:invertIfNegative val="0"/>
            <c:bubble3D val="0"/>
            <c:extLst>
              <c:ext xmlns:c16="http://schemas.microsoft.com/office/drawing/2014/chart" uri="{C3380CC4-5D6E-409C-BE32-E72D297353CC}">
                <c16:uniqueId val="{00000003-FBA3-41F8-ADFF-113E5A67311B}"/>
              </c:ext>
            </c:extLst>
          </c:dPt>
          <c:dLbls>
            <c:dLbl>
              <c:idx val="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DB72-7D49-98FC-D10163143DD1}"/>
                </c:ext>
              </c:extLst>
            </c:dLbl>
            <c:dLbl>
              <c:idx val="2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FBA3-41F8-ADFF-113E5A67311B}"/>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'3b.1 - ISCED 02'!$F$3:$F$23</c:f>
              <c:strCache>
                <c:ptCount val="21"/>
                <c:pt idx="0">
                  <c:v>Belgium (Fl)</c:v>
                </c:pt>
                <c:pt idx="1">
                  <c:v>Bulgaria</c:v>
                </c:pt>
                <c:pt idx="2">
                  <c:v>Cyprus</c:v>
                </c:pt>
                <c:pt idx="3">
                  <c:v>Czech Republic</c:v>
                </c:pt>
                <c:pt idx="4">
                  <c:v>Estonia</c:v>
                </c:pt>
                <c:pt idx="5">
                  <c:v>France</c:v>
                </c:pt>
                <c:pt idx="6">
                  <c:v>Greece</c:v>
                </c:pt>
                <c:pt idx="7">
                  <c:v>Hungary</c:v>
                </c:pt>
                <c:pt idx="8">
                  <c:v>Italy</c:v>
                </c:pt>
                <c:pt idx="9">
                  <c:v>Lithuania</c:v>
                </c:pt>
                <c:pt idx="10">
                  <c:v>Luxembourg</c:v>
                </c:pt>
                <c:pt idx="11">
                  <c:v>Malta</c:v>
                </c:pt>
                <c:pt idx="12">
                  <c:v>Poland</c:v>
                </c:pt>
                <c:pt idx="13">
                  <c:v>Portugal</c:v>
                </c:pt>
                <c:pt idx="14">
                  <c:v>Slovakia</c:v>
                </c:pt>
                <c:pt idx="15">
                  <c:v>Slovenia</c:v>
                </c:pt>
                <c:pt idx="16">
                  <c:v>Spain</c:v>
                </c:pt>
                <c:pt idx="17">
                  <c:v>UK (England)</c:v>
                </c:pt>
                <c:pt idx="18">
                  <c:v>UK (N. Ireland)</c:v>
                </c:pt>
                <c:pt idx="19">
                  <c:v>UK (Wales)</c:v>
                </c:pt>
                <c:pt idx="20">
                  <c:v>Total average (20)</c:v>
                </c:pt>
              </c:strCache>
            </c:strRef>
          </c:cat>
          <c:val>
            <c:numRef>
              <c:f>'3b.1 - ISCED 02'!$G$3:$G$23</c:f>
              <c:numCache>
                <c:formatCode>0.00</c:formatCode>
                <c:ptCount val="21"/>
                <c:pt idx="0">
                  <c:v>0.66499274924247198</c:v>
                </c:pt>
                <c:pt idx="1">
                  <c:v>1.6540143783620735</c:v>
                </c:pt>
                <c:pt idx="2">
                  <c:v>2.3153297903019814</c:v>
                </c:pt>
                <c:pt idx="3">
                  <c:v>0.82432311071075759</c:v>
                </c:pt>
                <c:pt idx="4">
                  <c:v>3.8198640483383688</c:v>
                </c:pt>
                <c:pt idx="5">
                  <c:v>1.3538122506479542</c:v>
                </c:pt>
                <c:pt idx="6">
                  <c:v>2.220353238015139</c:v>
                </c:pt>
                <c:pt idx="7">
                  <c:v>2.2303275409701815</c:v>
                </c:pt>
                <c:pt idx="8">
                  <c:v>1.8414016458580644</c:v>
                </c:pt>
                <c:pt idx="9">
                  <c:v>17.956423741547709</c:v>
                </c:pt>
                <c:pt idx="10">
                  <c:v>0.73213248111563045</c:v>
                </c:pt>
                <c:pt idx="11">
                  <c:v>4.6942758022549871</c:v>
                </c:pt>
                <c:pt idx="12">
                  <c:v>2.2411306741064694</c:v>
                </c:pt>
                <c:pt idx="13">
                  <c:v>1.0738434701508648</c:v>
                </c:pt>
                <c:pt idx="14">
                  <c:v>2.6962165700052725</c:v>
                </c:pt>
                <c:pt idx="15">
                  <c:v>1.2393053397945699</c:v>
                </c:pt>
                <c:pt idx="16">
                  <c:v>1.0017963296738068</c:v>
                </c:pt>
                <c:pt idx="17">
                  <c:v>0.4922173076273762</c:v>
                </c:pt>
                <c:pt idx="18">
                  <c:v>0.63091482649842268</c:v>
                </c:pt>
                <c:pt idx="19">
                  <c:v>0.80658485663217039</c:v>
                </c:pt>
                <c:pt idx="20">
                  <c:v>1.5073579998880748</c:v>
                </c:pt>
              </c:numCache>
            </c:numRef>
          </c:val>
          <c:extLst>
            <c:ext xmlns:c16="http://schemas.microsoft.com/office/drawing/2014/chart" uri="{C3380CC4-5D6E-409C-BE32-E72D297353CC}">
              <c16:uniqueId val="{00000004-FBA3-41F8-ADFF-113E5A67311B}"/>
            </c:ext>
          </c:extLst>
        </c:ser>
        <c:dLbls>
          <c:showLegendKey val="0"/>
          <c:showVal val="0"/>
          <c:showCatName val="0"/>
          <c:showSerName val="0"/>
          <c:showPercent val="0"/>
          <c:showBubbleSize val="0"/>
        </c:dLbls>
        <c:gapWidth val="20"/>
        <c:overlap val="-66"/>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2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Blad1!$AB$2</c:f>
              <c:strCache>
                <c:ptCount val="1"/>
                <c:pt idx="0">
                  <c:v>Boys</c:v>
                </c:pt>
              </c:strCache>
            </c:strRef>
          </c:tx>
          <c:spPr>
            <a:solidFill>
              <a:srgbClr val="17255B"/>
            </a:solidFill>
            <a:ln>
              <a:noFill/>
            </a:ln>
            <a:effectLst/>
          </c:spPr>
          <c:invertIfNegative val="0"/>
          <c:dLbls>
            <c:dLbl>
              <c:idx val="16"/>
              <c:layout>
                <c:manualLayout>
                  <c:x val="-0.3212679374598415"/>
                  <c:y val="1.5098783807027316E-7"/>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BBE7-C248-AEF0-1AB0FCF6B5F1}"/>
                </c:ext>
              </c:extLst>
            </c:dLbl>
            <c:dLbl>
              <c:idx val="17"/>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A0C2-0244-9B15-2B6CD9546FC4}"/>
                </c:ext>
              </c:extLst>
            </c:dLbl>
            <c:dLbl>
              <c:idx val="18"/>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E7-C248-AEF0-1AB0FCF6B5F1}"/>
                </c:ext>
              </c:extLst>
            </c:dLbl>
            <c:dLbl>
              <c:idx val="1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CDE-BA49-9A95-000566699A2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Blad1!$AA$3:$AA$22</c:f>
              <c:strCache>
                <c:ptCount val="20"/>
                <c:pt idx="0">
                  <c:v>Bulgaria</c:v>
                </c:pt>
                <c:pt idx="1">
                  <c:v>Czech Republic</c:v>
                </c:pt>
                <c:pt idx="2">
                  <c:v>Estonia</c:v>
                </c:pt>
                <c:pt idx="3">
                  <c:v>Finland</c:v>
                </c:pt>
                <c:pt idx="4">
                  <c:v>France</c:v>
                </c:pt>
                <c:pt idx="5">
                  <c:v>Greece</c:v>
                </c:pt>
                <c:pt idx="6">
                  <c:v>Iceland </c:v>
                </c:pt>
                <c:pt idx="7">
                  <c:v>Ireland</c:v>
                </c:pt>
                <c:pt idx="8">
                  <c:v>Latvia</c:v>
                </c:pt>
                <c:pt idx="9">
                  <c:v>Lithuania</c:v>
                </c:pt>
                <c:pt idx="10">
                  <c:v>Poland</c:v>
                </c:pt>
                <c:pt idx="11">
                  <c:v>Portugal</c:v>
                </c:pt>
                <c:pt idx="12">
                  <c:v>Slovakia</c:v>
                </c:pt>
                <c:pt idx="13">
                  <c:v>Slovenia</c:v>
                </c:pt>
                <c:pt idx="14">
                  <c:v>Spain</c:v>
                </c:pt>
                <c:pt idx="15">
                  <c:v>Switzerland</c:v>
                </c:pt>
                <c:pt idx="16">
                  <c:v>UK (England)</c:v>
                </c:pt>
                <c:pt idx="17">
                  <c:v>UK (N. Ireland)</c:v>
                </c:pt>
                <c:pt idx="18">
                  <c:v>UK (Wales)</c:v>
                </c:pt>
                <c:pt idx="19">
                  <c:v>Total average (19)</c:v>
                </c:pt>
              </c:strCache>
            </c:strRef>
          </c:cat>
          <c:val>
            <c:numRef>
              <c:f>Blad1!$AB$3:$AB$22</c:f>
              <c:numCache>
                <c:formatCode>0.00</c:formatCode>
                <c:ptCount val="20"/>
                <c:pt idx="0">
                  <c:v>60.632759311173409</c:v>
                </c:pt>
                <c:pt idx="1">
                  <c:v>62.998266897746966</c:v>
                </c:pt>
                <c:pt idx="2">
                  <c:v>71.107572540693567</c:v>
                </c:pt>
                <c:pt idx="3">
                  <c:v>70.002459822892746</c:v>
                </c:pt>
                <c:pt idx="4">
                  <c:v>65.57106563293928</c:v>
                </c:pt>
                <c:pt idx="5">
                  <c:v>66.372770145581299</c:v>
                </c:pt>
                <c:pt idx="6">
                  <c:v>76.386404293381034</c:v>
                </c:pt>
                <c:pt idx="7">
                  <c:v>74.029961849818548</c:v>
                </c:pt>
                <c:pt idx="8">
                  <c:v>66.267712202503787</c:v>
                </c:pt>
                <c:pt idx="9">
                  <c:v>64.847106393732616</c:v>
                </c:pt>
                <c:pt idx="10">
                  <c:v>64.442089104930375</c:v>
                </c:pt>
                <c:pt idx="11">
                  <c:v>63.006230529595022</c:v>
                </c:pt>
                <c:pt idx="12">
                  <c:v>57.664804469273747</c:v>
                </c:pt>
                <c:pt idx="13">
                  <c:v>60.186710598572212</c:v>
                </c:pt>
                <c:pt idx="14">
                  <c:v>63.560874704491724</c:v>
                </c:pt>
                <c:pt idx="15">
                  <c:v>64.872924432395791</c:v>
                </c:pt>
                <c:pt idx="16">
                  <c:v>73.80879474924447</c:v>
                </c:pt>
                <c:pt idx="17">
                  <c:v>72.072656503405767</c:v>
                </c:pt>
                <c:pt idx="18">
                  <c:v>72.686847956216866</c:v>
                </c:pt>
                <c:pt idx="19">
                  <c:v>66.564500597392879</c:v>
                </c:pt>
              </c:numCache>
            </c:numRef>
          </c:val>
          <c:extLst>
            <c:ext xmlns:c16="http://schemas.microsoft.com/office/drawing/2014/chart" uri="{C3380CC4-5D6E-409C-BE32-E72D297353CC}">
              <c16:uniqueId val="{00000000-2C6F-4080-BA79-2F3228397A13}"/>
            </c:ext>
          </c:extLst>
        </c:ser>
        <c:ser>
          <c:idx val="1"/>
          <c:order val="1"/>
          <c:tx>
            <c:strRef>
              <c:f>Blad1!$AC$2</c:f>
              <c:strCache>
                <c:ptCount val="1"/>
                <c:pt idx="0">
                  <c:v>Girls</c:v>
                </c:pt>
              </c:strCache>
            </c:strRef>
          </c:tx>
          <c:spPr>
            <a:solidFill>
              <a:srgbClr val="F9C623"/>
            </a:solidFill>
            <a:ln>
              <a:noFill/>
            </a:ln>
            <a:effectLst/>
          </c:spPr>
          <c:invertIfNegative val="0"/>
          <c:dLbls>
            <c:dLbl>
              <c:idx val="16"/>
              <c:layout>
                <c:manualLayout>
                  <c:x val="-0.13279074748340119"/>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D7-EC44-94E9-35C1DB7B08BD}"/>
                </c:ext>
              </c:extLst>
            </c:dLbl>
            <c:dLbl>
              <c:idx val="17"/>
              <c:layout>
                <c:manualLayout>
                  <c:x val="-0.1319556194905922"/>
                  <c:y val="-1.917269366599933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0C2-0244-9B15-2B6CD9546FC4}"/>
                </c:ext>
              </c:extLst>
            </c:dLbl>
            <c:dLbl>
              <c:idx val="1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DE-BA49-9A95-000566699A2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Blad1!$AA$3:$AA$22</c:f>
              <c:strCache>
                <c:ptCount val="20"/>
                <c:pt idx="0">
                  <c:v>Bulgaria</c:v>
                </c:pt>
                <c:pt idx="1">
                  <c:v>Czech Republic</c:v>
                </c:pt>
                <c:pt idx="2">
                  <c:v>Estonia</c:v>
                </c:pt>
                <c:pt idx="3">
                  <c:v>Finland</c:v>
                </c:pt>
                <c:pt idx="4">
                  <c:v>France</c:v>
                </c:pt>
                <c:pt idx="5">
                  <c:v>Greece</c:v>
                </c:pt>
                <c:pt idx="6">
                  <c:v>Iceland </c:v>
                </c:pt>
                <c:pt idx="7">
                  <c:v>Ireland</c:v>
                </c:pt>
                <c:pt idx="8">
                  <c:v>Latvia</c:v>
                </c:pt>
                <c:pt idx="9">
                  <c:v>Lithuania</c:v>
                </c:pt>
                <c:pt idx="10">
                  <c:v>Poland</c:v>
                </c:pt>
                <c:pt idx="11">
                  <c:v>Portugal</c:v>
                </c:pt>
                <c:pt idx="12">
                  <c:v>Slovakia</c:v>
                </c:pt>
                <c:pt idx="13">
                  <c:v>Slovenia</c:v>
                </c:pt>
                <c:pt idx="14">
                  <c:v>Spain</c:v>
                </c:pt>
                <c:pt idx="15">
                  <c:v>Switzerland</c:v>
                </c:pt>
                <c:pt idx="16">
                  <c:v>UK (England)</c:v>
                </c:pt>
                <c:pt idx="17">
                  <c:v>UK (N. Ireland)</c:v>
                </c:pt>
                <c:pt idx="18">
                  <c:v>UK (Wales)</c:v>
                </c:pt>
                <c:pt idx="19">
                  <c:v>Total average (19)</c:v>
                </c:pt>
              </c:strCache>
            </c:strRef>
          </c:cat>
          <c:val>
            <c:numRef>
              <c:f>Blad1!$AC$3:$AC$22</c:f>
              <c:numCache>
                <c:formatCode>0.00</c:formatCode>
                <c:ptCount val="20"/>
                <c:pt idx="0">
                  <c:v>39.367240688826591</c:v>
                </c:pt>
                <c:pt idx="1">
                  <c:v>37.001733102253034</c:v>
                </c:pt>
                <c:pt idx="2">
                  <c:v>28.89242745930644</c:v>
                </c:pt>
                <c:pt idx="3">
                  <c:v>29.997540177107247</c:v>
                </c:pt>
                <c:pt idx="4">
                  <c:v>34.42893436706072</c:v>
                </c:pt>
                <c:pt idx="5">
                  <c:v>33.627229854418701</c:v>
                </c:pt>
                <c:pt idx="6">
                  <c:v>23.613595706618963</c:v>
                </c:pt>
                <c:pt idx="7">
                  <c:v>25.970038150181445</c:v>
                </c:pt>
                <c:pt idx="8">
                  <c:v>33.73228779749622</c:v>
                </c:pt>
                <c:pt idx="9">
                  <c:v>35.152893606267376</c:v>
                </c:pt>
                <c:pt idx="10">
                  <c:v>35.557910895069625</c:v>
                </c:pt>
                <c:pt idx="11">
                  <c:v>36.993769470404985</c:v>
                </c:pt>
                <c:pt idx="12">
                  <c:v>42.335195530726253</c:v>
                </c:pt>
                <c:pt idx="13">
                  <c:v>39.813289401427788</c:v>
                </c:pt>
                <c:pt idx="14">
                  <c:v>36.439125295508276</c:v>
                </c:pt>
                <c:pt idx="15">
                  <c:v>35.127075567604201</c:v>
                </c:pt>
                <c:pt idx="16">
                  <c:v>26.191205250755527</c:v>
                </c:pt>
                <c:pt idx="17">
                  <c:v>27.927343496594226</c:v>
                </c:pt>
                <c:pt idx="18">
                  <c:v>27.313152043783134</c:v>
                </c:pt>
                <c:pt idx="19">
                  <c:v>33.435499402607128</c:v>
                </c:pt>
              </c:numCache>
            </c:numRef>
          </c:val>
          <c:extLst>
            <c:ext xmlns:c16="http://schemas.microsoft.com/office/drawing/2014/chart" uri="{C3380CC4-5D6E-409C-BE32-E72D297353CC}">
              <c16:uniqueId val="{00000001-2C6F-4080-BA79-2F3228397A13}"/>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'3c.5 - ISCED 1&amp;2 '!$AE$2</c:f>
              <c:strCache>
                <c:ptCount val="1"/>
                <c:pt idx="0">
                  <c:v>ISCED 1</c:v>
                </c:pt>
              </c:strCache>
            </c:strRef>
          </c:tx>
          <c:spPr>
            <a:solidFill>
              <a:srgbClr val="17255B"/>
            </a:solidFill>
            <a:ln>
              <a:noFill/>
            </a:ln>
            <a:effectLst/>
          </c:spPr>
          <c:invertIfNegative val="0"/>
          <c:dLbls>
            <c:dLbl>
              <c:idx val="1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87C9-8649-B9E6-D905C677F670}"/>
                </c:ext>
              </c:extLst>
            </c:dLbl>
            <c:dLbl>
              <c:idx val="2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87C9-8649-B9E6-D905C677F670}"/>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'3c.5 - ISCED 1&amp;2 '!$AD$3:$AD$23</c:f>
              <c:strCache>
                <c:ptCount val="21"/>
                <c:pt idx="0">
                  <c:v>Bulgaria</c:v>
                </c:pt>
                <c:pt idx="1">
                  <c:v>Czech Republic</c:v>
                </c:pt>
                <c:pt idx="2">
                  <c:v>Estonia</c:v>
                </c:pt>
                <c:pt idx="3">
                  <c:v>Finland</c:v>
                </c:pt>
                <c:pt idx="4">
                  <c:v>France</c:v>
                </c:pt>
                <c:pt idx="5">
                  <c:v>Greece</c:v>
                </c:pt>
                <c:pt idx="6">
                  <c:v>Iceland </c:v>
                </c:pt>
                <c:pt idx="7">
                  <c:v>Ireland</c:v>
                </c:pt>
                <c:pt idx="8">
                  <c:v>Latvia</c:v>
                </c:pt>
                <c:pt idx="9">
                  <c:v>Lithuania</c:v>
                </c:pt>
                <c:pt idx="10">
                  <c:v>Luxembourg</c:v>
                </c:pt>
                <c:pt idx="11">
                  <c:v>Poland</c:v>
                </c:pt>
                <c:pt idx="12">
                  <c:v>Portugal</c:v>
                </c:pt>
                <c:pt idx="13">
                  <c:v>Slovakia</c:v>
                </c:pt>
                <c:pt idx="14">
                  <c:v>Slovenia</c:v>
                </c:pt>
                <c:pt idx="15">
                  <c:v>Spain</c:v>
                </c:pt>
                <c:pt idx="16">
                  <c:v>Switzerland</c:v>
                </c:pt>
                <c:pt idx="17">
                  <c:v>UK (England)</c:v>
                </c:pt>
                <c:pt idx="18">
                  <c:v>UK (N. Ireland)</c:v>
                </c:pt>
                <c:pt idx="19">
                  <c:v>UK (Wales)</c:v>
                </c:pt>
                <c:pt idx="20">
                  <c:v>Total average (20)</c:v>
                </c:pt>
              </c:strCache>
            </c:strRef>
          </c:cat>
          <c:val>
            <c:numRef>
              <c:f>'3c.5 - ISCED 1&amp;2 '!$AE$3:$AE$23</c:f>
              <c:numCache>
                <c:formatCode>0.00</c:formatCode>
                <c:ptCount val="21"/>
                <c:pt idx="0">
                  <c:v>9.5525727069351216</c:v>
                </c:pt>
                <c:pt idx="1">
                  <c:v>15.003882780888544</c:v>
                </c:pt>
                <c:pt idx="2">
                  <c:v>37.86031042128603</c:v>
                </c:pt>
                <c:pt idx="3">
                  <c:v>38.218886804252655</c:v>
                </c:pt>
                <c:pt idx="4">
                  <c:v>31.785367582476848</c:v>
                </c:pt>
                <c:pt idx="5">
                  <c:v>7.1782963866290235</c:v>
                </c:pt>
                <c:pt idx="6">
                  <c:v>4.9348367257285108</c:v>
                </c:pt>
                <c:pt idx="7">
                  <c:v>13.465399544906973</c:v>
                </c:pt>
                <c:pt idx="8">
                  <c:v>39.180011738073276</c:v>
                </c:pt>
                <c:pt idx="9">
                  <c:v>3.9216210436270318</c:v>
                </c:pt>
                <c:pt idx="10">
                  <c:v>28.636363636363637</c:v>
                </c:pt>
                <c:pt idx="11">
                  <c:v>24.212649610363005</c:v>
                </c:pt>
                <c:pt idx="12">
                  <c:v>7.1831475796573256</c:v>
                </c:pt>
                <c:pt idx="13">
                  <c:v>16.986849787316856</c:v>
                </c:pt>
                <c:pt idx="14">
                  <c:v>18.495072296957055</c:v>
                </c:pt>
                <c:pt idx="15">
                  <c:v>12.202261910972762</c:v>
                </c:pt>
                <c:pt idx="16">
                  <c:v>59.800067773636059</c:v>
                </c:pt>
                <c:pt idx="17">
                  <c:v>26.943840347959576</c:v>
                </c:pt>
                <c:pt idx="18">
                  <c:v>22.9776192020759</c:v>
                </c:pt>
                <c:pt idx="19">
                  <c:v>24.491665140135556</c:v>
                </c:pt>
                <c:pt idx="20">
                  <c:v>21.757672233070473</c:v>
                </c:pt>
              </c:numCache>
            </c:numRef>
          </c:val>
          <c:extLst>
            <c:ext xmlns:c16="http://schemas.microsoft.com/office/drawing/2014/chart" uri="{C3380CC4-5D6E-409C-BE32-E72D297353CC}">
              <c16:uniqueId val="{00000000-B66A-402B-96CC-1DD0C32E0743}"/>
            </c:ext>
          </c:extLst>
        </c:ser>
        <c:ser>
          <c:idx val="1"/>
          <c:order val="1"/>
          <c:tx>
            <c:strRef>
              <c:f>'3c.5 - ISCED 1&amp;2 '!$AF$2</c:f>
              <c:strCache>
                <c:ptCount val="1"/>
                <c:pt idx="0">
                  <c:v>ISCED 2</c:v>
                </c:pt>
              </c:strCache>
            </c:strRef>
          </c:tx>
          <c:spPr>
            <a:solidFill>
              <a:schemeClr val="accent4"/>
            </a:solidFill>
            <a:ln>
              <a:noFill/>
            </a:ln>
            <a:effectLst/>
          </c:spPr>
          <c:invertIfNegative val="0"/>
          <c:dLbls>
            <c:dLbl>
              <c:idx val="16"/>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C9-8649-B9E6-D905C677F670}"/>
                </c:ext>
              </c:extLst>
            </c:dLbl>
            <c:dLbl>
              <c:idx val="2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87C9-8649-B9E6-D905C677F67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'3c.5 - ISCED 1&amp;2 '!$AD$3:$AD$23</c:f>
              <c:strCache>
                <c:ptCount val="21"/>
                <c:pt idx="0">
                  <c:v>Bulgaria</c:v>
                </c:pt>
                <c:pt idx="1">
                  <c:v>Czech Republic</c:v>
                </c:pt>
                <c:pt idx="2">
                  <c:v>Estonia</c:v>
                </c:pt>
                <c:pt idx="3">
                  <c:v>Finland</c:v>
                </c:pt>
                <c:pt idx="4">
                  <c:v>France</c:v>
                </c:pt>
                <c:pt idx="5">
                  <c:v>Greece</c:v>
                </c:pt>
                <c:pt idx="6">
                  <c:v>Iceland </c:v>
                </c:pt>
                <c:pt idx="7">
                  <c:v>Ireland</c:v>
                </c:pt>
                <c:pt idx="8">
                  <c:v>Latvia</c:v>
                </c:pt>
                <c:pt idx="9">
                  <c:v>Lithuania</c:v>
                </c:pt>
                <c:pt idx="10">
                  <c:v>Luxembourg</c:v>
                </c:pt>
                <c:pt idx="11">
                  <c:v>Poland</c:v>
                </c:pt>
                <c:pt idx="12">
                  <c:v>Portugal</c:v>
                </c:pt>
                <c:pt idx="13">
                  <c:v>Slovakia</c:v>
                </c:pt>
                <c:pt idx="14">
                  <c:v>Slovenia</c:v>
                </c:pt>
                <c:pt idx="15">
                  <c:v>Spain</c:v>
                </c:pt>
                <c:pt idx="16">
                  <c:v>Switzerland</c:v>
                </c:pt>
                <c:pt idx="17">
                  <c:v>UK (England)</c:v>
                </c:pt>
                <c:pt idx="18">
                  <c:v>UK (N. Ireland)</c:v>
                </c:pt>
                <c:pt idx="19">
                  <c:v>UK (Wales)</c:v>
                </c:pt>
                <c:pt idx="20">
                  <c:v>Total average (20)</c:v>
                </c:pt>
              </c:strCache>
            </c:strRef>
          </c:cat>
          <c:val>
            <c:numRef>
              <c:f>'3c.5 - ISCED 1&amp;2 '!$AF$3:$AF$23</c:f>
              <c:numCache>
                <c:formatCode>0.00</c:formatCode>
                <c:ptCount val="21"/>
                <c:pt idx="0">
                  <c:v>9.0678598061148392</c:v>
                </c:pt>
                <c:pt idx="1">
                  <c:v>16.832876936281522</c:v>
                </c:pt>
                <c:pt idx="2">
                  <c:v>24.800443458980045</c:v>
                </c:pt>
                <c:pt idx="3">
                  <c:v>22.799249530956846</c:v>
                </c:pt>
                <c:pt idx="4">
                  <c:v>9.3062853444689271</c:v>
                </c:pt>
                <c:pt idx="5">
                  <c:v>9.1161190090376039</c:v>
                </c:pt>
                <c:pt idx="6">
                  <c:v>3.2508419973641822</c:v>
                </c:pt>
                <c:pt idx="7">
                  <c:v>7.0845363978813314</c:v>
                </c:pt>
                <c:pt idx="8">
                  <c:v>21.765741594701097</c:v>
                </c:pt>
                <c:pt idx="9">
                  <c:v>6.6563301967493587</c:v>
                </c:pt>
                <c:pt idx="10">
                  <c:v>21.363636363636363</c:v>
                </c:pt>
                <c:pt idx="11">
                  <c:v>18.90507670609</c:v>
                </c:pt>
                <c:pt idx="12">
                  <c:v>8.350598091551106</c:v>
                </c:pt>
                <c:pt idx="13">
                  <c:v>20.336956823931718</c:v>
                </c:pt>
                <c:pt idx="14">
                  <c:v>7.7044816919646069</c:v>
                </c:pt>
                <c:pt idx="15">
                  <c:v>7.4141059307050643</c:v>
                </c:pt>
                <c:pt idx="16">
                  <c:v>40.199932226363941</c:v>
                </c:pt>
                <c:pt idx="17">
                  <c:v>21.10080593578099</c:v>
                </c:pt>
                <c:pt idx="18">
                  <c:v>17.0223807979241</c:v>
                </c:pt>
                <c:pt idx="19">
                  <c:v>29.062099285583443</c:v>
                </c:pt>
                <c:pt idx="20">
                  <c:v>14.091266882425355</c:v>
                </c:pt>
              </c:numCache>
            </c:numRef>
          </c:val>
          <c:extLst>
            <c:ext xmlns:c16="http://schemas.microsoft.com/office/drawing/2014/chart" uri="{C3380CC4-5D6E-409C-BE32-E72D297353CC}">
              <c16:uniqueId val="{00000001-B66A-402B-96CC-1DD0C32E0743}"/>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6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'3c.5 - ISCED 1&amp;2 '!$AH$2</c:f>
              <c:strCache>
                <c:ptCount val="1"/>
                <c:pt idx="0">
                  <c:v>ISCED 1</c:v>
                </c:pt>
              </c:strCache>
            </c:strRef>
          </c:tx>
          <c:spPr>
            <a:solidFill>
              <a:srgbClr val="17255B"/>
            </a:solidFill>
            <a:ln>
              <a:noFill/>
            </a:ln>
            <a:effectLst/>
          </c:spPr>
          <c:invertIfNegative val="0"/>
          <c:dLbls>
            <c:dLbl>
              <c:idx val="1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D415-7D45-B330-9FF02064EF22}"/>
                </c:ext>
              </c:extLst>
            </c:dLbl>
            <c:dLbl>
              <c:idx val="20"/>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D415-7D45-B330-9FF02064EF22}"/>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'3c.5 - ISCED 1&amp;2 '!$AG$3:$AG$23</c:f>
              <c:strCache>
                <c:ptCount val="21"/>
                <c:pt idx="0">
                  <c:v>Bulgaria</c:v>
                </c:pt>
                <c:pt idx="1">
                  <c:v>Czech Republic</c:v>
                </c:pt>
                <c:pt idx="2">
                  <c:v>Estonia</c:v>
                </c:pt>
                <c:pt idx="3">
                  <c:v>Finland</c:v>
                </c:pt>
                <c:pt idx="4">
                  <c:v>France</c:v>
                </c:pt>
                <c:pt idx="5">
                  <c:v>Greece</c:v>
                </c:pt>
                <c:pt idx="6">
                  <c:v>Iceland </c:v>
                </c:pt>
                <c:pt idx="7">
                  <c:v>Ireland</c:v>
                </c:pt>
                <c:pt idx="8">
                  <c:v>Latvia</c:v>
                </c:pt>
                <c:pt idx="9">
                  <c:v>Lithuania</c:v>
                </c:pt>
                <c:pt idx="10">
                  <c:v>Luxembourg</c:v>
                </c:pt>
                <c:pt idx="11">
                  <c:v>Poland</c:v>
                </c:pt>
                <c:pt idx="12">
                  <c:v>Portugal</c:v>
                </c:pt>
                <c:pt idx="13">
                  <c:v>Slovakia</c:v>
                </c:pt>
                <c:pt idx="14">
                  <c:v>Slovenia</c:v>
                </c:pt>
                <c:pt idx="15">
                  <c:v>Spain</c:v>
                </c:pt>
                <c:pt idx="16">
                  <c:v>Switzerland</c:v>
                </c:pt>
                <c:pt idx="17">
                  <c:v>UK (England)</c:v>
                </c:pt>
                <c:pt idx="18">
                  <c:v>UK (N. Ireland)</c:v>
                </c:pt>
                <c:pt idx="19">
                  <c:v>UK (Wales)</c:v>
                </c:pt>
                <c:pt idx="20">
                  <c:v>Total average (20)</c:v>
                </c:pt>
              </c:strCache>
            </c:strRef>
          </c:cat>
          <c:val>
            <c:numRef>
              <c:f>'3c.5 - ISCED 1&amp;2 '!$AH$3:$AH$23</c:f>
              <c:numCache>
                <c:formatCode>0.00</c:formatCode>
                <c:ptCount val="21"/>
                <c:pt idx="0">
                  <c:v>17.976424361493123</c:v>
                </c:pt>
                <c:pt idx="1">
                  <c:v>30.863652605250437</c:v>
                </c:pt>
                <c:pt idx="2">
                  <c:v>60.239901217145885</c:v>
                </c:pt>
                <c:pt idx="3">
                  <c:v>63.796559211625194</c:v>
                </c:pt>
                <c:pt idx="4">
                  <c:v>48.765078220577891</c:v>
                </c:pt>
                <c:pt idx="5">
                  <c:v>14.270058448459086</c:v>
                </c:pt>
                <c:pt idx="6">
                  <c:v>7.3596855208560825</c:v>
                </c:pt>
                <c:pt idx="7">
                  <c:v>18.270503074488236</c:v>
                </c:pt>
                <c:pt idx="8">
                  <c:v>60.374677002583979</c:v>
                </c:pt>
                <c:pt idx="9">
                  <c:v>6.962175501874615</c:v>
                </c:pt>
                <c:pt idx="10">
                  <c:v>44.680851063829785</c:v>
                </c:pt>
                <c:pt idx="11">
                  <c:v>38.965040640097385</c:v>
                </c:pt>
                <c:pt idx="12">
                  <c:v>12.124460780560023</c:v>
                </c:pt>
                <c:pt idx="13">
                  <c:v>37.632421778763245</c:v>
                </c:pt>
                <c:pt idx="14">
                  <c:v>31.66256157635468</c:v>
                </c:pt>
                <c:pt idx="15">
                  <c:v>19.332323093171695</c:v>
                </c:pt>
                <c:pt idx="16">
                  <c:v>100</c:v>
                </c:pt>
                <c:pt idx="17">
                  <c:v>44.230244230244232</c:v>
                </c:pt>
                <c:pt idx="18">
                  <c:v>44.236293243412014</c:v>
                </c:pt>
                <c:pt idx="19">
                  <c:v>54.404883011190229</c:v>
                </c:pt>
                <c:pt idx="20">
                  <c:v>36.365674210825482</c:v>
                </c:pt>
              </c:numCache>
            </c:numRef>
          </c:val>
          <c:extLst>
            <c:ext xmlns:c16="http://schemas.microsoft.com/office/drawing/2014/chart" uri="{C3380CC4-5D6E-409C-BE32-E72D297353CC}">
              <c16:uniqueId val="{00000000-5497-3D4E-916F-ACAFB130CDA7}"/>
            </c:ext>
          </c:extLst>
        </c:ser>
        <c:ser>
          <c:idx val="1"/>
          <c:order val="1"/>
          <c:tx>
            <c:strRef>
              <c:f>'3c.5 - ISCED 1&amp;2 '!$AI$2</c:f>
              <c:strCache>
                <c:ptCount val="1"/>
                <c:pt idx="0">
                  <c:v>ISCED 2</c:v>
                </c:pt>
              </c:strCache>
            </c:strRef>
          </c:tx>
          <c:spPr>
            <a:solidFill>
              <a:srgbClr val="F9C624"/>
            </a:solidFill>
            <a:ln>
              <a:noFill/>
            </a:ln>
            <a:effectLst/>
          </c:spPr>
          <c:invertIfNegative val="0"/>
          <c:dLbls>
            <c:dLbl>
              <c:idx val="16"/>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15-7D45-B330-9FF02064EF22}"/>
                </c:ext>
              </c:extLst>
            </c:dLbl>
            <c:dLbl>
              <c:idx val="2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D415-7D45-B330-9FF02064EF2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'3c.5 - ISCED 1&amp;2 '!$AG$3:$AG$23</c:f>
              <c:strCache>
                <c:ptCount val="21"/>
                <c:pt idx="0">
                  <c:v>Bulgaria</c:v>
                </c:pt>
                <c:pt idx="1">
                  <c:v>Czech Republic</c:v>
                </c:pt>
                <c:pt idx="2">
                  <c:v>Estonia</c:v>
                </c:pt>
                <c:pt idx="3">
                  <c:v>Finland</c:v>
                </c:pt>
                <c:pt idx="4">
                  <c:v>France</c:v>
                </c:pt>
                <c:pt idx="5">
                  <c:v>Greece</c:v>
                </c:pt>
                <c:pt idx="6">
                  <c:v>Iceland </c:v>
                </c:pt>
                <c:pt idx="7">
                  <c:v>Ireland</c:v>
                </c:pt>
                <c:pt idx="8">
                  <c:v>Latvia</c:v>
                </c:pt>
                <c:pt idx="9">
                  <c:v>Lithuania</c:v>
                </c:pt>
                <c:pt idx="10">
                  <c:v>Luxembourg</c:v>
                </c:pt>
                <c:pt idx="11">
                  <c:v>Poland</c:v>
                </c:pt>
                <c:pt idx="12">
                  <c:v>Portugal</c:v>
                </c:pt>
                <c:pt idx="13">
                  <c:v>Slovakia</c:v>
                </c:pt>
                <c:pt idx="14">
                  <c:v>Slovenia</c:v>
                </c:pt>
                <c:pt idx="15">
                  <c:v>Spain</c:v>
                </c:pt>
                <c:pt idx="16">
                  <c:v>Switzerland</c:v>
                </c:pt>
                <c:pt idx="17">
                  <c:v>UK (England)</c:v>
                </c:pt>
                <c:pt idx="18">
                  <c:v>UK (N. Ireland)</c:v>
                </c:pt>
                <c:pt idx="19">
                  <c:v>UK (Wales)</c:v>
                </c:pt>
                <c:pt idx="20">
                  <c:v>Total average (20)</c:v>
                </c:pt>
              </c:strCache>
            </c:strRef>
          </c:cat>
          <c:val>
            <c:numRef>
              <c:f>'3c.5 - ISCED 1&amp;2 '!$AI$3:$AI$23</c:f>
              <c:numCache>
                <c:formatCode>0.00</c:formatCode>
                <c:ptCount val="21"/>
                <c:pt idx="0">
                  <c:v>19.350732017823042</c:v>
                </c:pt>
                <c:pt idx="1">
                  <c:v>32.757352210137</c:v>
                </c:pt>
                <c:pt idx="2">
                  <c:v>66.756192181438379</c:v>
                </c:pt>
                <c:pt idx="3">
                  <c:v>56.866537717601553</c:v>
                </c:pt>
                <c:pt idx="4">
                  <c:v>26.727294854348521</c:v>
                </c:pt>
                <c:pt idx="5">
                  <c:v>18.343473730209421</c:v>
                </c:pt>
                <c:pt idx="6">
                  <c:v>9.8666666666666671</c:v>
                </c:pt>
                <c:pt idx="7">
                  <c:v>26.937618147448017</c:v>
                </c:pt>
                <c:pt idx="8">
                  <c:v>62.001433006926199</c:v>
                </c:pt>
                <c:pt idx="9">
                  <c:v>15.241476403256412</c:v>
                </c:pt>
                <c:pt idx="10">
                  <c:v>59.493670886075947</c:v>
                </c:pt>
                <c:pt idx="11">
                  <c:v>49.933402705515093</c:v>
                </c:pt>
                <c:pt idx="12">
                  <c:v>20.489795918367346</c:v>
                </c:pt>
                <c:pt idx="13">
                  <c:v>37.06988293721178</c:v>
                </c:pt>
                <c:pt idx="14">
                  <c:v>18.526206538661132</c:v>
                </c:pt>
                <c:pt idx="15">
                  <c:v>20.102477052684524</c:v>
                </c:pt>
                <c:pt idx="16">
                  <c:v>100</c:v>
                </c:pt>
                <c:pt idx="17">
                  <c:v>53.990049425550723</c:v>
                </c:pt>
                <c:pt idx="18">
                  <c:v>35.421166306695461</c:v>
                </c:pt>
                <c:pt idx="19">
                  <c:v>52.856904880892884</c:v>
                </c:pt>
                <c:pt idx="20">
                  <c:v>35.07929567947852</c:v>
                </c:pt>
              </c:numCache>
            </c:numRef>
          </c:val>
          <c:extLst>
            <c:ext xmlns:c16="http://schemas.microsoft.com/office/drawing/2014/chart" uri="{C3380CC4-5D6E-409C-BE32-E72D297353CC}">
              <c16:uniqueId val="{00000001-5497-3D4E-916F-ACAFB130CDA7}"/>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89BA-4C22-8DC6-A391F89F9A37}"/>
              </c:ext>
            </c:extLst>
          </c:dPt>
          <c:dPt>
            <c:idx val="26"/>
            <c:invertIfNegative val="0"/>
            <c:bubble3D val="0"/>
            <c:spPr>
              <a:solidFill>
                <a:srgbClr val="F9C624"/>
              </a:solidFill>
              <a:ln>
                <a:noFill/>
              </a:ln>
              <a:effectLst/>
            </c:spPr>
            <c:extLst>
              <c:ext xmlns:c16="http://schemas.microsoft.com/office/drawing/2014/chart" uri="{C3380CC4-5D6E-409C-BE32-E72D297353CC}">
                <c16:uniqueId val="{00000003-89BA-4C22-8DC6-A391F89F9A37}"/>
              </c:ext>
            </c:extLst>
          </c:dPt>
          <c:dPt>
            <c:idx val="27"/>
            <c:invertIfNegative val="0"/>
            <c:bubble3D val="0"/>
            <c:extLst>
              <c:ext xmlns:c16="http://schemas.microsoft.com/office/drawing/2014/chart" uri="{C3380CC4-5D6E-409C-BE32-E72D297353CC}">
                <c16:uniqueId val="{00000005-89BA-4C22-8DC6-A391F89F9A37}"/>
              </c:ext>
            </c:extLst>
          </c:dPt>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696B-364E-8665-2311F1BC7EAA}"/>
                </c:ext>
              </c:extLst>
            </c:dLbl>
            <c:dLbl>
              <c:idx val="2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89BA-4C22-8DC6-A391F89F9A37}"/>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'1.1, 1.2 - ISCED3'!$D$3:$D$29</c:f>
              <c:strCache>
                <c:ptCount val="27"/>
                <c:pt idx="0">
                  <c:v>Austria</c:v>
                </c:pt>
                <c:pt idx="1">
                  <c:v>Belgium (Fl)</c:v>
                </c:pt>
                <c:pt idx="2">
                  <c:v>Bulgaria</c:v>
                </c:pt>
                <c:pt idx="3">
                  <c:v>Cyprus</c:v>
                </c:pt>
                <c:pt idx="4">
                  <c:v>Czech Republic</c:v>
                </c:pt>
                <c:pt idx="5">
                  <c:v>Estonia</c:v>
                </c:pt>
                <c:pt idx="6">
                  <c:v>France</c:v>
                </c:pt>
                <c:pt idx="7">
                  <c:v>Greece</c:v>
                </c:pt>
                <c:pt idx="8">
                  <c:v>Hungary</c:v>
                </c:pt>
                <c:pt idx="9">
                  <c:v>Ireland</c:v>
                </c:pt>
                <c:pt idx="10">
                  <c:v>Italy</c:v>
                </c:pt>
                <c:pt idx="11">
                  <c:v>Latvia</c:v>
                </c:pt>
                <c:pt idx="12">
                  <c:v>Lithuania</c:v>
                </c:pt>
                <c:pt idx="13">
                  <c:v>Luxembourg</c:v>
                </c:pt>
                <c:pt idx="14">
                  <c:v>Netherlands</c:v>
                </c:pt>
                <c:pt idx="15">
                  <c:v>Poland</c:v>
                </c:pt>
                <c:pt idx="16">
                  <c:v>Portugal</c:v>
                </c:pt>
                <c:pt idx="17">
                  <c:v>Serbia</c:v>
                </c:pt>
                <c:pt idx="18">
                  <c:v>Slovakia</c:v>
                </c:pt>
                <c:pt idx="19">
                  <c:v>Slovenia</c:v>
                </c:pt>
                <c:pt idx="20">
                  <c:v>Spain</c:v>
                </c:pt>
                <c:pt idx="21">
                  <c:v>Sweden</c:v>
                </c:pt>
                <c:pt idx="22">
                  <c:v>UK (England)</c:v>
                </c:pt>
                <c:pt idx="23">
                  <c:v>UK (N. Ireland)</c:v>
                </c:pt>
                <c:pt idx="24">
                  <c:v>UK (Scotland)</c:v>
                </c:pt>
                <c:pt idx="25">
                  <c:v>UK (Wales)</c:v>
                </c:pt>
                <c:pt idx="26">
                  <c:v>Total average (26)</c:v>
                </c:pt>
              </c:strCache>
            </c:strRef>
          </c:cat>
          <c:val>
            <c:numRef>
              <c:f>'1.1, 1.2 - ISCED3'!$E$3:$E$29</c:f>
              <c:numCache>
                <c:formatCode>0.00</c:formatCode>
                <c:ptCount val="27"/>
                <c:pt idx="0">
                  <c:v>100</c:v>
                </c:pt>
                <c:pt idx="1">
                  <c:v>60.981320280869468</c:v>
                </c:pt>
                <c:pt idx="2">
                  <c:v>99.595997734566737</c:v>
                </c:pt>
                <c:pt idx="3">
                  <c:v>99.798576141691271</c:v>
                </c:pt>
                <c:pt idx="4">
                  <c:v>99.003194723553349</c:v>
                </c:pt>
                <c:pt idx="5">
                  <c:v>99.799356072978398</c:v>
                </c:pt>
                <c:pt idx="6">
                  <c:v>99.897899361204807</c:v>
                </c:pt>
                <c:pt idx="7">
                  <c:v>99.78761454286203</c:v>
                </c:pt>
                <c:pt idx="8">
                  <c:v>86.773510101636262</c:v>
                </c:pt>
                <c:pt idx="9">
                  <c:v>99.299259057679706</c:v>
                </c:pt>
                <c:pt idx="10">
                  <c:v>99.978798987004353</c:v>
                </c:pt>
                <c:pt idx="11">
                  <c:v>99.96070598251417</c:v>
                </c:pt>
                <c:pt idx="12">
                  <c:v>99.211206310349525</c:v>
                </c:pt>
                <c:pt idx="13">
                  <c:v>99.50857938490519</c:v>
                </c:pt>
                <c:pt idx="14">
                  <c:v>100</c:v>
                </c:pt>
                <c:pt idx="15">
                  <c:v>97.982098965194126</c:v>
                </c:pt>
                <c:pt idx="16">
                  <c:v>100</c:v>
                </c:pt>
                <c:pt idx="17">
                  <c:v>99.044736667174988</c:v>
                </c:pt>
                <c:pt idx="18">
                  <c:v>96.066202420960593</c:v>
                </c:pt>
                <c:pt idx="19">
                  <c:v>95.38519785736321</c:v>
                </c:pt>
                <c:pt idx="20">
                  <c:v>100</c:v>
                </c:pt>
                <c:pt idx="21">
                  <c:v>98.318044998870874</c:v>
                </c:pt>
                <c:pt idx="22">
                  <c:v>97.045892752354249</c:v>
                </c:pt>
                <c:pt idx="23">
                  <c:v>97.678910495645908</c:v>
                </c:pt>
                <c:pt idx="24">
                  <c:v>98.169605586055098</c:v>
                </c:pt>
                <c:pt idx="25">
                  <c:v>88.724875497115832</c:v>
                </c:pt>
                <c:pt idx="26">
                  <c:v>97.659799046954177</c:v>
                </c:pt>
              </c:numCache>
            </c:numRef>
          </c:val>
          <c:extLst>
            <c:ext xmlns:c16="http://schemas.microsoft.com/office/drawing/2014/chart" uri="{C3380CC4-5D6E-409C-BE32-E72D297353CC}">
              <c16:uniqueId val="{00000006-89BA-4C22-8DC6-A391F89F9A37}"/>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10"/>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6746-4182-8B75-2C94BC1F452E}"/>
              </c:ext>
            </c:extLst>
          </c:dPt>
          <c:dPt>
            <c:idx val="26"/>
            <c:invertIfNegative val="0"/>
            <c:bubble3D val="0"/>
            <c:spPr>
              <a:solidFill>
                <a:srgbClr val="F9C624"/>
              </a:solidFill>
              <a:ln>
                <a:noFill/>
              </a:ln>
              <a:effectLst/>
            </c:spPr>
            <c:extLst>
              <c:ext xmlns:c16="http://schemas.microsoft.com/office/drawing/2014/chart" uri="{C3380CC4-5D6E-409C-BE32-E72D297353CC}">
                <c16:uniqueId val="{00000003-6746-4182-8B75-2C94BC1F452E}"/>
              </c:ext>
            </c:extLst>
          </c:dPt>
          <c:dPt>
            <c:idx val="27"/>
            <c:invertIfNegative val="0"/>
            <c:bubble3D val="0"/>
            <c:extLst>
              <c:ext xmlns:c16="http://schemas.microsoft.com/office/drawing/2014/chart" uri="{C3380CC4-5D6E-409C-BE32-E72D297353CC}">
                <c16:uniqueId val="{00000005-6746-4182-8B75-2C94BC1F452E}"/>
              </c:ext>
            </c:extLst>
          </c:dPt>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0741-8548-83BB-894F38DDDE88}"/>
                </c:ext>
              </c:extLst>
            </c:dLbl>
            <c:dLbl>
              <c:idx val="2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6746-4182-8B75-2C94BC1F452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'1.1, 1.2 - ISCED3'!$D$33:$D$59</c:f>
              <c:strCache>
                <c:ptCount val="27"/>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Latvia</c:v>
                </c:pt>
                <c:pt idx="13">
                  <c:v>Lithuania</c:v>
                </c:pt>
                <c:pt idx="14">
                  <c:v>Luxembourg</c:v>
                </c:pt>
                <c:pt idx="15">
                  <c:v>Netherlands</c:v>
                </c:pt>
                <c:pt idx="16">
                  <c:v>Poland</c:v>
                </c:pt>
                <c:pt idx="17">
                  <c:v>Portugal</c:v>
                </c:pt>
                <c:pt idx="18">
                  <c:v>Serbia</c:v>
                </c:pt>
                <c:pt idx="19">
                  <c:v>Slovakia</c:v>
                </c:pt>
                <c:pt idx="20">
                  <c:v>Slovenia</c:v>
                </c:pt>
                <c:pt idx="21">
                  <c:v>Spain</c:v>
                </c:pt>
                <c:pt idx="22">
                  <c:v>Sweden</c:v>
                </c:pt>
                <c:pt idx="23">
                  <c:v>UK (England)</c:v>
                </c:pt>
                <c:pt idx="24">
                  <c:v>UK (N. Ireland)</c:v>
                </c:pt>
                <c:pt idx="25">
                  <c:v>UK (Scotland)</c:v>
                </c:pt>
                <c:pt idx="26">
                  <c:v>Total average (26)</c:v>
                </c:pt>
              </c:strCache>
            </c:strRef>
          </c:cat>
          <c:val>
            <c:numRef>
              <c:f>'1.1, 1.2 - ISCED3'!$E$33:$E$59</c:f>
              <c:numCache>
                <c:formatCode>0.00</c:formatCode>
                <c:ptCount val="27"/>
                <c:pt idx="0">
                  <c:v>98.423048945235365</c:v>
                </c:pt>
                <c:pt idx="1">
                  <c:v>60.981320280869468</c:v>
                </c:pt>
                <c:pt idx="2">
                  <c:v>99.434671426364844</c:v>
                </c:pt>
                <c:pt idx="3">
                  <c:v>99.225559993054347</c:v>
                </c:pt>
                <c:pt idx="4">
                  <c:v>97.864172721183067</c:v>
                </c:pt>
                <c:pt idx="5">
                  <c:v>99.790023797302979</c:v>
                </c:pt>
                <c:pt idx="6">
                  <c:v>99.715549599896462</c:v>
                </c:pt>
                <c:pt idx="7">
                  <c:v>94.770635216725935</c:v>
                </c:pt>
                <c:pt idx="8">
                  <c:v>99.594101136217262</c:v>
                </c:pt>
                <c:pt idx="9">
                  <c:v>84.787346298913661</c:v>
                </c:pt>
                <c:pt idx="10">
                  <c:v>98.87126900288213</c:v>
                </c:pt>
                <c:pt idx="11">
                  <c:v>99.978798987004353</c:v>
                </c:pt>
                <c:pt idx="12">
                  <c:v>99.440060250826818</c:v>
                </c:pt>
                <c:pt idx="13">
                  <c:v>98.833129334965321</c:v>
                </c:pt>
                <c:pt idx="14">
                  <c:v>99.094967033867064</c:v>
                </c:pt>
                <c:pt idx="15">
                  <c:v>100</c:v>
                </c:pt>
                <c:pt idx="16">
                  <c:v>97.982098965194126</c:v>
                </c:pt>
                <c:pt idx="17">
                  <c:v>92.218012499336083</c:v>
                </c:pt>
                <c:pt idx="18">
                  <c:v>99.044736667174988</c:v>
                </c:pt>
                <c:pt idx="19">
                  <c:v>96.015107299754533</c:v>
                </c:pt>
                <c:pt idx="20">
                  <c:v>95.38519785736321</c:v>
                </c:pt>
                <c:pt idx="21">
                  <c:v>100</c:v>
                </c:pt>
                <c:pt idx="22">
                  <c:v>98.318044998870874</c:v>
                </c:pt>
                <c:pt idx="23">
                  <c:v>96.639406104751345</c:v>
                </c:pt>
                <c:pt idx="24">
                  <c:v>97.642899233942245</c:v>
                </c:pt>
                <c:pt idx="25">
                  <c:v>97.682596706049026</c:v>
                </c:pt>
                <c:pt idx="26">
                  <c:v>96.883086654368782</c:v>
                </c:pt>
              </c:numCache>
            </c:numRef>
          </c:val>
          <c:extLst>
            <c:ext xmlns:c16="http://schemas.microsoft.com/office/drawing/2014/chart" uri="{C3380CC4-5D6E-409C-BE32-E72D297353CC}">
              <c16:uniqueId val="{00000006-6746-4182-8B75-2C94BC1F452E}"/>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D6BC-42DA-921B-10A7B3CB5D86}"/>
              </c:ext>
            </c:extLst>
          </c:dPt>
          <c:dPt>
            <c:idx val="22"/>
            <c:invertIfNegative val="0"/>
            <c:bubble3D val="0"/>
            <c:spPr>
              <a:solidFill>
                <a:srgbClr val="F9C624"/>
              </a:solidFill>
              <a:ln>
                <a:noFill/>
              </a:ln>
              <a:effectLst/>
            </c:spPr>
            <c:extLst>
              <c:ext xmlns:c16="http://schemas.microsoft.com/office/drawing/2014/chart" uri="{C3380CC4-5D6E-409C-BE32-E72D297353CC}">
                <c16:uniqueId val="{00000003-D6BC-42DA-921B-10A7B3CB5D86}"/>
              </c:ext>
            </c:extLst>
          </c:dPt>
          <c:dPt>
            <c:idx val="27"/>
            <c:invertIfNegative val="0"/>
            <c:bubble3D val="0"/>
            <c:extLst>
              <c:ext xmlns:c16="http://schemas.microsoft.com/office/drawing/2014/chart" uri="{C3380CC4-5D6E-409C-BE32-E72D297353CC}">
                <c16:uniqueId val="{00000005-D6BC-42DA-921B-10A7B3CB5D86}"/>
              </c:ext>
            </c:extLst>
          </c:dPt>
          <c:dLbls>
            <c:dLbl>
              <c:idx val="6"/>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291D-4F41-B5EC-13BCC7B640CB}"/>
                </c:ext>
              </c:extLst>
            </c:dLbl>
            <c:dLbl>
              <c:idx val="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291D-4F41-B5EC-13BCC7B640CB}"/>
                </c:ext>
              </c:extLst>
            </c:dLbl>
            <c:dLbl>
              <c:idx val="22"/>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6BC-42DA-921B-10A7B3CB5D8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'2.1 - ISCED3'!$D$3:$D$25</c:f>
              <c:strCache>
                <c:ptCount val="23"/>
                <c:pt idx="0">
                  <c:v>Belgium (Fl)</c:v>
                </c:pt>
                <c:pt idx="1">
                  <c:v>Bulgaria</c:v>
                </c:pt>
                <c:pt idx="2">
                  <c:v>Cyprus</c:v>
                </c:pt>
                <c:pt idx="3">
                  <c:v>Czech Republic</c:v>
                </c:pt>
                <c:pt idx="4">
                  <c:v>Estonia</c:v>
                </c:pt>
                <c:pt idx="5">
                  <c:v>Greece</c:v>
                </c:pt>
                <c:pt idx="6">
                  <c:v>Hungary</c:v>
                </c:pt>
                <c:pt idx="7">
                  <c:v>Ireland</c:v>
                </c:pt>
                <c:pt idx="8">
                  <c:v>Italy</c:v>
                </c:pt>
                <c:pt idx="9">
                  <c:v>Latvia</c:v>
                </c:pt>
                <c:pt idx="10">
                  <c:v>Lithuania</c:v>
                </c:pt>
                <c:pt idx="11">
                  <c:v>Luxembourg</c:v>
                </c:pt>
                <c:pt idx="12">
                  <c:v>Netherlands</c:v>
                </c:pt>
                <c:pt idx="13">
                  <c:v>Poland</c:v>
                </c:pt>
                <c:pt idx="14">
                  <c:v>Portugal</c:v>
                </c:pt>
                <c:pt idx="15">
                  <c:v>Slovakia</c:v>
                </c:pt>
                <c:pt idx="16">
                  <c:v>Slovenia</c:v>
                </c:pt>
                <c:pt idx="17">
                  <c:v>Spain</c:v>
                </c:pt>
                <c:pt idx="18">
                  <c:v>UK (England)</c:v>
                </c:pt>
                <c:pt idx="19">
                  <c:v>UK (N. Ireland)</c:v>
                </c:pt>
                <c:pt idx="20">
                  <c:v>UK (Scotland)</c:v>
                </c:pt>
                <c:pt idx="21">
                  <c:v>UK (Wales)</c:v>
                </c:pt>
                <c:pt idx="22">
                  <c:v>Total average (22)</c:v>
                </c:pt>
              </c:strCache>
            </c:strRef>
          </c:cat>
          <c:val>
            <c:numRef>
              <c:f>'2.1 - ISCED3'!$E$3:$E$25</c:f>
              <c:numCache>
                <c:formatCode>0.00</c:formatCode>
                <c:ptCount val="23"/>
                <c:pt idx="0">
                  <c:v>93.751956961088496</c:v>
                </c:pt>
                <c:pt idx="1">
                  <c:v>99.54029204975663</c:v>
                </c:pt>
                <c:pt idx="2">
                  <c:v>99.689922480620154</c:v>
                </c:pt>
                <c:pt idx="3">
                  <c:v>98.172159507915978</c:v>
                </c:pt>
                <c:pt idx="4">
                  <c:v>97.984386089425129</c:v>
                </c:pt>
                <c:pt idx="5">
                  <c:v>99.194740817173184</c:v>
                </c:pt>
                <c:pt idx="6">
                  <c:v>80.633567988143767</c:v>
                </c:pt>
                <c:pt idx="7">
                  <c:v>92.868948000208761</c:v>
                </c:pt>
                <c:pt idx="8">
                  <c:v>99.984025260834301</c:v>
                </c:pt>
                <c:pt idx="9">
                  <c:v>66.288246721709569</c:v>
                </c:pt>
                <c:pt idx="10">
                  <c:v>98.857210644944445</c:v>
                </c:pt>
                <c:pt idx="11">
                  <c:v>99.587628865979383</c:v>
                </c:pt>
                <c:pt idx="12">
                  <c:v>97.335933720066038</c:v>
                </c:pt>
                <c:pt idx="13">
                  <c:v>94.752060259876174</c:v>
                </c:pt>
                <c:pt idx="14">
                  <c:v>99.862725097474708</c:v>
                </c:pt>
                <c:pt idx="15">
                  <c:v>96.072255862153042</c:v>
                </c:pt>
                <c:pt idx="16">
                  <c:v>97.886647454370802</c:v>
                </c:pt>
                <c:pt idx="17">
                  <c:v>99.392446975770767</c:v>
                </c:pt>
                <c:pt idx="18">
                  <c:v>97.257691406210185</c:v>
                </c:pt>
                <c:pt idx="19">
                  <c:v>98.197814672910454</c:v>
                </c:pt>
                <c:pt idx="20">
                  <c:v>98.432889270878093</c:v>
                </c:pt>
                <c:pt idx="21">
                  <c:v>89.26087659712114</c:v>
                </c:pt>
                <c:pt idx="22">
                  <c:v>97.05751839103732</c:v>
                </c:pt>
              </c:numCache>
            </c:numRef>
          </c:val>
          <c:extLst>
            <c:ext xmlns:c16="http://schemas.microsoft.com/office/drawing/2014/chart" uri="{C3380CC4-5D6E-409C-BE32-E72D297353CC}">
              <c16:uniqueId val="{00000006-D6BC-42DA-921B-10A7B3CB5D86}"/>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min val="5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8"/>
            <c:invertIfNegative val="0"/>
            <c:bubble3D val="0"/>
            <c:spPr>
              <a:solidFill>
                <a:srgbClr val="F9C624"/>
              </a:solidFill>
              <a:ln>
                <a:noFill/>
              </a:ln>
              <a:effectLst/>
            </c:spPr>
            <c:extLst>
              <c:ext xmlns:c16="http://schemas.microsoft.com/office/drawing/2014/chart" uri="{C3380CC4-5D6E-409C-BE32-E72D297353CC}">
                <c16:uniqueId val="{00000001-DE8F-4DD1-AD16-5A9D001A926E}"/>
              </c:ext>
            </c:extLst>
          </c:dPt>
          <c:dPt>
            <c:idx val="20"/>
            <c:invertIfNegative val="0"/>
            <c:bubble3D val="0"/>
            <c:extLst>
              <c:ext xmlns:c16="http://schemas.microsoft.com/office/drawing/2014/chart" uri="{C3380CC4-5D6E-409C-BE32-E72D297353CC}">
                <c16:uniqueId val="{00000003-DE8F-4DD1-AD16-5A9D001A926E}"/>
              </c:ext>
            </c:extLst>
          </c:dPt>
          <c:dPt>
            <c:idx val="27"/>
            <c:invertIfNegative val="0"/>
            <c:bubble3D val="0"/>
            <c:extLst>
              <c:ext xmlns:c16="http://schemas.microsoft.com/office/drawing/2014/chart" uri="{C3380CC4-5D6E-409C-BE32-E72D297353CC}">
                <c16:uniqueId val="{00000005-DE8F-4DD1-AD16-5A9D001A926E}"/>
              </c:ext>
            </c:extLst>
          </c:dPt>
          <c:dLbls>
            <c:dLbl>
              <c:idx val="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9A78-6843-9B20-5758050E5F10}"/>
                </c:ext>
              </c:extLst>
            </c:dLbl>
            <c:dLbl>
              <c:idx val="8"/>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9A78-6843-9B20-5758050E5F10}"/>
                </c:ext>
              </c:extLst>
            </c:dLbl>
            <c:dLbl>
              <c:idx val="18"/>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DE8F-4DD1-AD16-5A9D001A926E}"/>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'2.1 - ISCED3'!$D$30:$D$48</c:f>
              <c:strCache>
                <c:ptCount val="19"/>
                <c:pt idx="0">
                  <c:v>Belgium (Fl)</c:v>
                </c:pt>
                <c:pt idx="1">
                  <c:v>Bulgaria</c:v>
                </c:pt>
                <c:pt idx="2">
                  <c:v>Cyprus</c:v>
                </c:pt>
                <c:pt idx="3">
                  <c:v>Czech Republic</c:v>
                </c:pt>
                <c:pt idx="4">
                  <c:v>Germany</c:v>
                </c:pt>
                <c:pt idx="5">
                  <c:v>Estonia</c:v>
                </c:pt>
                <c:pt idx="6">
                  <c:v>Greece</c:v>
                </c:pt>
                <c:pt idx="7">
                  <c:v>Italy</c:v>
                </c:pt>
                <c:pt idx="8">
                  <c:v>Lithuania</c:v>
                </c:pt>
                <c:pt idx="9">
                  <c:v>Luxembourg</c:v>
                </c:pt>
                <c:pt idx="10">
                  <c:v>Netherlands</c:v>
                </c:pt>
                <c:pt idx="11">
                  <c:v>Portugal</c:v>
                </c:pt>
                <c:pt idx="12">
                  <c:v>Slovakia</c:v>
                </c:pt>
                <c:pt idx="13">
                  <c:v>Slovenia</c:v>
                </c:pt>
                <c:pt idx="14">
                  <c:v>Spain</c:v>
                </c:pt>
                <c:pt idx="15">
                  <c:v>UK (England)</c:v>
                </c:pt>
                <c:pt idx="16">
                  <c:v>UK (N. Ireland)</c:v>
                </c:pt>
                <c:pt idx="17">
                  <c:v>UK (Scotland)</c:v>
                </c:pt>
                <c:pt idx="18">
                  <c:v>Total average (18)</c:v>
                </c:pt>
              </c:strCache>
            </c:strRef>
          </c:cat>
          <c:val>
            <c:numRef>
              <c:f>'2.1 - ISCED3'!$E$30:$E$48</c:f>
              <c:numCache>
                <c:formatCode>0.00</c:formatCode>
                <c:ptCount val="19"/>
                <c:pt idx="0">
                  <c:v>93.751956961088496</c:v>
                </c:pt>
                <c:pt idx="1">
                  <c:v>99.54029204975663</c:v>
                </c:pt>
                <c:pt idx="2">
                  <c:v>99.346622369878176</c:v>
                </c:pt>
                <c:pt idx="3">
                  <c:v>96.88719579678235</c:v>
                </c:pt>
                <c:pt idx="4">
                  <c:v>98.240506345471204</c:v>
                </c:pt>
                <c:pt idx="5">
                  <c:v>97.785663591199437</c:v>
                </c:pt>
                <c:pt idx="6">
                  <c:v>98.962843192528211</c:v>
                </c:pt>
                <c:pt idx="7">
                  <c:v>99.984025260834301</c:v>
                </c:pt>
                <c:pt idx="8">
                  <c:v>94.550990549250656</c:v>
                </c:pt>
                <c:pt idx="9">
                  <c:v>99.243986254295535</c:v>
                </c:pt>
                <c:pt idx="10">
                  <c:v>97.335933720066038</c:v>
                </c:pt>
                <c:pt idx="11">
                  <c:v>98.446124367248501</c:v>
                </c:pt>
                <c:pt idx="12">
                  <c:v>95.966594871378064</c:v>
                </c:pt>
                <c:pt idx="13">
                  <c:v>97.886647454370802</c:v>
                </c:pt>
                <c:pt idx="14">
                  <c:v>99.225851459272604</c:v>
                </c:pt>
                <c:pt idx="15">
                  <c:v>97.14253686473927</c:v>
                </c:pt>
                <c:pt idx="16">
                  <c:v>98.183624237264084</c:v>
                </c:pt>
                <c:pt idx="17">
                  <c:v>96.424581005586589</c:v>
                </c:pt>
                <c:pt idx="18">
                  <c:v>98.351253052277372</c:v>
                </c:pt>
              </c:numCache>
            </c:numRef>
          </c:val>
          <c:extLst>
            <c:ext xmlns:c16="http://schemas.microsoft.com/office/drawing/2014/chart" uri="{C3380CC4-5D6E-409C-BE32-E72D297353CC}">
              <c16:uniqueId val="{00000006-DE8F-4DD1-AD16-5A9D001A926E}"/>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100"/>
          <c:min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7"/>
            <c:invertIfNegative val="0"/>
            <c:bubble3D val="0"/>
            <c:spPr>
              <a:solidFill>
                <a:srgbClr val="F9C624"/>
              </a:solidFill>
              <a:ln>
                <a:noFill/>
              </a:ln>
              <a:effectLst/>
            </c:spPr>
            <c:extLst>
              <c:ext xmlns:c16="http://schemas.microsoft.com/office/drawing/2014/chart" uri="{C3380CC4-5D6E-409C-BE32-E72D297353CC}">
                <c16:uniqueId val="{00000001-ACD3-4510-9508-4EC4CB09012D}"/>
              </c:ext>
            </c:extLst>
          </c:dPt>
          <c:dLbls>
            <c:dLbl>
              <c:idx val="25"/>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3C89-E642-8705-99E98BAADCDF}"/>
                </c:ext>
              </c:extLst>
            </c:dLbl>
            <c:dLbl>
              <c:idx val="27"/>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ACD3-4510-9508-4EC4CB09012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'3a.1 - ISCED3'!$F$3:$F$30</c:f>
              <c:strCache>
                <c:ptCount val="28"/>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Ireland</c:v>
                </c:pt>
                <c:pt idx="12">
                  <c:v>Italy</c:v>
                </c:pt>
                <c:pt idx="13">
                  <c:v>Latvia</c:v>
                </c:pt>
                <c:pt idx="14">
                  <c:v>Lithuania</c:v>
                </c:pt>
                <c:pt idx="15">
                  <c:v>Luxembourg</c:v>
                </c:pt>
                <c:pt idx="16">
                  <c:v>Norway</c:v>
                </c:pt>
                <c:pt idx="17">
                  <c:v>Poland</c:v>
                </c:pt>
                <c:pt idx="18">
                  <c:v>Portugal</c:v>
                </c:pt>
                <c:pt idx="19">
                  <c:v>Slovakia</c:v>
                </c:pt>
                <c:pt idx="20">
                  <c:v>Slovenia</c:v>
                </c:pt>
                <c:pt idx="21">
                  <c:v>Spain</c:v>
                </c:pt>
                <c:pt idx="22">
                  <c:v>Sweden</c:v>
                </c:pt>
                <c:pt idx="23">
                  <c:v>UK (England)</c:v>
                </c:pt>
                <c:pt idx="24">
                  <c:v>UK (N. Ireland)</c:v>
                </c:pt>
                <c:pt idx="25">
                  <c:v>UK (Scotland)</c:v>
                </c:pt>
                <c:pt idx="26">
                  <c:v>UK (Wales)</c:v>
                </c:pt>
                <c:pt idx="27">
                  <c:v>Total average (27)</c:v>
                </c:pt>
              </c:strCache>
            </c:strRef>
          </c:cat>
          <c:val>
            <c:numRef>
              <c:f>'3a.1 - ISCED3'!$G$3:$G$30</c:f>
              <c:numCache>
                <c:formatCode>0.00</c:formatCode>
                <c:ptCount val="28"/>
                <c:pt idx="0">
                  <c:v>2.910994492362049</c:v>
                </c:pt>
                <c:pt idx="1">
                  <c:v>0.79096694107174803</c:v>
                </c:pt>
                <c:pt idx="2">
                  <c:v>1.5806545729143424</c:v>
                </c:pt>
                <c:pt idx="3">
                  <c:v>7.2929328008334782</c:v>
                </c:pt>
                <c:pt idx="4">
                  <c:v>5.800999639305406</c:v>
                </c:pt>
                <c:pt idx="5">
                  <c:v>0.6019317810648126</c:v>
                </c:pt>
                <c:pt idx="6">
                  <c:v>14.738542908494557</c:v>
                </c:pt>
                <c:pt idx="7">
                  <c:v>1.1188052474094152</c:v>
                </c:pt>
                <c:pt idx="8">
                  <c:v>0.12005206806751505</c:v>
                </c:pt>
                <c:pt idx="9">
                  <c:v>6.8029248682700922</c:v>
                </c:pt>
                <c:pt idx="10">
                  <c:v>5.7705924327958096</c:v>
                </c:pt>
                <c:pt idx="11">
                  <c:v>4.9002387343369245</c:v>
                </c:pt>
                <c:pt idx="12">
                  <c:v>2.4733139284651555</c:v>
                </c:pt>
                <c:pt idx="13">
                  <c:v>0.18173483087199974</c:v>
                </c:pt>
                <c:pt idx="14">
                  <c:v>1.9515843873249012</c:v>
                </c:pt>
                <c:pt idx="15">
                  <c:v>1.52340390679389</c:v>
                </c:pt>
                <c:pt idx="16">
                  <c:v>2.109026411329435</c:v>
                </c:pt>
                <c:pt idx="17">
                  <c:v>2.8877733718516239</c:v>
                </c:pt>
                <c:pt idx="18">
                  <c:v>3.8586831436007296</c:v>
                </c:pt>
                <c:pt idx="19">
                  <c:v>6.3753015665658817</c:v>
                </c:pt>
                <c:pt idx="20">
                  <c:v>7.0406932720083013</c:v>
                </c:pt>
                <c:pt idx="21">
                  <c:v>1.3638407089137938</c:v>
                </c:pt>
                <c:pt idx="22">
                  <c:v>1.6922456843447267</c:v>
                </c:pt>
                <c:pt idx="23">
                  <c:v>3.8361944503954026</c:v>
                </c:pt>
                <c:pt idx="24">
                  <c:v>4.429385189550187</c:v>
                </c:pt>
                <c:pt idx="25">
                  <c:v>23.252460343562628</c:v>
                </c:pt>
                <c:pt idx="26">
                  <c:v>4.8726308623840069</c:v>
                </c:pt>
                <c:pt idx="27">
                  <c:v>2.4135084704155711</c:v>
                </c:pt>
              </c:numCache>
            </c:numRef>
          </c:val>
          <c:extLst>
            <c:ext xmlns:c16="http://schemas.microsoft.com/office/drawing/2014/chart" uri="{C3380CC4-5D6E-409C-BE32-E72D297353CC}">
              <c16:uniqueId val="{00000002-ACD3-4510-9508-4EC4CB09012D}"/>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127532698580045E-2"/>
          <c:y val="4.1937981992645999E-2"/>
          <c:w val="0.82313807531380756"/>
          <c:h val="0.91607170514918579"/>
        </c:manualLayout>
      </c:layout>
      <c:barChart>
        <c:barDir val="bar"/>
        <c:grouping val="clustered"/>
        <c:varyColors val="0"/>
        <c:ser>
          <c:idx val="0"/>
          <c:order val="0"/>
          <c:tx>
            <c:strRef>
              <c:f>Blad1!$I$2</c:f>
              <c:strCache>
                <c:ptCount val="1"/>
                <c:pt idx="0">
                  <c:v>Boys</c:v>
                </c:pt>
              </c:strCache>
            </c:strRef>
          </c:tx>
          <c:spPr>
            <a:solidFill>
              <a:srgbClr val="17255B"/>
            </a:solidFill>
            <a:ln>
              <a:noFill/>
            </a:ln>
            <a:effectLst/>
          </c:spPr>
          <c:invertIfNegative val="0"/>
          <c:dLbls>
            <c:dLbl>
              <c:idx val="2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E2E1-1743-A439-A81E396AA5F3}"/>
                </c:ext>
              </c:extLst>
            </c:dLbl>
            <c:dLbl>
              <c:idx val="25"/>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E2E1-1743-A439-A81E396AA5F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Blad1!$H$3:$H$28</c:f>
              <c:strCache>
                <c:ptCount val="26"/>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Ireland</c:v>
                </c:pt>
                <c:pt idx="12">
                  <c:v>Italy</c:v>
                </c:pt>
                <c:pt idx="13">
                  <c:v>Lithuania</c:v>
                </c:pt>
                <c:pt idx="14">
                  <c:v>Norway</c:v>
                </c:pt>
                <c:pt idx="15">
                  <c:v>Poland</c:v>
                </c:pt>
                <c:pt idx="16">
                  <c:v>Portugal</c:v>
                </c:pt>
                <c:pt idx="17">
                  <c:v>Slovakia</c:v>
                </c:pt>
                <c:pt idx="18">
                  <c:v>Slovenia</c:v>
                </c:pt>
                <c:pt idx="19">
                  <c:v>Spain</c:v>
                </c:pt>
                <c:pt idx="20">
                  <c:v>Sweden</c:v>
                </c:pt>
                <c:pt idx="21">
                  <c:v>UK (England)</c:v>
                </c:pt>
                <c:pt idx="22">
                  <c:v>UK (N. Ireland)</c:v>
                </c:pt>
                <c:pt idx="23">
                  <c:v>UK (Scotland)</c:v>
                </c:pt>
                <c:pt idx="24">
                  <c:v>UK (Wales)</c:v>
                </c:pt>
                <c:pt idx="25">
                  <c:v>Total average (25)</c:v>
                </c:pt>
              </c:strCache>
            </c:strRef>
          </c:cat>
          <c:val>
            <c:numRef>
              <c:f>Blad1!$I$3:$I$28</c:f>
              <c:numCache>
                <c:formatCode>0.00</c:formatCode>
                <c:ptCount val="26"/>
                <c:pt idx="0">
                  <c:v>1.6990543489556271</c:v>
                </c:pt>
                <c:pt idx="1">
                  <c:v>0.60807930432016821</c:v>
                </c:pt>
                <c:pt idx="2">
                  <c:v>0.97413630356805747</c:v>
                </c:pt>
                <c:pt idx="3">
                  <c:v>4.9036291022747003</c:v>
                </c:pt>
                <c:pt idx="4">
                  <c:v>3.6677487504508681</c:v>
                </c:pt>
                <c:pt idx="5">
                  <c:v>0.33129578647753255</c:v>
                </c:pt>
                <c:pt idx="6">
                  <c:v>8.3583968241480946</c:v>
                </c:pt>
                <c:pt idx="7">
                  <c:v>0.74946132586168834</c:v>
                </c:pt>
                <c:pt idx="8">
                  <c:v>7.407895170052349E-2</c:v>
                </c:pt>
                <c:pt idx="9">
                  <c:v>4.7266997576589072</c:v>
                </c:pt>
                <c:pt idx="10">
                  <c:v>3.7194078702670539</c:v>
                </c:pt>
                <c:pt idx="11">
                  <c:v>3.3292925794441075</c:v>
                </c:pt>
                <c:pt idx="12">
                  <c:v>1.6528910114083966</c:v>
                </c:pt>
                <c:pt idx="13">
                  <c:v>1.1464708282333742</c:v>
                </c:pt>
                <c:pt idx="14">
                  <c:v>1.3751628190560652</c:v>
                </c:pt>
                <c:pt idx="15">
                  <c:v>1.6809364034179775</c:v>
                </c:pt>
                <c:pt idx="16">
                  <c:v>2.2856434679461075</c:v>
                </c:pt>
                <c:pt idx="17">
                  <c:v>4.1645157552069616</c:v>
                </c:pt>
                <c:pt idx="18">
                  <c:v>4.3133185629750121</c:v>
                </c:pt>
                <c:pt idx="19">
                  <c:v>0.93056853069485757</c:v>
                </c:pt>
                <c:pt idx="20">
                  <c:v>1.0107737736221205</c:v>
                </c:pt>
                <c:pt idx="21">
                  <c:v>2.8209092856677129</c:v>
                </c:pt>
                <c:pt idx="22">
                  <c:v>2.9267334511883716</c:v>
                </c:pt>
                <c:pt idx="23">
                  <c:v>13.374402307283628</c:v>
                </c:pt>
                <c:pt idx="24">
                  <c:v>3.4430869549639929</c:v>
                </c:pt>
                <c:pt idx="25">
                  <c:v>1.5745218517520487</c:v>
                </c:pt>
              </c:numCache>
            </c:numRef>
          </c:val>
          <c:extLst>
            <c:ext xmlns:c16="http://schemas.microsoft.com/office/drawing/2014/chart" uri="{C3380CC4-5D6E-409C-BE32-E72D297353CC}">
              <c16:uniqueId val="{00000000-BF98-4540-BFDB-447FE28A505B}"/>
            </c:ext>
          </c:extLst>
        </c:ser>
        <c:ser>
          <c:idx val="1"/>
          <c:order val="1"/>
          <c:tx>
            <c:strRef>
              <c:f>Blad1!$J$2</c:f>
              <c:strCache>
                <c:ptCount val="1"/>
                <c:pt idx="0">
                  <c:v>Girls</c:v>
                </c:pt>
              </c:strCache>
            </c:strRef>
          </c:tx>
          <c:spPr>
            <a:solidFill>
              <a:srgbClr val="F9C624"/>
            </a:solidFill>
            <a:ln>
              <a:noFill/>
            </a:ln>
            <a:effectLst/>
          </c:spPr>
          <c:invertIfNegative val="0"/>
          <c:dLbls>
            <c:dLbl>
              <c:idx val="2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2E1-1743-A439-A81E396AA5F3}"/>
                </c:ext>
              </c:extLst>
            </c:dLbl>
            <c:dLbl>
              <c:idx val="25"/>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E2E1-1743-A439-A81E396AA5F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Blad1!$H$3:$H$28</c:f>
              <c:strCache>
                <c:ptCount val="26"/>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Ireland</c:v>
                </c:pt>
                <c:pt idx="12">
                  <c:v>Italy</c:v>
                </c:pt>
                <c:pt idx="13">
                  <c:v>Lithuania</c:v>
                </c:pt>
                <c:pt idx="14">
                  <c:v>Norway</c:v>
                </c:pt>
                <c:pt idx="15">
                  <c:v>Poland</c:v>
                </c:pt>
                <c:pt idx="16">
                  <c:v>Portugal</c:v>
                </c:pt>
                <c:pt idx="17">
                  <c:v>Slovakia</c:v>
                </c:pt>
                <c:pt idx="18">
                  <c:v>Slovenia</c:v>
                </c:pt>
                <c:pt idx="19">
                  <c:v>Spain</c:v>
                </c:pt>
                <c:pt idx="20">
                  <c:v>Sweden</c:v>
                </c:pt>
                <c:pt idx="21">
                  <c:v>UK (England)</c:v>
                </c:pt>
                <c:pt idx="22">
                  <c:v>UK (N. Ireland)</c:v>
                </c:pt>
                <c:pt idx="23">
                  <c:v>UK (Scotland)</c:v>
                </c:pt>
                <c:pt idx="24">
                  <c:v>UK (Wales)</c:v>
                </c:pt>
                <c:pt idx="25">
                  <c:v>Total average (25)</c:v>
                </c:pt>
              </c:strCache>
            </c:strRef>
          </c:cat>
          <c:val>
            <c:numRef>
              <c:f>Blad1!$J$3:$J$28</c:f>
              <c:numCache>
                <c:formatCode>0.00</c:formatCode>
                <c:ptCount val="26"/>
                <c:pt idx="0">
                  <c:v>1.2119401434064221</c:v>
                </c:pt>
                <c:pt idx="1">
                  <c:v>0.18288763675157982</c:v>
                </c:pt>
                <c:pt idx="2">
                  <c:v>0.60651826934628517</c:v>
                </c:pt>
                <c:pt idx="3">
                  <c:v>2.3893036985587774</c:v>
                </c:pt>
                <c:pt idx="4">
                  <c:v>2.133250888854537</c:v>
                </c:pt>
                <c:pt idx="5">
                  <c:v>0.2706359945872801</c:v>
                </c:pt>
                <c:pt idx="6">
                  <c:v>6.3801460843464639</c:v>
                </c:pt>
                <c:pt idx="7">
                  <c:v>0.36934392154772688</c:v>
                </c:pt>
                <c:pt idx="8">
                  <c:v>4.5973116366991543E-2</c:v>
                </c:pt>
                <c:pt idx="9">
                  <c:v>2.0762251106111846</c:v>
                </c:pt>
                <c:pt idx="10">
                  <c:v>2.0511845625287566</c:v>
                </c:pt>
                <c:pt idx="11">
                  <c:v>1.5709461548928167</c:v>
                </c:pt>
                <c:pt idx="12">
                  <c:v>0.82042291705675896</c:v>
                </c:pt>
                <c:pt idx="13">
                  <c:v>0.80511355909152726</c:v>
                </c:pt>
                <c:pt idx="14">
                  <c:v>0.73386359227336972</c:v>
                </c:pt>
                <c:pt idx="15">
                  <c:v>1.2068369684336469</c:v>
                </c:pt>
                <c:pt idx="16">
                  <c:v>1.5730396756546219</c:v>
                </c:pt>
                <c:pt idx="17">
                  <c:v>2.2107858113589196</c:v>
                </c:pt>
                <c:pt idx="18">
                  <c:v>2.7273747090332896</c:v>
                </c:pt>
                <c:pt idx="19">
                  <c:v>0.43327217821893621</c:v>
                </c:pt>
                <c:pt idx="20">
                  <c:v>0.68147191072260604</c:v>
                </c:pt>
                <c:pt idx="21">
                  <c:v>1.0152851647276893</c:v>
                </c:pt>
                <c:pt idx="22">
                  <c:v>1.502651738361815</c:v>
                </c:pt>
                <c:pt idx="23">
                  <c:v>9.8780580362789987</c:v>
                </c:pt>
                <c:pt idx="24">
                  <c:v>1.4295439074200136</c:v>
                </c:pt>
                <c:pt idx="25">
                  <c:v>0.84940209186295712</c:v>
                </c:pt>
              </c:numCache>
            </c:numRef>
          </c:val>
          <c:extLst>
            <c:ext xmlns:c16="http://schemas.microsoft.com/office/drawing/2014/chart" uri="{C3380CC4-5D6E-409C-BE32-E72D297353CC}">
              <c16:uniqueId val="{00000001-BF98-4540-BFDB-447FE28A505B}"/>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5"/>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609065758672051E-2"/>
          <c:y val="4.1987184351474208E-2"/>
          <c:w val="0.82424116424116423"/>
          <c:h val="0.91429721456610435"/>
        </c:manualLayout>
      </c:layout>
      <c:barChart>
        <c:barDir val="bar"/>
        <c:grouping val="clustered"/>
        <c:varyColors val="0"/>
        <c:ser>
          <c:idx val="0"/>
          <c:order val="0"/>
          <c:tx>
            <c:strRef>
              <c:f>Blad1!$L$2</c:f>
              <c:strCache>
                <c:ptCount val="1"/>
                <c:pt idx="0">
                  <c:v>Boys</c:v>
                </c:pt>
              </c:strCache>
            </c:strRef>
          </c:tx>
          <c:spPr>
            <a:solidFill>
              <a:srgbClr val="17255B"/>
            </a:solidFill>
            <a:ln>
              <a:noFill/>
            </a:ln>
            <a:effectLst/>
          </c:spPr>
          <c:invertIfNegative val="0"/>
          <c:dLbls>
            <c:dLbl>
              <c:idx val="25"/>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8FAE-164E-AB36-A38CF45192D6}"/>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Blad1!$K$3:$K$28</c:f>
              <c:strCache>
                <c:ptCount val="26"/>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Ireland</c:v>
                </c:pt>
                <c:pt idx="12">
                  <c:v>Italy</c:v>
                </c:pt>
                <c:pt idx="13">
                  <c:v>Lithuania</c:v>
                </c:pt>
                <c:pt idx="14">
                  <c:v>Norway</c:v>
                </c:pt>
                <c:pt idx="15">
                  <c:v>Poland</c:v>
                </c:pt>
                <c:pt idx="16">
                  <c:v>Portugal</c:v>
                </c:pt>
                <c:pt idx="17">
                  <c:v>Slovakia</c:v>
                </c:pt>
                <c:pt idx="18">
                  <c:v>Slovenia</c:v>
                </c:pt>
                <c:pt idx="19">
                  <c:v>Spain</c:v>
                </c:pt>
                <c:pt idx="20">
                  <c:v>Sweden</c:v>
                </c:pt>
                <c:pt idx="21">
                  <c:v>UK (England)</c:v>
                </c:pt>
                <c:pt idx="22">
                  <c:v>UK (N. Ireland)</c:v>
                </c:pt>
                <c:pt idx="23">
                  <c:v>UK (Scotland)</c:v>
                </c:pt>
                <c:pt idx="24">
                  <c:v>UK (Wales)</c:v>
                </c:pt>
                <c:pt idx="25">
                  <c:v>Total average (25)</c:v>
                </c:pt>
              </c:strCache>
            </c:strRef>
          </c:cat>
          <c:val>
            <c:numRef>
              <c:f>Blad1!$L$3:$L$28</c:f>
              <c:numCache>
                <c:formatCode>0.00</c:formatCode>
                <c:ptCount val="26"/>
                <c:pt idx="0">
                  <c:v>58.366800535475235</c:v>
                </c:pt>
                <c:pt idx="1">
                  <c:v>76.877967048310524</c:v>
                </c:pt>
                <c:pt idx="2">
                  <c:v>61.628664495114002</c:v>
                </c:pt>
                <c:pt idx="3">
                  <c:v>67.238095238095241</c:v>
                </c:pt>
                <c:pt idx="4">
                  <c:v>63.226150293124896</c:v>
                </c:pt>
                <c:pt idx="5">
                  <c:v>55.038759689922479</c:v>
                </c:pt>
                <c:pt idx="6">
                  <c:v>56.711147608293984</c:v>
                </c:pt>
                <c:pt idx="7">
                  <c:v>66.987648439892482</c:v>
                </c:pt>
                <c:pt idx="8">
                  <c:v>61.705685618729099</c:v>
                </c:pt>
                <c:pt idx="9">
                  <c:v>69.480405107881992</c:v>
                </c:pt>
                <c:pt idx="10">
                  <c:v>64.454523752685603</c:v>
                </c:pt>
                <c:pt idx="11">
                  <c:v>67.941436324624519</c:v>
                </c:pt>
                <c:pt idx="12">
                  <c:v>66.82900186609622</c:v>
                </c:pt>
                <c:pt idx="13">
                  <c:v>58.745644599303134</c:v>
                </c:pt>
                <c:pt idx="14">
                  <c:v>65.203679369250992</c:v>
                </c:pt>
                <c:pt idx="15">
                  <c:v>58.20873686982474</c:v>
                </c:pt>
                <c:pt idx="16">
                  <c:v>59.233769213122279</c:v>
                </c:pt>
                <c:pt idx="17">
                  <c:v>65.3226472775345</c:v>
                </c:pt>
                <c:pt idx="18">
                  <c:v>61.26269667396933</c:v>
                </c:pt>
                <c:pt idx="19">
                  <c:v>68.23146754696829</c:v>
                </c:pt>
                <c:pt idx="20">
                  <c:v>59.729729729729733</c:v>
                </c:pt>
                <c:pt idx="21">
                  <c:v>73.534053660313219</c:v>
                </c:pt>
                <c:pt idx="22">
                  <c:v>66.075388026607541</c:v>
                </c:pt>
                <c:pt idx="23">
                  <c:v>57.51822434990752</c:v>
                </c:pt>
                <c:pt idx="24">
                  <c:v>70.661764705882362</c:v>
                </c:pt>
                <c:pt idx="25">
                  <c:v>64.957560071122899</c:v>
                </c:pt>
              </c:numCache>
            </c:numRef>
          </c:val>
          <c:extLst>
            <c:ext xmlns:c16="http://schemas.microsoft.com/office/drawing/2014/chart" uri="{C3380CC4-5D6E-409C-BE32-E72D297353CC}">
              <c16:uniqueId val="{00000000-C392-4CD8-B233-14A4DBEECEFD}"/>
            </c:ext>
          </c:extLst>
        </c:ser>
        <c:ser>
          <c:idx val="1"/>
          <c:order val="1"/>
          <c:tx>
            <c:strRef>
              <c:f>Blad1!$M$2</c:f>
              <c:strCache>
                <c:ptCount val="1"/>
                <c:pt idx="0">
                  <c:v>Girls</c:v>
                </c:pt>
              </c:strCache>
            </c:strRef>
          </c:tx>
          <c:spPr>
            <a:solidFill>
              <a:srgbClr val="F9C624"/>
            </a:solidFill>
            <a:ln>
              <a:noFill/>
            </a:ln>
            <a:effectLst/>
          </c:spPr>
          <c:invertIfNegative val="0"/>
          <c:dLbls>
            <c:dLbl>
              <c:idx val="25"/>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8FAE-164E-AB36-A38CF45192D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Blad1!$K$3:$K$28</c:f>
              <c:strCache>
                <c:ptCount val="26"/>
                <c:pt idx="0">
                  <c:v>Austria</c:v>
                </c:pt>
                <c:pt idx="1">
                  <c:v>Belgium (Fl)</c:v>
                </c:pt>
                <c:pt idx="2">
                  <c:v>Bulgaria</c:v>
                </c:pt>
                <c:pt idx="3">
                  <c:v>Cyprus</c:v>
                </c:pt>
                <c:pt idx="4">
                  <c:v>Czech Republic</c:v>
                </c:pt>
                <c:pt idx="5">
                  <c:v>Estonia</c:v>
                </c:pt>
                <c:pt idx="6">
                  <c:v>Finland</c:v>
                </c:pt>
                <c:pt idx="7">
                  <c:v>France</c:v>
                </c:pt>
                <c:pt idx="8">
                  <c:v>Germany</c:v>
                </c:pt>
                <c:pt idx="9">
                  <c:v>Greece</c:v>
                </c:pt>
                <c:pt idx="10">
                  <c:v>Hungary</c:v>
                </c:pt>
                <c:pt idx="11">
                  <c:v>Ireland</c:v>
                </c:pt>
                <c:pt idx="12">
                  <c:v>Italy</c:v>
                </c:pt>
                <c:pt idx="13">
                  <c:v>Lithuania</c:v>
                </c:pt>
                <c:pt idx="14">
                  <c:v>Norway</c:v>
                </c:pt>
                <c:pt idx="15">
                  <c:v>Poland</c:v>
                </c:pt>
                <c:pt idx="16">
                  <c:v>Portugal</c:v>
                </c:pt>
                <c:pt idx="17">
                  <c:v>Slovakia</c:v>
                </c:pt>
                <c:pt idx="18">
                  <c:v>Slovenia</c:v>
                </c:pt>
                <c:pt idx="19">
                  <c:v>Spain</c:v>
                </c:pt>
                <c:pt idx="20">
                  <c:v>Sweden</c:v>
                </c:pt>
                <c:pt idx="21">
                  <c:v>UK (England)</c:v>
                </c:pt>
                <c:pt idx="22">
                  <c:v>UK (N. Ireland)</c:v>
                </c:pt>
                <c:pt idx="23">
                  <c:v>UK (Scotland)</c:v>
                </c:pt>
                <c:pt idx="24">
                  <c:v>UK (Wales)</c:v>
                </c:pt>
                <c:pt idx="25">
                  <c:v>Total average (25)</c:v>
                </c:pt>
              </c:strCache>
            </c:strRef>
          </c:cat>
          <c:val>
            <c:numRef>
              <c:f>Blad1!$M$3:$M$28</c:f>
              <c:numCache>
                <c:formatCode>0.00</c:formatCode>
                <c:ptCount val="26"/>
                <c:pt idx="0">
                  <c:v>41.633199464524765</c:v>
                </c:pt>
                <c:pt idx="1">
                  <c:v>23.122032951689473</c:v>
                </c:pt>
                <c:pt idx="2">
                  <c:v>38.371335504885998</c:v>
                </c:pt>
                <c:pt idx="3">
                  <c:v>32.761904761904766</c:v>
                </c:pt>
                <c:pt idx="4">
                  <c:v>36.773849706875112</c:v>
                </c:pt>
                <c:pt idx="5">
                  <c:v>44.961240310077521</c:v>
                </c:pt>
                <c:pt idx="6">
                  <c:v>43.288852391706016</c:v>
                </c:pt>
                <c:pt idx="7">
                  <c:v>33.012351560107525</c:v>
                </c:pt>
                <c:pt idx="8">
                  <c:v>38.294314381270908</c:v>
                </c:pt>
                <c:pt idx="9">
                  <c:v>30.519594892118008</c:v>
                </c:pt>
                <c:pt idx="10">
                  <c:v>35.545476247314397</c:v>
                </c:pt>
                <c:pt idx="11">
                  <c:v>32.058563675375488</c:v>
                </c:pt>
                <c:pt idx="12">
                  <c:v>33.170998133903787</c:v>
                </c:pt>
                <c:pt idx="13">
                  <c:v>41.254355400696866</c:v>
                </c:pt>
                <c:pt idx="14">
                  <c:v>34.796320630749015</c:v>
                </c:pt>
                <c:pt idx="15">
                  <c:v>41.791263130175267</c:v>
                </c:pt>
                <c:pt idx="16">
                  <c:v>40.766230786877721</c:v>
                </c:pt>
                <c:pt idx="17">
                  <c:v>34.677352722465507</c:v>
                </c:pt>
                <c:pt idx="18">
                  <c:v>38.73730332603067</c:v>
                </c:pt>
                <c:pt idx="19">
                  <c:v>31.7685324530317</c:v>
                </c:pt>
                <c:pt idx="20">
                  <c:v>40.270270270270267</c:v>
                </c:pt>
                <c:pt idx="21">
                  <c:v>26.465946339686781</c:v>
                </c:pt>
                <c:pt idx="22">
                  <c:v>33.924611973392459</c:v>
                </c:pt>
                <c:pt idx="23">
                  <c:v>42.48177565009248</c:v>
                </c:pt>
                <c:pt idx="24">
                  <c:v>29.338235294117649</c:v>
                </c:pt>
                <c:pt idx="25">
                  <c:v>35.042439928877094</c:v>
                </c:pt>
              </c:numCache>
            </c:numRef>
          </c:val>
          <c:extLst>
            <c:ext xmlns:c16="http://schemas.microsoft.com/office/drawing/2014/chart" uri="{C3380CC4-5D6E-409C-BE32-E72D297353CC}">
              <c16:uniqueId val="{00000001-C392-4CD8-B233-14A4DBEECEFD}"/>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8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1969598832814689E-2"/>
          <c:w val="0.82704582651391167"/>
          <c:h val="0.91600843201686399"/>
        </c:manualLayout>
      </c:layout>
      <c:barChart>
        <c:barDir val="bar"/>
        <c:grouping val="clustered"/>
        <c:varyColors val="0"/>
        <c:ser>
          <c:idx val="0"/>
          <c:order val="0"/>
          <c:tx>
            <c:strRef>
              <c:f>Blad1!$B$2</c:f>
              <c:strCache>
                <c:ptCount val="1"/>
                <c:pt idx="0">
                  <c:v>Boys</c:v>
                </c:pt>
              </c:strCache>
            </c:strRef>
          </c:tx>
          <c:spPr>
            <a:solidFill>
              <a:srgbClr val="17255B"/>
            </a:solidFill>
            <a:ln>
              <a:noFill/>
            </a:ln>
            <a:effectLst/>
          </c:spPr>
          <c:invertIfNegative val="0"/>
          <c:dLbls>
            <c:dLbl>
              <c:idx val="9"/>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BF0-5A4D-9704-4D1449CCCB2D}"/>
                </c:ext>
              </c:extLst>
            </c:dLbl>
            <c:dLbl>
              <c:idx val="19"/>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4BF0-5A4D-9704-4D1449CCCB2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Blad1!$A$3:$A$22</c:f>
              <c:strCache>
                <c:ptCount val="20"/>
                <c:pt idx="0">
                  <c:v>Belgium (Fl)</c:v>
                </c:pt>
                <c:pt idx="1">
                  <c:v>Bulgaria</c:v>
                </c:pt>
                <c:pt idx="2">
                  <c:v>Cyprus</c:v>
                </c:pt>
                <c:pt idx="3">
                  <c:v>Czech Republic</c:v>
                </c:pt>
                <c:pt idx="4">
                  <c:v>Estonia</c:v>
                </c:pt>
                <c:pt idx="5">
                  <c:v>France</c:v>
                </c:pt>
                <c:pt idx="6">
                  <c:v>Greece</c:v>
                </c:pt>
                <c:pt idx="7">
                  <c:v>Hungary</c:v>
                </c:pt>
                <c:pt idx="8">
                  <c:v>Italy</c:v>
                </c:pt>
                <c:pt idx="9">
                  <c:v>Lithuania</c:v>
                </c:pt>
                <c:pt idx="10">
                  <c:v>Malta</c:v>
                </c:pt>
                <c:pt idx="11">
                  <c:v>Poland</c:v>
                </c:pt>
                <c:pt idx="12">
                  <c:v>Portugal</c:v>
                </c:pt>
                <c:pt idx="13">
                  <c:v>Slovakia</c:v>
                </c:pt>
                <c:pt idx="14">
                  <c:v>Slovenia</c:v>
                </c:pt>
                <c:pt idx="15">
                  <c:v>Spain</c:v>
                </c:pt>
                <c:pt idx="16">
                  <c:v>UK (England)</c:v>
                </c:pt>
                <c:pt idx="17">
                  <c:v>UK (N. Ireland)</c:v>
                </c:pt>
                <c:pt idx="18">
                  <c:v>UK (Wales)</c:v>
                </c:pt>
                <c:pt idx="19">
                  <c:v>Total average (19)</c:v>
                </c:pt>
              </c:strCache>
            </c:strRef>
          </c:cat>
          <c:val>
            <c:numRef>
              <c:f>Blad1!$B$3:$B$22</c:f>
              <c:numCache>
                <c:formatCode>0.00</c:formatCode>
                <c:ptCount val="20"/>
                <c:pt idx="0">
                  <c:v>0.44357575465365118</c:v>
                </c:pt>
                <c:pt idx="1">
                  <c:v>1.1077036515677108</c:v>
                </c:pt>
                <c:pt idx="2">
                  <c:v>1.5572858731924359</c:v>
                </c:pt>
                <c:pt idx="3">
                  <c:v>0.5723180923818828</c:v>
                </c:pt>
                <c:pt idx="4">
                  <c:v>2.4622356495468281</c:v>
                </c:pt>
                <c:pt idx="5">
                  <c:v>0.95223295269524721</c:v>
                </c:pt>
                <c:pt idx="6">
                  <c:v>1.6470984020185029</c:v>
                </c:pt>
                <c:pt idx="7">
                  <c:v>1.5235269475600575</c:v>
                </c:pt>
                <c:pt idx="8">
                  <c:v>1.3370045488572551</c:v>
                </c:pt>
                <c:pt idx="9">
                  <c:v>10.911402646939838</c:v>
                </c:pt>
                <c:pt idx="10">
                  <c:v>3.306591500433651</c:v>
                </c:pt>
                <c:pt idx="11">
                  <c:v>1.5318673654049164</c:v>
                </c:pt>
                <c:pt idx="12">
                  <c:v>0.77634521887062924</c:v>
                </c:pt>
                <c:pt idx="13">
                  <c:v>1.4059839160288226</c:v>
                </c:pt>
                <c:pt idx="14">
                  <c:v>0.84629831435924785</c:v>
                </c:pt>
                <c:pt idx="15">
                  <c:v>0.69423259327780584</c:v>
                </c:pt>
                <c:pt idx="16">
                  <c:v>0.33622581625417836</c:v>
                </c:pt>
                <c:pt idx="17">
                  <c:v>0.53959820687365101</c:v>
                </c:pt>
                <c:pt idx="18">
                  <c:v>0.56626162188143048</c:v>
                </c:pt>
                <c:pt idx="19">
                  <c:v>1.0303337376027131</c:v>
                </c:pt>
              </c:numCache>
            </c:numRef>
          </c:val>
          <c:extLst>
            <c:ext xmlns:c16="http://schemas.microsoft.com/office/drawing/2014/chart" uri="{C3380CC4-5D6E-409C-BE32-E72D297353CC}">
              <c16:uniqueId val="{00000000-BF71-4144-AFB7-2E17E9870F10}"/>
            </c:ext>
          </c:extLst>
        </c:ser>
        <c:ser>
          <c:idx val="1"/>
          <c:order val="1"/>
          <c:tx>
            <c:strRef>
              <c:f>Blad1!$C$2</c:f>
              <c:strCache>
                <c:ptCount val="1"/>
                <c:pt idx="0">
                  <c:v>Girls</c:v>
                </c:pt>
              </c:strCache>
            </c:strRef>
          </c:tx>
          <c:spPr>
            <a:solidFill>
              <a:srgbClr val="F9C623"/>
            </a:solidFill>
            <a:ln>
              <a:noFill/>
            </a:ln>
            <a:effectLst/>
          </c:spPr>
          <c:invertIfNegative val="0"/>
          <c:dLbls>
            <c:dLbl>
              <c:idx val="9"/>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62-C444-9EEE-C6324EE93108}"/>
                </c:ext>
              </c:extLst>
            </c:dLbl>
            <c:dLbl>
              <c:idx val="1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2-4BF0-5A4D-9704-4D1449CCCB2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Blad1!$A$3:$A$22</c:f>
              <c:strCache>
                <c:ptCount val="20"/>
                <c:pt idx="0">
                  <c:v>Belgium (Fl)</c:v>
                </c:pt>
                <c:pt idx="1">
                  <c:v>Bulgaria</c:v>
                </c:pt>
                <c:pt idx="2">
                  <c:v>Cyprus</c:v>
                </c:pt>
                <c:pt idx="3">
                  <c:v>Czech Republic</c:v>
                </c:pt>
                <c:pt idx="4">
                  <c:v>Estonia</c:v>
                </c:pt>
                <c:pt idx="5">
                  <c:v>France</c:v>
                </c:pt>
                <c:pt idx="6">
                  <c:v>Greece</c:v>
                </c:pt>
                <c:pt idx="7">
                  <c:v>Hungary</c:v>
                </c:pt>
                <c:pt idx="8">
                  <c:v>Italy</c:v>
                </c:pt>
                <c:pt idx="9">
                  <c:v>Lithuania</c:v>
                </c:pt>
                <c:pt idx="10">
                  <c:v>Malta</c:v>
                </c:pt>
                <c:pt idx="11">
                  <c:v>Poland</c:v>
                </c:pt>
                <c:pt idx="12">
                  <c:v>Portugal</c:v>
                </c:pt>
                <c:pt idx="13">
                  <c:v>Slovakia</c:v>
                </c:pt>
                <c:pt idx="14">
                  <c:v>Slovenia</c:v>
                </c:pt>
                <c:pt idx="15">
                  <c:v>Spain</c:v>
                </c:pt>
                <c:pt idx="16">
                  <c:v>UK (England)</c:v>
                </c:pt>
                <c:pt idx="17">
                  <c:v>UK (N. Ireland)</c:v>
                </c:pt>
                <c:pt idx="18">
                  <c:v>UK (Wales)</c:v>
                </c:pt>
                <c:pt idx="19">
                  <c:v>Total average (19)</c:v>
                </c:pt>
              </c:strCache>
            </c:strRef>
          </c:cat>
          <c:val>
            <c:numRef>
              <c:f>Blad1!$C$3:$C$22</c:f>
              <c:numCache>
                <c:formatCode>0.00</c:formatCode>
                <c:ptCount val="20"/>
                <c:pt idx="0">
                  <c:v>0.22141699458882086</c:v>
                </c:pt>
                <c:pt idx="1">
                  <c:v>0.54631072679436266</c:v>
                </c:pt>
                <c:pt idx="2">
                  <c:v>0.75804391710954555</c:v>
                </c:pt>
                <c:pt idx="3">
                  <c:v>0.25200501832887473</c:v>
                </c:pt>
                <c:pt idx="4">
                  <c:v>1.3576283987915407</c:v>
                </c:pt>
                <c:pt idx="5">
                  <c:v>0.40157929795270697</c:v>
                </c:pt>
                <c:pt idx="6">
                  <c:v>0.57325483599663585</c:v>
                </c:pt>
                <c:pt idx="7">
                  <c:v>0.70680059341012391</c:v>
                </c:pt>
                <c:pt idx="8">
                  <c:v>0.50439709700080915</c:v>
                </c:pt>
                <c:pt idx="9">
                  <c:v>7.0450210946078711</c:v>
                </c:pt>
                <c:pt idx="10">
                  <c:v>1.3876843018213356</c:v>
                </c:pt>
                <c:pt idx="11">
                  <c:v>0.7092633087015533</c:v>
                </c:pt>
                <c:pt idx="12">
                  <c:v>0.2974982512802356</c:v>
                </c:pt>
                <c:pt idx="13">
                  <c:v>1.2902326539764497</c:v>
                </c:pt>
                <c:pt idx="14">
                  <c:v>0.39300702543532195</c:v>
                </c:pt>
                <c:pt idx="15">
                  <c:v>0.30756373639600099</c:v>
                </c:pt>
                <c:pt idx="16">
                  <c:v>0.15599149137319782</c:v>
                </c:pt>
                <c:pt idx="17">
                  <c:v>9.1316619624771708E-2</c:v>
                </c:pt>
                <c:pt idx="18">
                  <c:v>0.24032323475073974</c:v>
                </c:pt>
                <c:pt idx="19">
                  <c:v>0.47567084960695716</c:v>
                </c:pt>
              </c:numCache>
            </c:numRef>
          </c:val>
          <c:extLst>
            <c:ext xmlns:c16="http://schemas.microsoft.com/office/drawing/2014/chart" uri="{C3380CC4-5D6E-409C-BE32-E72D297353CC}">
              <c16:uniqueId val="{00000001-BF71-4144-AFB7-2E17E9870F10}"/>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D8BF-4FBF-B01C-6DB839D9E28D}"/>
              </c:ext>
            </c:extLst>
          </c:dPt>
          <c:dPt>
            <c:idx val="25"/>
            <c:invertIfNegative val="0"/>
            <c:bubble3D val="0"/>
            <c:spPr>
              <a:solidFill>
                <a:srgbClr val="F9C624"/>
              </a:solidFill>
              <a:ln>
                <a:noFill/>
              </a:ln>
              <a:effectLst/>
            </c:spPr>
            <c:extLst>
              <c:ext xmlns:c16="http://schemas.microsoft.com/office/drawing/2014/chart" uri="{C3380CC4-5D6E-409C-BE32-E72D297353CC}">
                <c16:uniqueId val="{00000003-D8BF-4FBF-B01C-6DB839D9E28D}"/>
              </c:ext>
            </c:extLst>
          </c:dPt>
          <c:dPt>
            <c:idx val="27"/>
            <c:invertIfNegative val="0"/>
            <c:bubble3D val="0"/>
            <c:extLst>
              <c:ext xmlns:c16="http://schemas.microsoft.com/office/drawing/2014/chart" uri="{C3380CC4-5D6E-409C-BE32-E72D297353CC}">
                <c16:uniqueId val="{00000005-D8BF-4FBF-B01C-6DB839D9E28D}"/>
              </c:ext>
            </c:extLst>
          </c:dPt>
          <c:dLbls>
            <c:dLbl>
              <c:idx val="23"/>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9BB3-1448-8B68-9FD1DD1B22E9}"/>
                </c:ext>
              </c:extLst>
            </c:dLbl>
            <c:dLbl>
              <c:idx val="25"/>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8BF-4FBF-B01C-6DB839D9E28D}"/>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'3b.1 - ISCED 3'!$F$3:$F$28</c:f>
              <c:strCache>
                <c:ptCount val="26"/>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Luxembourg</c:v>
                </c:pt>
                <c:pt idx="14">
                  <c:v>Poland</c:v>
                </c:pt>
                <c:pt idx="15">
                  <c:v>Portugal</c:v>
                </c:pt>
                <c:pt idx="16">
                  <c:v>Serbia</c:v>
                </c:pt>
                <c:pt idx="17">
                  <c:v>Slovakia</c:v>
                </c:pt>
                <c:pt idx="18">
                  <c:v>Slovenia</c:v>
                </c:pt>
                <c:pt idx="19">
                  <c:v>Spain</c:v>
                </c:pt>
                <c:pt idx="20">
                  <c:v>Sweden</c:v>
                </c:pt>
                <c:pt idx="21">
                  <c:v>UK (England)</c:v>
                </c:pt>
                <c:pt idx="22">
                  <c:v>UK (N. Ireland)</c:v>
                </c:pt>
                <c:pt idx="23">
                  <c:v>UK (Scotland)</c:v>
                </c:pt>
                <c:pt idx="24">
                  <c:v>UK (Wales)</c:v>
                </c:pt>
                <c:pt idx="25">
                  <c:v>Total average (25)</c:v>
                </c:pt>
              </c:strCache>
            </c:strRef>
          </c:cat>
          <c:val>
            <c:numRef>
              <c:f>'3b.1 - ISCED 3'!$G$3:$G$28</c:f>
              <c:numCache>
                <c:formatCode>0.00</c:formatCode>
                <c:ptCount val="26"/>
                <c:pt idx="0">
                  <c:v>1.3340434375974228</c:v>
                </c:pt>
                <c:pt idx="1">
                  <c:v>0.52745854657339686</c:v>
                </c:pt>
                <c:pt idx="2">
                  <c:v>1.0153259992791803</c:v>
                </c:pt>
                <c:pt idx="3">
                  <c:v>6.2580309081437751</c:v>
                </c:pt>
                <c:pt idx="4">
                  <c:v>3.6283299840263821</c:v>
                </c:pt>
                <c:pt idx="5">
                  <c:v>0.391955578367785</c:v>
                </c:pt>
                <c:pt idx="6">
                  <c:v>0.83435484730586795</c:v>
                </c:pt>
                <c:pt idx="7">
                  <c:v>7.4600917213860501E-2</c:v>
                </c:pt>
                <c:pt idx="8">
                  <c:v>6.4176953931227851</c:v>
                </c:pt>
                <c:pt idx="9">
                  <c:v>3.7844286300732035</c:v>
                </c:pt>
                <c:pt idx="10">
                  <c:v>3.4109323008794821</c:v>
                </c:pt>
                <c:pt idx="11">
                  <c:v>2.4652838102685699</c:v>
                </c:pt>
                <c:pt idx="12">
                  <c:v>0.901672786617707</c:v>
                </c:pt>
                <c:pt idx="13">
                  <c:v>0.61837094066096066</c:v>
                </c:pt>
                <c:pt idx="14">
                  <c:v>0.89437578315971089</c:v>
                </c:pt>
                <c:pt idx="15">
                  <c:v>3.0236236271680563</c:v>
                </c:pt>
                <c:pt idx="16">
                  <c:v>0.6217227585721492</c:v>
                </c:pt>
                <c:pt idx="17">
                  <c:v>4.2566976749086081</c:v>
                </c:pt>
                <c:pt idx="18">
                  <c:v>7.0406932720083013</c:v>
                </c:pt>
                <c:pt idx="19">
                  <c:v>1.3638407089137938</c:v>
                </c:pt>
                <c:pt idx="20">
                  <c:v>1.0290683215609824E-2</c:v>
                </c:pt>
                <c:pt idx="21">
                  <c:v>1.7038161681833845</c:v>
                </c:pt>
                <c:pt idx="22">
                  <c:v>2.0886531788122831</c:v>
                </c:pt>
                <c:pt idx="23">
                  <c:v>20.935057049611657</c:v>
                </c:pt>
                <c:pt idx="24">
                  <c:v>1.2324889828383074</c:v>
                </c:pt>
                <c:pt idx="25">
                  <c:v>1.6234756667612471</c:v>
                </c:pt>
              </c:numCache>
            </c:numRef>
          </c:val>
          <c:extLst>
            <c:ext xmlns:c16="http://schemas.microsoft.com/office/drawing/2014/chart" uri="{C3380CC4-5D6E-409C-BE32-E72D297353CC}">
              <c16:uniqueId val="{00000006-D8BF-4FBF-B01C-6DB839D9E28D}"/>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22"/>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Blad1!$I$2</c:f>
              <c:strCache>
                <c:ptCount val="1"/>
                <c:pt idx="0">
                  <c:v>Boys</c:v>
                </c:pt>
              </c:strCache>
            </c:strRef>
          </c:tx>
          <c:spPr>
            <a:solidFill>
              <a:srgbClr val="17255B"/>
            </a:solidFill>
            <a:ln>
              <a:noFill/>
            </a:ln>
            <a:effectLst/>
          </c:spPr>
          <c:invertIfNegative val="0"/>
          <c:dLbls>
            <c:dLbl>
              <c:idx val="2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3B14-6C4C-897A-91E361CF3D53}"/>
                </c:ext>
              </c:extLst>
            </c:dLbl>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3B14-6C4C-897A-91E361CF3D5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Blad1!$H$3:$H$26</c:f>
              <c:strCache>
                <c:ptCount val="24"/>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Poland</c:v>
                </c:pt>
                <c:pt idx="14">
                  <c:v>Portugal</c:v>
                </c:pt>
                <c:pt idx="15">
                  <c:v>Slovakia</c:v>
                </c:pt>
                <c:pt idx="16">
                  <c:v>Slovenia</c:v>
                </c:pt>
                <c:pt idx="17">
                  <c:v>Spain</c:v>
                </c:pt>
                <c:pt idx="18">
                  <c:v>Sweden</c:v>
                </c:pt>
                <c:pt idx="19">
                  <c:v>UK (England)</c:v>
                </c:pt>
                <c:pt idx="20">
                  <c:v>UK (N. Ireland)</c:v>
                </c:pt>
                <c:pt idx="21">
                  <c:v>UK (Scotland)</c:v>
                </c:pt>
                <c:pt idx="22">
                  <c:v>UK (Wales)</c:v>
                </c:pt>
                <c:pt idx="23">
                  <c:v>Total average (23)</c:v>
                </c:pt>
              </c:strCache>
            </c:strRef>
          </c:cat>
          <c:val>
            <c:numRef>
              <c:f>Blad1!$I$3:$I$26</c:f>
              <c:numCache>
                <c:formatCode>0.00</c:formatCode>
                <c:ptCount val="24"/>
                <c:pt idx="0">
                  <c:v>0.78457861373791948</c:v>
                </c:pt>
                <c:pt idx="1">
                  <c:v>0.38918842506797541</c:v>
                </c:pt>
                <c:pt idx="2">
                  <c:v>0.61750218820258462</c:v>
                </c:pt>
                <c:pt idx="3">
                  <c:v>4.306303177635006</c:v>
                </c:pt>
                <c:pt idx="4">
                  <c:v>2.4001648889575926</c:v>
                </c:pt>
                <c:pt idx="5">
                  <c:v>0.18664551350846903</c:v>
                </c:pt>
                <c:pt idx="6">
                  <c:v>0.57914131916157174</c:v>
                </c:pt>
                <c:pt idx="7">
                  <c:v>4.8944304673679204E-2</c:v>
                </c:pt>
                <c:pt idx="8">
                  <c:v>4.4729755232500672</c:v>
                </c:pt>
                <c:pt idx="9">
                  <c:v>2.5531668691677618</c:v>
                </c:pt>
                <c:pt idx="10">
                  <c:v>2.3230211644792993</c:v>
                </c:pt>
                <c:pt idx="11">
                  <c:v>1.6476001391386836</c:v>
                </c:pt>
                <c:pt idx="12">
                  <c:v>0.52495580035359712</c:v>
                </c:pt>
                <c:pt idx="13">
                  <c:v>0.5411036859097581</c:v>
                </c:pt>
                <c:pt idx="14">
                  <c:v>1.7955254973472845</c:v>
                </c:pt>
                <c:pt idx="15">
                  <c:v>2.9951222595632156</c:v>
                </c:pt>
                <c:pt idx="16">
                  <c:v>4.3133185629750121</c:v>
                </c:pt>
                <c:pt idx="17">
                  <c:v>0.93056853069485757</c:v>
                </c:pt>
                <c:pt idx="18">
                  <c:v>6.0028985424390637E-3</c:v>
                </c:pt>
                <c:pt idx="19">
                  <c:v>1.2637971665160814</c:v>
                </c:pt>
                <c:pt idx="20">
                  <c:v>1.4502717213383094</c:v>
                </c:pt>
                <c:pt idx="21">
                  <c:v>11.848862802641232</c:v>
                </c:pt>
                <c:pt idx="22">
                  <c:v>0.88137293540181283</c:v>
                </c:pt>
                <c:pt idx="23">
                  <c:v>1.0951293707677814</c:v>
                </c:pt>
              </c:numCache>
            </c:numRef>
          </c:val>
          <c:extLst>
            <c:ext xmlns:c16="http://schemas.microsoft.com/office/drawing/2014/chart" uri="{C3380CC4-5D6E-409C-BE32-E72D297353CC}">
              <c16:uniqueId val="{00000000-6951-4935-A66F-C1B3CB2ED246}"/>
            </c:ext>
          </c:extLst>
        </c:ser>
        <c:ser>
          <c:idx val="1"/>
          <c:order val="1"/>
          <c:tx>
            <c:strRef>
              <c:f>Blad1!$J$2</c:f>
              <c:strCache>
                <c:ptCount val="1"/>
                <c:pt idx="0">
                  <c:v>Girls</c:v>
                </c:pt>
              </c:strCache>
            </c:strRef>
          </c:tx>
          <c:spPr>
            <a:solidFill>
              <a:srgbClr val="F9C624"/>
            </a:solidFill>
            <a:ln>
              <a:noFill/>
            </a:ln>
            <a:effectLst/>
          </c:spPr>
          <c:invertIfNegative val="0"/>
          <c:dLbls>
            <c:dLbl>
              <c:idx val="2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14-6C4C-897A-91E361CF3D53}"/>
                </c:ext>
              </c:extLst>
            </c:dLbl>
            <c:dLbl>
              <c:idx val="2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3B14-6C4C-897A-91E361CF3D5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Blad1!$H$3:$H$26</c:f>
              <c:strCache>
                <c:ptCount val="24"/>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Poland</c:v>
                </c:pt>
                <c:pt idx="14">
                  <c:v>Portugal</c:v>
                </c:pt>
                <c:pt idx="15">
                  <c:v>Slovakia</c:v>
                </c:pt>
                <c:pt idx="16">
                  <c:v>Slovenia</c:v>
                </c:pt>
                <c:pt idx="17">
                  <c:v>Spain</c:v>
                </c:pt>
                <c:pt idx="18">
                  <c:v>Sweden</c:v>
                </c:pt>
                <c:pt idx="19">
                  <c:v>UK (England)</c:v>
                </c:pt>
                <c:pt idx="20">
                  <c:v>UK (N. Ireland)</c:v>
                </c:pt>
                <c:pt idx="21">
                  <c:v>UK (Scotland)</c:v>
                </c:pt>
                <c:pt idx="22">
                  <c:v>UK (Wales)</c:v>
                </c:pt>
                <c:pt idx="23">
                  <c:v>Total average (23)</c:v>
                </c:pt>
              </c:strCache>
            </c:strRef>
          </c:cat>
          <c:val>
            <c:numRef>
              <c:f>Blad1!$J$3:$J$26</c:f>
              <c:numCache>
                <c:formatCode>0.00</c:formatCode>
                <c:ptCount val="24"/>
                <c:pt idx="0">
                  <c:v>0.54946482385950335</c:v>
                </c:pt>
                <c:pt idx="1">
                  <c:v>0.13827012150542148</c:v>
                </c:pt>
                <c:pt idx="2">
                  <c:v>0.39782381107659565</c:v>
                </c:pt>
                <c:pt idx="3">
                  <c:v>1.9517277305087688</c:v>
                </c:pt>
                <c:pt idx="4">
                  <c:v>1.2281650950687897</c:v>
                </c:pt>
                <c:pt idx="5">
                  <c:v>0.20531006485931597</c:v>
                </c:pt>
                <c:pt idx="6">
                  <c:v>0.25521352814429615</c:v>
                </c:pt>
                <c:pt idx="7">
                  <c:v>2.5656612540181308E-2</c:v>
                </c:pt>
                <c:pt idx="8">
                  <c:v>1.9447198698727186</c:v>
                </c:pt>
                <c:pt idx="9">
                  <c:v>1.2312617609054417</c:v>
                </c:pt>
                <c:pt idx="10">
                  <c:v>1.087911136400183</c:v>
                </c:pt>
                <c:pt idx="11">
                  <c:v>0.81768367112988638</c:v>
                </c:pt>
                <c:pt idx="12">
                  <c:v>0.37671698626410993</c:v>
                </c:pt>
                <c:pt idx="13">
                  <c:v>0.3532720972499529</c:v>
                </c:pt>
                <c:pt idx="14">
                  <c:v>1.228098129820772</c:v>
                </c:pt>
                <c:pt idx="15">
                  <c:v>1.2615754153453924</c:v>
                </c:pt>
                <c:pt idx="16">
                  <c:v>2.7273747090332896</c:v>
                </c:pt>
                <c:pt idx="17">
                  <c:v>0.43327217821893621</c:v>
                </c:pt>
                <c:pt idx="18">
                  <c:v>4.2877846731707589E-3</c:v>
                </c:pt>
                <c:pt idx="19">
                  <c:v>0.44001900166730318</c:v>
                </c:pt>
                <c:pt idx="20">
                  <c:v>0.63838145747397368</c:v>
                </c:pt>
                <c:pt idx="21">
                  <c:v>9.0861942469704253</c:v>
                </c:pt>
                <c:pt idx="22">
                  <c:v>0.3511160474364946</c:v>
                </c:pt>
                <c:pt idx="23">
                  <c:v>0.54727807821327601</c:v>
                </c:pt>
              </c:numCache>
            </c:numRef>
          </c:val>
          <c:extLst>
            <c:ext xmlns:c16="http://schemas.microsoft.com/office/drawing/2014/chart" uri="{C3380CC4-5D6E-409C-BE32-E72D297353CC}">
              <c16:uniqueId val="{00000001-6951-4935-A66F-C1B3CB2ED246}"/>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2"/>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Blad1!$L$2</c:f>
              <c:strCache>
                <c:ptCount val="1"/>
                <c:pt idx="0">
                  <c:v>Boys</c:v>
                </c:pt>
              </c:strCache>
            </c:strRef>
          </c:tx>
          <c:spPr>
            <a:solidFill>
              <a:srgbClr val="17255B"/>
            </a:solidFill>
            <a:ln>
              <a:noFill/>
            </a:ln>
            <a:effectLst/>
          </c:spPr>
          <c:invertIfNegative val="0"/>
          <c:dLbls>
            <c:dLbl>
              <c:idx val="23"/>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F542-644B-9C4C-B0F9F8A2E889}"/>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Blad1!$K$3:$K$26</c:f>
              <c:strCache>
                <c:ptCount val="24"/>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Poland</c:v>
                </c:pt>
                <c:pt idx="14">
                  <c:v>Portugal</c:v>
                </c:pt>
                <c:pt idx="15">
                  <c:v>Slovakia</c:v>
                </c:pt>
                <c:pt idx="16">
                  <c:v>Slovenia</c:v>
                </c:pt>
                <c:pt idx="17">
                  <c:v>Spain</c:v>
                </c:pt>
                <c:pt idx="18">
                  <c:v>Sweden</c:v>
                </c:pt>
                <c:pt idx="19">
                  <c:v>UK (England)</c:v>
                </c:pt>
                <c:pt idx="20">
                  <c:v>UK (N. Ireland)</c:v>
                </c:pt>
                <c:pt idx="21">
                  <c:v>UK (Scotland)</c:v>
                </c:pt>
                <c:pt idx="22">
                  <c:v>UK (Wales)</c:v>
                </c:pt>
                <c:pt idx="23">
                  <c:v>Total average (23)</c:v>
                </c:pt>
              </c:strCache>
            </c:strRef>
          </c:cat>
          <c:val>
            <c:numRef>
              <c:f>Blad1!$L$3:$L$26</c:f>
              <c:numCache>
                <c:formatCode>0.00</c:formatCode>
                <c:ptCount val="24"/>
                <c:pt idx="0">
                  <c:v>58.812074001947423</c:v>
                </c:pt>
                <c:pt idx="1">
                  <c:v>73.785594639865991</c:v>
                </c:pt>
                <c:pt idx="2">
                  <c:v>60.81812035158891</c:v>
                </c:pt>
                <c:pt idx="3">
                  <c:v>68.812430632630409</c:v>
                </c:pt>
                <c:pt idx="4">
                  <c:v>66.150678122559114</c:v>
                </c:pt>
                <c:pt idx="5">
                  <c:v>47.619047619047613</c:v>
                </c:pt>
                <c:pt idx="6">
                  <c:v>69.411872062782322</c:v>
                </c:pt>
                <c:pt idx="7">
                  <c:v>65.608180839612487</c:v>
                </c:pt>
                <c:pt idx="8">
                  <c:v>69.697535474234513</c:v>
                </c:pt>
                <c:pt idx="9">
                  <c:v>67.465055329062324</c:v>
                </c:pt>
                <c:pt idx="10">
                  <c:v>68.105167724388025</c:v>
                </c:pt>
                <c:pt idx="11">
                  <c:v>66.832067459169849</c:v>
                </c:pt>
                <c:pt idx="12">
                  <c:v>58.220211161387638</c:v>
                </c:pt>
                <c:pt idx="13">
                  <c:v>60.50070854983467</c:v>
                </c:pt>
                <c:pt idx="14">
                  <c:v>59.383234117302628</c:v>
                </c:pt>
                <c:pt idx="15">
                  <c:v>70.362578888751386</c:v>
                </c:pt>
                <c:pt idx="16">
                  <c:v>61.26269667396933</c:v>
                </c:pt>
                <c:pt idx="17">
                  <c:v>68.23146754696829</c:v>
                </c:pt>
                <c:pt idx="18">
                  <c:v>58.333333333333336</c:v>
                </c:pt>
                <c:pt idx="19">
                  <c:v>74.174502514760547</c:v>
                </c:pt>
                <c:pt idx="20">
                  <c:v>69.435736677115983</c:v>
                </c:pt>
                <c:pt idx="21">
                  <c:v>56.598187311178251</c:v>
                </c:pt>
                <c:pt idx="22">
                  <c:v>71.511627906976756</c:v>
                </c:pt>
                <c:pt idx="23">
                  <c:v>66.678300287008256</c:v>
                </c:pt>
              </c:numCache>
            </c:numRef>
          </c:val>
          <c:extLst>
            <c:ext xmlns:c16="http://schemas.microsoft.com/office/drawing/2014/chart" uri="{C3380CC4-5D6E-409C-BE32-E72D297353CC}">
              <c16:uniqueId val="{00000000-CC1C-4542-B8AC-ECD61A1ED18D}"/>
            </c:ext>
          </c:extLst>
        </c:ser>
        <c:ser>
          <c:idx val="1"/>
          <c:order val="1"/>
          <c:tx>
            <c:strRef>
              <c:f>Blad1!$M$2</c:f>
              <c:strCache>
                <c:ptCount val="1"/>
                <c:pt idx="0">
                  <c:v>Girls</c:v>
                </c:pt>
              </c:strCache>
            </c:strRef>
          </c:tx>
          <c:spPr>
            <a:solidFill>
              <a:srgbClr val="F9C624"/>
            </a:solidFill>
            <a:ln>
              <a:noFill/>
            </a:ln>
            <a:effectLst/>
          </c:spPr>
          <c:invertIfNegative val="0"/>
          <c:dLbls>
            <c:dLbl>
              <c:idx val="2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1-F542-644B-9C4C-B0F9F8A2E88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Blad1!$K$3:$K$26</c:f>
              <c:strCache>
                <c:ptCount val="24"/>
                <c:pt idx="0">
                  <c:v>Austria</c:v>
                </c:pt>
                <c:pt idx="1">
                  <c:v>Belgium (Fl)</c:v>
                </c:pt>
                <c:pt idx="2">
                  <c:v>Bulgaria</c:v>
                </c:pt>
                <c:pt idx="3">
                  <c:v>Cyprus</c:v>
                </c:pt>
                <c:pt idx="4">
                  <c:v>Czech Republic</c:v>
                </c:pt>
                <c:pt idx="5">
                  <c:v>Estonia</c:v>
                </c:pt>
                <c:pt idx="6">
                  <c:v>France</c:v>
                </c:pt>
                <c:pt idx="7">
                  <c:v>Germany</c:v>
                </c:pt>
                <c:pt idx="8">
                  <c:v>Greece</c:v>
                </c:pt>
                <c:pt idx="9">
                  <c:v>Hungary</c:v>
                </c:pt>
                <c:pt idx="10">
                  <c:v>Ireland</c:v>
                </c:pt>
                <c:pt idx="11">
                  <c:v>Italy</c:v>
                </c:pt>
                <c:pt idx="12">
                  <c:v>Lithuania</c:v>
                </c:pt>
                <c:pt idx="13">
                  <c:v>Poland</c:v>
                </c:pt>
                <c:pt idx="14">
                  <c:v>Portugal</c:v>
                </c:pt>
                <c:pt idx="15">
                  <c:v>Slovakia</c:v>
                </c:pt>
                <c:pt idx="16">
                  <c:v>Slovenia</c:v>
                </c:pt>
                <c:pt idx="17">
                  <c:v>Spain</c:v>
                </c:pt>
                <c:pt idx="18">
                  <c:v>Sweden</c:v>
                </c:pt>
                <c:pt idx="19">
                  <c:v>UK (England)</c:v>
                </c:pt>
                <c:pt idx="20">
                  <c:v>UK (N. Ireland)</c:v>
                </c:pt>
                <c:pt idx="21">
                  <c:v>UK (Scotland)</c:v>
                </c:pt>
                <c:pt idx="22">
                  <c:v>UK (Wales)</c:v>
                </c:pt>
                <c:pt idx="23">
                  <c:v>Total average (23)</c:v>
                </c:pt>
              </c:strCache>
            </c:strRef>
          </c:cat>
          <c:val>
            <c:numRef>
              <c:f>Blad1!$M$3:$M$26</c:f>
              <c:numCache>
                <c:formatCode>0.00</c:formatCode>
                <c:ptCount val="24"/>
                <c:pt idx="0">
                  <c:v>41.187925998052584</c:v>
                </c:pt>
                <c:pt idx="1">
                  <c:v>26.214405360134002</c:v>
                </c:pt>
                <c:pt idx="2">
                  <c:v>39.18187964841109</c:v>
                </c:pt>
                <c:pt idx="3">
                  <c:v>31.187569367369587</c:v>
                </c:pt>
                <c:pt idx="4">
                  <c:v>33.849321877440886</c:v>
                </c:pt>
                <c:pt idx="5">
                  <c:v>52.380952380952387</c:v>
                </c:pt>
                <c:pt idx="6">
                  <c:v>30.588127937217685</c:v>
                </c:pt>
                <c:pt idx="7">
                  <c:v>34.391819160387513</c:v>
                </c:pt>
                <c:pt idx="8">
                  <c:v>30.302464525765497</c:v>
                </c:pt>
                <c:pt idx="9">
                  <c:v>32.534944670937683</c:v>
                </c:pt>
                <c:pt idx="10">
                  <c:v>31.894832275611968</c:v>
                </c:pt>
                <c:pt idx="11">
                  <c:v>33.167932540830151</c:v>
                </c:pt>
                <c:pt idx="12">
                  <c:v>41.779788838612369</c:v>
                </c:pt>
                <c:pt idx="13">
                  <c:v>39.49929145016533</c:v>
                </c:pt>
                <c:pt idx="14">
                  <c:v>40.616765882697372</c:v>
                </c:pt>
                <c:pt idx="15">
                  <c:v>29.637421111248607</c:v>
                </c:pt>
                <c:pt idx="16">
                  <c:v>38.73730332603067</c:v>
                </c:pt>
                <c:pt idx="17">
                  <c:v>31.7685324530317</c:v>
                </c:pt>
                <c:pt idx="18">
                  <c:v>41.666666666666671</c:v>
                </c:pt>
                <c:pt idx="19">
                  <c:v>25.825497485239453</c:v>
                </c:pt>
                <c:pt idx="20">
                  <c:v>30.56426332288401</c:v>
                </c:pt>
                <c:pt idx="21">
                  <c:v>43.401812688821749</c:v>
                </c:pt>
                <c:pt idx="22">
                  <c:v>28.488372093023255</c:v>
                </c:pt>
                <c:pt idx="23">
                  <c:v>33.321699712991744</c:v>
                </c:pt>
              </c:numCache>
            </c:numRef>
          </c:val>
          <c:extLst>
            <c:ext xmlns:c16="http://schemas.microsoft.com/office/drawing/2014/chart" uri="{C3380CC4-5D6E-409C-BE32-E72D297353CC}">
              <c16:uniqueId val="{00000001-CC1C-4542-B8AC-ECD61A1ED18D}"/>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7"/>
            <c:invertIfNegative val="0"/>
            <c:bubble3D val="0"/>
            <c:spPr>
              <a:solidFill>
                <a:srgbClr val="F9C624"/>
              </a:solidFill>
              <a:ln>
                <a:noFill/>
              </a:ln>
              <a:effectLst/>
            </c:spPr>
            <c:extLst>
              <c:ext xmlns:c16="http://schemas.microsoft.com/office/drawing/2014/chart" uri="{C3380CC4-5D6E-409C-BE32-E72D297353CC}">
                <c16:uniqueId val="{00000001-D256-4621-95FA-4E1FD3EB9BB1}"/>
              </c:ext>
            </c:extLst>
          </c:dPt>
          <c:dPt>
            <c:idx val="20"/>
            <c:invertIfNegative val="0"/>
            <c:bubble3D val="0"/>
            <c:extLst>
              <c:ext xmlns:c16="http://schemas.microsoft.com/office/drawing/2014/chart" uri="{C3380CC4-5D6E-409C-BE32-E72D297353CC}">
                <c16:uniqueId val="{00000003-D256-4621-95FA-4E1FD3EB9BB1}"/>
              </c:ext>
            </c:extLst>
          </c:dPt>
          <c:dPt>
            <c:idx val="27"/>
            <c:invertIfNegative val="0"/>
            <c:bubble3D val="0"/>
            <c:extLst>
              <c:ext xmlns:c16="http://schemas.microsoft.com/office/drawing/2014/chart" uri="{C3380CC4-5D6E-409C-BE32-E72D297353CC}">
                <c16:uniqueId val="{00000005-D256-4621-95FA-4E1FD3EB9BB1}"/>
              </c:ext>
            </c:extLst>
          </c:dPt>
          <c:dLbls>
            <c:dLbl>
              <c:idx val="17"/>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D256-4621-95FA-4E1FD3EB9BB1}"/>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'3b.2 - ISCED 3'!$F$3:$F$20</c:f>
              <c:strCache>
                <c:ptCount val="18"/>
                <c:pt idx="0">
                  <c:v>Bulgaria</c:v>
                </c:pt>
                <c:pt idx="1">
                  <c:v>Cyprus</c:v>
                </c:pt>
                <c:pt idx="2">
                  <c:v>Czech Republic</c:v>
                </c:pt>
                <c:pt idx="3">
                  <c:v>Estonia</c:v>
                </c:pt>
                <c:pt idx="4">
                  <c:v>France</c:v>
                </c:pt>
                <c:pt idx="5">
                  <c:v>Greece</c:v>
                </c:pt>
                <c:pt idx="6">
                  <c:v>Hungary</c:v>
                </c:pt>
                <c:pt idx="7">
                  <c:v>Ireland</c:v>
                </c:pt>
                <c:pt idx="8">
                  <c:v>Latvia</c:v>
                </c:pt>
                <c:pt idx="9">
                  <c:v>Lithuania</c:v>
                </c:pt>
                <c:pt idx="10">
                  <c:v>Luxembourg</c:v>
                </c:pt>
                <c:pt idx="11">
                  <c:v>Poland</c:v>
                </c:pt>
                <c:pt idx="12">
                  <c:v>Portugal</c:v>
                </c:pt>
                <c:pt idx="13">
                  <c:v>Serbia</c:v>
                </c:pt>
                <c:pt idx="14">
                  <c:v>Slovakia</c:v>
                </c:pt>
                <c:pt idx="15">
                  <c:v>UK (England)</c:v>
                </c:pt>
                <c:pt idx="16">
                  <c:v>UK (N. Ireland)</c:v>
                </c:pt>
                <c:pt idx="17">
                  <c:v>Total average (17)</c:v>
                </c:pt>
              </c:strCache>
            </c:strRef>
          </c:cat>
          <c:val>
            <c:numRef>
              <c:f>'3b.2 - ISCED 3'!$G$3:$G$20</c:f>
              <c:numCache>
                <c:formatCode>0.00</c:formatCode>
                <c:ptCount val="18"/>
                <c:pt idx="0">
                  <c:v>0.16132630820189817</c:v>
                </c:pt>
                <c:pt idx="1">
                  <c:v>0.57996179892342425</c:v>
                </c:pt>
                <c:pt idx="2">
                  <c:v>1.1390220023702788</c:v>
                </c:pt>
                <c:pt idx="3">
                  <c:v>9.3322756754234525E-3</c:v>
                </c:pt>
                <c:pt idx="4">
                  <c:v>0.18234976130835004</c:v>
                </c:pt>
                <c:pt idx="5">
                  <c:v>3.4149424702016311E-2</c:v>
                </c:pt>
                <c:pt idx="6">
                  <c:v>1.9861638027226065</c:v>
                </c:pt>
                <c:pt idx="7">
                  <c:v>0.42799005479757063</c:v>
                </c:pt>
                <c:pt idx="8">
                  <c:v>3.4382265300108059E-2</c:v>
                </c:pt>
                <c:pt idx="9">
                  <c:v>0.2611179110567115</c:v>
                </c:pt>
                <c:pt idx="10">
                  <c:v>0.4136123510381261</c:v>
                </c:pt>
                <c:pt idx="11">
                  <c:v>1.7067917638002986E-2</c:v>
                </c:pt>
                <c:pt idx="12">
                  <c:v>0.83505951643267295</c:v>
                </c:pt>
                <c:pt idx="13">
                  <c:v>0.17087600345662213</c:v>
                </c:pt>
                <c:pt idx="14">
                  <c:v>5.1095121206055555E-2</c:v>
                </c:pt>
                <c:pt idx="15">
                  <c:v>0.11782896636518597</c:v>
                </c:pt>
                <c:pt idx="16">
                  <c:v>3.601126170366005E-2</c:v>
                </c:pt>
                <c:pt idx="17">
                  <c:v>0.30916664808882338</c:v>
                </c:pt>
              </c:numCache>
            </c:numRef>
          </c:val>
          <c:extLst>
            <c:ext xmlns:c16="http://schemas.microsoft.com/office/drawing/2014/chart" uri="{C3380CC4-5D6E-409C-BE32-E72D297353CC}">
              <c16:uniqueId val="{00000006-D256-4621-95FA-4E1FD3EB9BB1}"/>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3"/>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Blad1!$I$1</c:f>
              <c:strCache>
                <c:ptCount val="1"/>
                <c:pt idx="0">
                  <c:v>Boys</c:v>
                </c:pt>
              </c:strCache>
            </c:strRef>
          </c:tx>
          <c:spPr>
            <a:solidFill>
              <a:srgbClr val="17255B"/>
            </a:solidFill>
            <a:ln>
              <a:noFill/>
            </a:ln>
            <a:effectLst/>
          </c:spPr>
          <c:invertIfNegative val="0"/>
          <c:dLbls>
            <c:dLbl>
              <c:idx val="16"/>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D68C-E94F-A82C-D6B587043A4F}"/>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Blad1!$H$2:$H$18</c:f>
              <c:strCache>
                <c:ptCount val="17"/>
                <c:pt idx="0">
                  <c:v>Bulgaria</c:v>
                </c:pt>
                <c:pt idx="1">
                  <c:v>Cyprus</c:v>
                </c:pt>
                <c:pt idx="2">
                  <c:v>Czech Republic</c:v>
                </c:pt>
                <c:pt idx="3">
                  <c:v>Estonia</c:v>
                </c:pt>
                <c:pt idx="4">
                  <c:v>France</c:v>
                </c:pt>
                <c:pt idx="5">
                  <c:v>Greece</c:v>
                </c:pt>
                <c:pt idx="6">
                  <c:v>Hungary</c:v>
                </c:pt>
                <c:pt idx="7">
                  <c:v>Ireland</c:v>
                </c:pt>
                <c:pt idx="8">
                  <c:v>Latvia</c:v>
                </c:pt>
                <c:pt idx="9">
                  <c:v>Lithuania</c:v>
                </c:pt>
                <c:pt idx="10">
                  <c:v>Poland</c:v>
                </c:pt>
                <c:pt idx="11">
                  <c:v>Portugal</c:v>
                </c:pt>
                <c:pt idx="12">
                  <c:v>Serbia</c:v>
                </c:pt>
                <c:pt idx="13">
                  <c:v>Slovakia</c:v>
                </c:pt>
                <c:pt idx="14">
                  <c:v>UK (England)</c:v>
                </c:pt>
                <c:pt idx="15">
                  <c:v>UK (N. Ireland)</c:v>
                </c:pt>
                <c:pt idx="16">
                  <c:v>Total average (16)</c:v>
                </c:pt>
              </c:strCache>
            </c:strRef>
          </c:cat>
          <c:val>
            <c:numRef>
              <c:f>Blad1!$I$2:$I$18</c:f>
              <c:numCache>
                <c:formatCode>0.00</c:formatCode>
                <c:ptCount val="17"/>
                <c:pt idx="0">
                  <c:v>0.10434722913484477</c:v>
                </c:pt>
                <c:pt idx="1">
                  <c:v>0.29866296231984718</c:v>
                </c:pt>
                <c:pt idx="2">
                  <c:v>0.69717112382130153</c:v>
                </c:pt>
                <c:pt idx="3">
                  <c:v>0</c:v>
                </c:pt>
                <c:pt idx="4">
                  <c:v>0.10861041106737424</c:v>
                </c:pt>
                <c:pt idx="5">
                  <c:v>1.6775155993972928E-2</c:v>
                </c:pt>
                <c:pt idx="6">
                  <c:v>1.1662410010992916</c:v>
                </c:pt>
                <c:pt idx="7">
                  <c:v>0.33336219586111349</c:v>
                </c:pt>
                <c:pt idx="8">
                  <c:v>1.8009758014342316E-2</c:v>
                </c:pt>
                <c:pt idx="9">
                  <c:v>0.15367877056983542</c:v>
                </c:pt>
                <c:pt idx="10">
                  <c:v>1.1237787355714837E-2</c:v>
                </c:pt>
                <c:pt idx="11">
                  <c:v>0.49011797059882328</c:v>
                </c:pt>
                <c:pt idx="12">
                  <c:v>8.9934738661380062E-2</c:v>
                </c:pt>
                <c:pt idx="13">
                  <c:v>2.6337691343327606E-2</c:v>
                </c:pt>
                <c:pt idx="14">
                  <c:v>8.5228066580351911E-2</c:v>
                </c:pt>
                <c:pt idx="15">
                  <c:v>1.6368755319845479E-2</c:v>
                </c:pt>
                <c:pt idx="16">
                  <c:v>0.18722057548061252</c:v>
                </c:pt>
              </c:numCache>
            </c:numRef>
          </c:val>
          <c:extLst>
            <c:ext xmlns:c16="http://schemas.microsoft.com/office/drawing/2014/chart" uri="{C3380CC4-5D6E-409C-BE32-E72D297353CC}">
              <c16:uniqueId val="{00000000-28B5-4EA8-984F-8E70370D2495}"/>
            </c:ext>
          </c:extLst>
        </c:ser>
        <c:ser>
          <c:idx val="1"/>
          <c:order val="1"/>
          <c:tx>
            <c:strRef>
              <c:f>Blad1!$J$1</c:f>
              <c:strCache>
                <c:ptCount val="1"/>
                <c:pt idx="0">
                  <c:v>Girls</c:v>
                </c:pt>
              </c:strCache>
            </c:strRef>
          </c:tx>
          <c:spPr>
            <a:solidFill>
              <a:srgbClr val="F9C624"/>
            </a:solidFill>
            <a:ln>
              <a:noFill/>
            </a:ln>
            <a:effectLst/>
          </c:spPr>
          <c:invertIfNegative val="0"/>
          <c:dLbls>
            <c:dLbl>
              <c:idx val="1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1-D68C-E94F-A82C-D6B587043A4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Blad1!$H$2:$H$18</c:f>
              <c:strCache>
                <c:ptCount val="17"/>
                <c:pt idx="0">
                  <c:v>Bulgaria</c:v>
                </c:pt>
                <c:pt idx="1">
                  <c:v>Cyprus</c:v>
                </c:pt>
                <c:pt idx="2">
                  <c:v>Czech Republic</c:v>
                </c:pt>
                <c:pt idx="3">
                  <c:v>Estonia</c:v>
                </c:pt>
                <c:pt idx="4">
                  <c:v>France</c:v>
                </c:pt>
                <c:pt idx="5">
                  <c:v>Greece</c:v>
                </c:pt>
                <c:pt idx="6">
                  <c:v>Hungary</c:v>
                </c:pt>
                <c:pt idx="7">
                  <c:v>Ireland</c:v>
                </c:pt>
                <c:pt idx="8">
                  <c:v>Latvia</c:v>
                </c:pt>
                <c:pt idx="9">
                  <c:v>Lithuania</c:v>
                </c:pt>
                <c:pt idx="10">
                  <c:v>Poland</c:v>
                </c:pt>
                <c:pt idx="11">
                  <c:v>Portugal</c:v>
                </c:pt>
                <c:pt idx="12">
                  <c:v>Serbia</c:v>
                </c:pt>
                <c:pt idx="13">
                  <c:v>Slovakia</c:v>
                </c:pt>
                <c:pt idx="14">
                  <c:v>UK (England)</c:v>
                </c:pt>
                <c:pt idx="15">
                  <c:v>UK (N. Ireland)</c:v>
                </c:pt>
                <c:pt idx="16">
                  <c:v>Total average (16)</c:v>
                </c:pt>
              </c:strCache>
            </c:strRef>
          </c:cat>
          <c:val>
            <c:numRef>
              <c:f>Blad1!$J$2:$J$18</c:f>
              <c:numCache>
                <c:formatCode>0.00</c:formatCode>
                <c:ptCount val="17"/>
                <c:pt idx="0">
                  <c:v>5.6979079067053393E-2</c:v>
                </c:pt>
                <c:pt idx="1">
                  <c:v>0.28129883660357702</c:v>
                </c:pt>
                <c:pt idx="2">
                  <c:v>0.4418508785489772</c:v>
                </c:pt>
                <c:pt idx="3">
                  <c:v>9.3322756754234525E-3</c:v>
                </c:pt>
                <c:pt idx="4">
                  <c:v>7.3739350240975776E-2</c:v>
                </c:pt>
                <c:pt idx="5">
                  <c:v>1.7374268708043386E-2</c:v>
                </c:pt>
                <c:pt idx="6">
                  <c:v>0.81992280162331499</c:v>
                </c:pt>
                <c:pt idx="7">
                  <c:v>9.4627858936457088E-2</c:v>
                </c:pt>
                <c:pt idx="8">
                  <c:v>1.6372507285765742E-2</c:v>
                </c:pt>
                <c:pt idx="9">
                  <c:v>0.1074391404868761</c:v>
                </c:pt>
                <c:pt idx="10">
                  <c:v>5.8301302822881488E-3</c:v>
                </c:pt>
                <c:pt idx="11">
                  <c:v>0.34494154583384973</c:v>
                </c:pt>
                <c:pt idx="12">
                  <c:v>8.0941264795242052E-2</c:v>
                </c:pt>
                <c:pt idx="13">
                  <c:v>2.4757429862727949E-2</c:v>
                </c:pt>
                <c:pt idx="14">
                  <c:v>3.2600899784834061E-2</c:v>
                </c:pt>
                <c:pt idx="15">
                  <c:v>1.9642506383814574E-2</c:v>
                </c:pt>
                <c:pt idx="16">
                  <c:v>0.12160242488035465</c:v>
                </c:pt>
              </c:numCache>
            </c:numRef>
          </c:val>
          <c:extLst>
            <c:ext xmlns:c16="http://schemas.microsoft.com/office/drawing/2014/chart" uri="{C3380CC4-5D6E-409C-BE32-E72D297353CC}">
              <c16:uniqueId val="{00000001-28B5-4EA8-984F-8E70370D2495}"/>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0542"/>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Blad1!$L$1</c:f>
              <c:strCache>
                <c:ptCount val="1"/>
                <c:pt idx="0">
                  <c:v>Boys</c:v>
                </c:pt>
              </c:strCache>
            </c:strRef>
          </c:tx>
          <c:spPr>
            <a:solidFill>
              <a:srgbClr val="17255B"/>
            </a:solidFill>
            <a:ln>
              <a:noFill/>
            </a:ln>
            <a:effectLst/>
          </c:spPr>
          <c:invertIfNegative val="0"/>
          <c:dLbls>
            <c:dLbl>
              <c:idx val="3"/>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2B-614E-874A-3AF3B56C8E53}"/>
                </c:ext>
              </c:extLst>
            </c:dLbl>
            <c:dLbl>
              <c:idx val="15"/>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2B-614E-874A-3AF3B56C8E53}"/>
                </c:ext>
              </c:extLst>
            </c:dLbl>
            <c:dLbl>
              <c:idx val="16"/>
              <c:tx>
                <c:rich>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fld id="{801227B5-9524-6B44-A06A-7CAE986EFE6A}" type="CATEGORYNAME">
                      <a:rPr lang="en-US" sz="1000">
                        <a:latin typeface="Calibri" panose="020F0502020204030204" pitchFamily="34" charset="0"/>
                        <a:cs typeface="Calibri" panose="020F0502020204030204" pitchFamily="34" charset="0"/>
                      </a:rPr>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t>[CATEGORY NAME]</a:t>
                    </a:fld>
                    <a:r>
                      <a:rPr lang="en-US" sz="1000" baseline="0">
                        <a:latin typeface="Calibri" panose="020F0502020204030204" pitchFamily="34" charset="0"/>
                        <a:cs typeface="Calibri" panose="020F0502020204030204" pitchFamily="34" charset="0"/>
                      </a:rPr>
                      <a:t> </a:t>
                    </a:r>
                    <a:fld id="{EC8C64CC-A0F4-6942-AEA2-CC0F0B69A2B6}" type="VALUE">
                      <a:rPr lang="en-US" sz="1000" baseline="0">
                        <a:latin typeface="Calibri" panose="020F0502020204030204" pitchFamily="34" charset="0"/>
                        <a:cs typeface="Calibri" panose="020F0502020204030204" pitchFamily="34" charset="0"/>
                      </a:rPr>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t>[VALUE]</a:t>
                    </a:fld>
                    <a:endParaRPr lang="en-US" sz="1000" baseline="0">
                      <a:latin typeface="Calibri" panose="020F0502020204030204" pitchFamily="34" charset="0"/>
                      <a:cs typeface="Calibri" panose="020F0502020204030204" pitchFamily="34" charset="0"/>
                    </a:endParaRPr>
                  </a:p>
                </c:rich>
              </c:tx>
              <c:spPr>
                <a:noFill/>
                <a:ln>
                  <a:noFill/>
                </a:ln>
                <a:effectLst/>
              </c:sp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3-E42B-614E-874A-3AF3B56C8E53}"/>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Blad1!$K$2:$K$18</c:f>
              <c:strCache>
                <c:ptCount val="17"/>
                <c:pt idx="0">
                  <c:v>Bulgaria</c:v>
                </c:pt>
                <c:pt idx="1">
                  <c:v>Cyprus</c:v>
                </c:pt>
                <c:pt idx="2">
                  <c:v>Czech Republic</c:v>
                </c:pt>
                <c:pt idx="3">
                  <c:v>Estonia</c:v>
                </c:pt>
                <c:pt idx="4">
                  <c:v>France</c:v>
                </c:pt>
                <c:pt idx="5">
                  <c:v>Greece</c:v>
                </c:pt>
                <c:pt idx="6">
                  <c:v>Hungary</c:v>
                </c:pt>
                <c:pt idx="7">
                  <c:v>Ireland</c:v>
                </c:pt>
                <c:pt idx="8">
                  <c:v>Latvia</c:v>
                </c:pt>
                <c:pt idx="9">
                  <c:v>Lithuania</c:v>
                </c:pt>
                <c:pt idx="10">
                  <c:v>Poland</c:v>
                </c:pt>
                <c:pt idx="11">
                  <c:v>Portugal</c:v>
                </c:pt>
                <c:pt idx="12">
                  <c:v>Serbia</c:v>
                </c:pt>
                <c:pt idx="13">
                  <c:v>Slovakia</c:v>
                </c:pt>
                <c:pt idx="14">
                  <c:v>UK (England)</c:v>
                </c:pt>
                <c:pt idx="15">
                  <c:v>UK (N. Ireland)</c:v>
                </c:pt>
                <c:pt idx="16">
                  <c:v>Total average (16)</c:v>
                </c:pt>
              </c:strCache>
            </c:strRef>
          </c:cat>
          <c:val>
            <c:numRef>
              <c:f>Blad1!$L$2:$L$18</c:f>
              <c:numCache>
                <c:formatCode>0.00</c:formatCode>
                <c:ptCount val="17"/>
                <c:pt idx="0">
                  <c:v>64.680851063829792</c:v>
                </c:pt>
                <c:pt idx="1">
                  <c:v>51.49700598802395</c:v>
                </c:pt>
                <c:pt idx="2">
                  <c:v>61.207871522280023</c:v>
                </c:pt>
                <c:pt idx="3">
                  <c:v>0</c:v>
                </c:pt>
                <c:pt idx="4">
                  <c:v>59.561586638830896</c:v>
                </c:pt>
                <c:pt idx="5">
                  <c:v>49.122807017543856</c:v>
                </c:pt>
                <c:pt idx="6">
                  <c:v>58.718268830628382</c:v>
                </c:pt>
                <c:pt idx="7">
                  <c:v>77.890173410404628</c:v>
                </c:pt>
                <c:pt idx="8">
                  <c:v>52.380952380952387</c:v>
                </c:pt>
                <c:pt idx="9">
                  <c:v>58.854166666666664</c:v>
                </c:pt>
                <c:pt idx="10">
                  <c:v>65.841584158415841</c:v>
                </c:pt>
                <c:pt idx="11">
                  <c:v>58.692579505300358</c:v>
                </c:pt>
                <c:pt idx="12">
                  <c:v>52.631578947368418</c:v>
                </c:pt>
                <c:pt idx="13">
                  <c:v>51.546391752577314</c:v>
                </c:pt>
                <c:pt idx="14">
                  <c:v>72.332015810276687</c:v>
                </c:pt>
                <c:pt idx="15">
                  <c:v>45.454545454545453</c:v>
                </c:pt>
                <c:pt idx="16">
                  <c:v>60.623909249563702</c:v>
                </c:pt>
              </c:numCache>
            </c:numRef>
          </c:val>
          <c:extLst>
            <c:ext xmlns:c16="http://schemas.microsoft.com/office/drawing/2014/chart" uri="{C3380CC4-5D6E-409C-BE32-E72D297353CC}">
              <c16:uniqueId val="{00000000-8A08-4DD9-9183-86E56BAEABF4}"/>
            </c:ext>
          </c:extLst>
        </c:ser>
        <c:ser>
          <c:idx val="1"/>
          <c:order val="1"/>
          <c:tx>
            <c:strRef>
              <c:f>Blad1!$M$1</c:f>
              <c:strCache>
                <c:ptCount val="1"/>
                <c:pt idx="0">
                  <c:v>Girls</c:v>
                </c:pt>
              </c:strCache>
            </c:strRef>
          </c:tx>
          <c:spPr>
            <a:solidFill>
              <a:srgbClr val="F9C624"/>
            </a:solidFill>
            <a:ln>
              <a:noFill/>
            </a:ln>
            <a:effectLst/>
          </c:spPr>
          <c:invertIfNegative val="0"/>
          <c:dLbls>
            <c:dLbl>
              <c:idx val="16"/>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4-E42B-614E-874A-3AF3B56C8E5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Blad1!$K$2:$K$18</c:f>
              <c:strCache>
                <c:ptCount val="17"/>
                <c:pt idx="0">
                  <c:v>Bulgaria</c:v>
                </c:pt>
                <c:pt idx="1">
                  <c:v>Cyprus</c:v>
                </c:pt>
                <c:pt idx="2">
                  <c:v>Czech Republic</c:v>
                </c:pt>
                <c:pt idx="3">
                  <c:v>Estonia</c:v>
                </c:pt>
                <c:pt idx="4">
                  <c:v>France</c:v>
                </c:pt>
                <c:pt idx="5">
                  <c:v>Greece</c:v>
                </c:pt>
                <c:pt idx="6">
                  <c:v>Hungary</c:v>
                </c:pt>
                <c:pt idx="7">
                  <c:v>Ireland</c:v>
                </c:pt>
                <c:pt idx="8">
                  <c:v>Latvia</c:v>
                </c:pt>
                <c:pt idx="9">
                  <c:v>Lithuania</c:v>
                </c:pt>
                <c:pt idx="10">
                  <c:v>Poland</c:v>
                </c:pt>
                <c:pt idx="11">
                  <c:v>Portugal</c:v>
                </c:pt>
                <c:pt idx="12">
                  <c:v>Serbia</c:v>
                </c:pt>
                <c:pt idx="13">
                  <c:v>Slovakia</c:v>
                </c:pt>
                <c:pt idx="14">
                  <c:v>UK (England)</c:v>
                </c:pt>
                <c:pt idx="15">
                  <c:v>UK (N. Ireland)</c:v>
                </c:pt>
                <c:pt idx="16">
                  <c:v>Total average (16)</c:v>
                </c:pt>
              </c:strCache>
            </c:strRef>
          </c:cat>
          <c:val>
            <c:numRef>
              <c:f>Blad1!$M$2:$M$18</c:f>
              <c:numCache>
                <c:formatCode>0.00</c:formatCode>
                <c:ptCount val="17"/>
                <c:pt idx="0">
                  <c:v>35.319148936170215</c:v>
                </c:pt>
                <c:pt idx="1">
                  <c:v>48.50299401197605</c:v>
                </c:pt>
                <c:pt idx="2">
                  <c:v>38.79212847771997</c:v>
                </c:pt>
                <c:pt idx="3">
                  <c:v>100</c:v>
                </c:pt>
                <c:pt idx="4">
                  <c:v>40.438413361169104</c:v>
                </c:pt>
                <c:pt idx="5">
                  <c:v>50.877192982456144</c:v>
                </c:pt>
                <c:pt idx="6">
                  <c:v>41.281731169371625</c:v>
                </c:pt>
                <c:pt idx="7">
                  <c:v>22.109826589595375</c:v>
                </c:pt>
                <c:pt idx="8">
                  <c:v>47.619047619047613</c:v>
                </c:pt>
                <c:pt idx="9">
                  <c:v>41.145833333333329</c:v>
                </c:pt>
                <c:pt idx="10">
                  <c:v>34.158415841584159</c:v>
                </c:pt>
                <c:pt idx="11">
                  <c:v>41.307420494699649</c:v>
                </c:pt>
                <c:pt idx="12">
                  <c:v>47.368421052631575</c:v>
                </c:pt>
                <c:pt idx="13">
                  <c:v>48.453608247422679</c:v>
                </c:pt>
                <c:pt idx="14">
                  <c:v>27.66798418972332</c:v>
                </c:pt>
                <c:pt idx="15">
                  <c:v>54.54545454545454</c:v>
                </c:pt>
                <c:pt idx="16">
                  <c:v>39.376090750436298</c:v>
                </c:pt>
              </c:numCache>
            </c:numRef>
          </c:val>
          <c:extLst>
            <c:ext xmlns:c16="http://schemas.microsoft.com/office/drawing/2014/chart" uri="{C3380CC4-5D6E-409C-BE32-E72D297353CC}">
              <c16:uniqueId val="{00000001-8A08-4DD9-9183-86E56BAEABF4}"/>
            </c:ext>
          </c:extLst>
        </c:ser>
        <c:dLbls>
          <c:showLegendKey val="0"/>
          <c:showVal val="0"/>
          <c:showCatName val="0"/>
          <c:showSerName val="0"/>
          <c:showPercent val="0"/>
          <c:showBubbleSize val="0"/>
        </c:dLbls>
        <c:gapWidth val="12"/>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max val="110"/>
          <c:min val="0"/>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20"/>
            <c:invertIfNegative val="0"/>
            <c:bubble3D val="0"/>
            <c:extLst>
              <c:ext xmlns:c16="http://schemas.microsoft.com/office/drawing/2014/chart" uri="{C3380CC4-5D6E-409C-BE32-E72D297353CC}">
                <c16:uniqueId val="{00000001-CE69-4889-B2F0-8BD75DEBB134}"/>
              </c:ext>
            </c:extLst>
          </c:dPt>
          <c:dPt>
            <c:idx val="22"/>
            <c:invertIfNegative val="0"/>
            <c:bubble3D val="0"/>
            <c:spPr>
              <a:solidFill>
                <a:srgbClr val="F9C624"/>
              </a:solidFill>
              <a:ln>
                <a:noFill/>
              </a:ln>
              <a:effectLst/>
            </c:spPr>
            <c:extLst>
              <c:ext xmlns:c16="http://schemas.microsoft.com/office/drawing/2014/chart" uri="{C3380CC4-5D6E-409C-BE32-E72D297353CC}">
                <c16:uniqueId val="{00000003-CE69-4889-B2F0-8BD75DEBB134}"/>
              </c:ext>
            </c:extLst>
          </c:dPt>
          <c:dPt>
            <c:idx val="27"/>
            <c:invertIfNegative val="0"/>
            <c:bubble3D val="0"/>
            <c:extLst>
              <c:ext xmlns:c16="http://schemas.microsoft.com/office/drawing/2014/chart" uri="{C3380CC4-5D6E-409C-BE32-E72D297353CC}">
                <c16:uniqueId val="{00000005-CE69-4889-B2F0-8BD75DEBB134}"/>
              </c:ext>
            </c:extLst>
          </c:dPt>
          <c:dLbls>
            <c:dLbl>
              <c:idx val="2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D2B2-5446-BD6F-CA83FCB20427}"/>
                </c:ext>
              </c:extLst>
            </c:dLbl>
            <c:dLbl>
              <c:idx val="22"/>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CE69-4889-B2F0-8BD75DEBB134}"/>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'3b.3 - ISCED 3'!$F$3:$F$25</c:f>
              <c:strCache>
                <c:ptCount val="23"/>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Luxembourg</c:v>
                </c:pt>
                <c:pt idx="14">
                  <c:v>Poland</c:v>
                </c:pt>
                <c:pt idx="15">
                  <c:v>Serbia</c:v>
                </c:pt>
                <c:pt idx="16">
                  <c:v>Slovakia</c:v>
                </c:pt>
                <c:pt idx="17">
                  <c:v>Sweden</c:v>
                </c:pt>
                <c:pt idx="18">
                  <c:v>UK (England)</c:v>
                </c:pt>
                <c:pt idx="19">
                  <c:v>UK (N. Ireland)</c:v>
                </c:pt>
                <c:pt idx="20">
                  <c:v>UK (Scotland)</c:v>
                </c:pt>
                <c:pt idx="21">
                  <c:v>UK (Wales)</c:v>
                </c:pt>
                <c:pt idx="22">
                  <c:v>Total average (22)</c:v>
                </c:pt>
              </c:strCache>
            </c:strRef>
          </c:cat>
          <c:val>
            <c:numRef>
              <c:f>'3b.3 - ISCED 3'!$G$3:$G$25</c:f>
              <c:numCache>
                <c:formatCode>0.00</c:formatCode>
                <c:ptCount val="23"/>
                <c:pt idx="0">
                  <c:v>1.5769510547646266</c:v>
                </c:pt>
                <c:pt idx="1">
                  <c:v>0.26350839449835117</c:v>
                </c:pt>
                <c:pt idx="2">
                  <c:v>0.40400226543326412</c:v>
                </c:pt>
                <c:pt idx="3">
                  <c:v>0.20142385830873416</c:v>
                </c:pt>
                <c:pt idx="4">
                  <c:v>1.0336476529087444</c:v>
                </c:pt>
                <c:pt idx="5">
                  <c:v>0.20064392702160422</c:v>
                </c:pt>
                <c:pt idx="6">
                  <c:v>0.10210063879519723</c:v>
                </c:pt>
                <c:pt idx="7">
                  <c:v>4.5451150853654525E-2</c:v>
                </c:pt>
                <c:pt idx="8">
                  <c:v>0.21238545713797866</c:v>
                </c:pt>
                <c:pt idx="9">
                  <c:v>1.0613163786598716</c:v>
                </c:pt>
                <c:pt idx="10">
                  <c:v>8.0301181965855492E-3</c:v>
                </c:pt>
                <c:pt idx="11">
                  <c:v>0.1457153148433151</c:v>
                </c:pt>
                <c:pt idx="12">
                  <c:v>0.78879368965048291</c:v>
                </c:pt>
                <c:pt idx="13">
                  <c:v>0.49142061509480328</c:v>
                </c:pt>
                <c:pt idx="14">
                  <c:v>1.9763296710539102</c:v>
                </c:pt>
                <c:pt idx="15">
                  <c:v>0.72104199170254279</c:v>
                </c:pt>
                <c:pt idx="16">
                  <c:v>2.0675087704512172</c:v>
                </c:pt>
                <c:pt idx="17">
                  <c:v>1.6819550011291164</c:v>
                </c:pt>
                <c:pt idx="18">
                  <c:v>2.0145493158468315</c:v>
                </c:pt>
                <c:pt idx="19">
                  <c:v>2.3178157532901196</c:v>
                </c:pt>
                <c:pt idx="20">
                  <c:v>1.8303944139448982</c:v>
                </c:pt>
                <c:pt idx="21">
                  <c:v>3.3356024506466984</c:v>
                </c:pt>
                <c:pt idx="22">
                  <c:v>0.57965179763372998</c:v>
                </c:pt>
              </c:numCache>
            </c:numRef>
          </c:val>
          <c:extLst>
            <c:ext xmlns:c16="http://schemas.microsoft.com/office/drawing/2014/chart" uri="{C3380CC4-5D6E-409C-BE32-E72D297353CC}">
              <c16:uniqueId val="{00000006-CE69-4889-B2F0-8BD75DEBB134}"/>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4"/>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437677655438302E-2"/>
          <c:y val="4.1987184351474208E-2"/>
          <c:w val="0.8351246446891234"/>
          <c:h val="0.91597323903606154"/>
        </c:manualLayout>
      </c:layout>
      <c:barChart>
        <c:barDir val="bar"/>
        <c:grouping val="clustered"/>
        <c:varyColors val="0"/>
        <c:ser>
          <c:idx val="0"/>
          <c:order val="0"/>
          <c:tx>
            <c:strRef>
              <c:f>Blad1!$I$2</c:f>
              <c:strCache>
                <c:ptCount val="1"/>
                <c:pt idx="0">
                  <c:v>Boys</c:v>
                </c:pt>
              </c:strCache>
            </c:strRef>
          </c:tx>
          <c:spPr>
            <a:solidFill>
              <a:srgbClr val="17255B"/>
            </a:solidFill>
            <a:ln>
              <a:noFill/>
            </a:ln>
            <a:effectLst/>
          </c:spPr>
          <c:invertIfNegative val="0"/>
          <c:dLbls>
            <c:dLbl>
              <c:idx val="20"/>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20B7-0B4D-8A90-8D4C8A4B5040}"/>
                </c:ext>
              </c:extLst>
            </c:dLbl>
            <c:dLbl>
              <c:idx val="21"/>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20B7-0B4D-8A90-8D4C8A4B5040}"/>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Blad1!$H$3:$H$24</c:f>
              <c:strCache>
                <c:ptCount val="22"/>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Poland</c:v>
                </c:pt>
                <c:pt idx="14">
                  <c:v>Serbia</c:v>
                </c:pt>
                <c:pt idx="15">
                  <c:v>Slovakia</c:v>
                </c:pt>
                <c:pt idx="16">
                  <c:v>Sweden</c:v>
                </c:pt>
                <c:pt idx="17">
                  <c:v>UK (England)</c:v>
                </c:pt>
                <c:pt idx="18">
                  <c:v>UK (N. Ireland)</c:v>
                </c:pt>
                <c:pt idx="19">
                  <c:v>UK (Scotland)</c:v>
                </c:pt>
                <c:pt idx="20">
                  <c:v>UK (Wales)</c:v>
                </c:pt>
                <c:pt idx="21">
                  <c:v>Total average (21)</c:v>
                </c:pt>
              </c:strCache>
            </c:strRef>
          </c:cat>
          <c:val>
            <c:numRef>
              <c:f>Blad1!$I$3:$I$24</c:f>
              <c:numCache>
                <c:formatCode>0.00</c:formatCode>
                <c:ptCount val="22"/>
                <c:pt idx="0">
                  <c:v>0.91447573521770753</c:v>
                </c:pt>
                <c:pt idx="1">
                  <c:v>0.21889087925219278</c:v>
                </c:pt>
                <c:pt idx="2">
                  <c:v>0.252286886230628</c:v>
                </c:pt>
                <c:pt idx="3">
                  <c:v>0.16322278173293975</c:v>
                </c:pt>
                <c:pt idx="4">
                  <c:v>0.57041273767197398</c:v>
                </c:pt>
                <c:pt idx="5">
                  <c:v>0.14465027296906352</c:v>
                </c:pt>
                <c:pt idx="6">
                  <c:v>6.1709595632742253E-2</c:v>
                </c:pt>
                <c:pt idx="7">
                  <c:v>2.5134647026844283E-2</c:v>
                </c:pt>
                <c:pt idx="8">
                  <c:v>0.13210435345253679</c:v>
                </c:pt>
                <c:pt idx="9">
                  <c:v>0.67290921910369483</c:v>
                </c:pt>
                <c:pt idx="10">
                  <c:v>5.2908722697129085E-3</c:v>
                </c:pt>
                <c:pt idx="11">
                  <c:v>7.5313533514522413E-2</c:v>
                </c:pt>
                <c:pt idx="12">
                  <c:v>0.46783625730994155</c:v>
                </c:pt>
                <c:pt idx="13">
                  <c:v>1.1285949301525044</c:v>
                </c:pt>
                <c:pt idx="14">
                  <c:v>0.441853281249389</c:v>
                </c:pt>
                <c:pt idx="15">
                  <c:v>1.1430558043004182</c:v>
                </c:pt>
                <c:pt idx="16">
                  <c:v>1.0047708750796813</c:v>
                </c:pt>
                <c:pt idx="17">
                  <c:v>1.4718840525712795</c:v>
                </c:pt>
                <c:pt idx="18">
                  <c:v>1.4600929745302167</c:v>
                </c:pt>
                <c:pt idx="19">
                  <c:v>1.2130948465605789</c:v>
                </c:pt>
                <c:pt idx="20">
                  <c:v>2.3395793773064386</c:v>
                </c:pt>
                <c:pt idx="21">
                  <c:v>0.36589353797227137</c:v>
                </c:pt>
              </c:numCache>
            </c:numRef>
          </c:val>
          <c:extLst>
            <c:ext xmlns:c16="http://schemas.microsoft.com/office/drawing/2014/chart" uri="{C3380CC4-5D6E-409C-BE32-E72D297353CC}">
              <c16:uniqueId val="{00000000-AB73-4A59-8D75-DEFFF77CCD45}"/>
            </c:ext>
          </c:extLst>
        </c:ser>
        <c:ser>
          <c:idx val="1"/>
          <c:order val="1"/>
          <c:tx>
            <c:strRef>
              <c:f>Blad1!$J$2</c:f>
              <c:strCache>
                <c:ptCount val="1"/>
                <c:pt idx="0">
                  <c:v>Girls</c:v>
                </c:pt>
              </c:strCache>
            </c:strRef>
          </c:tx>
          <c:spPr>
            <a:solidFill>
              <a:srgbClr val="F9C624"/>
            </a:solidFill>
            <a:ln>
              <a:noFill/>
            </a:ln>
            <a:effectLst/>
          </c:spPr>
          <c:invertIfNegative val="0"/>
          <c:dLbls>
            <c:dLbl>
              <c:idx val="2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0B7-0B4D-8A90-8D4C8A4B5040}"/>
                </c:ext>
              </c:extLst>
            </c:dLbl>
            <c:dLbl>
              <c:idx val="2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extLst>
                <c:ext xmlns:c16="http://schemas.microsoft.com/office/drawing/2014/chart" uri="{C3380CC4-5D6E-409C-BE32-E72D297353CC}">
                  <c16:uniqueId val="{00000003-20B7-0B4D-8A90-8D4C8A4B504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Blad1!$H$3:$H$24</c:f>
              <c:strCache>
                <c:ptCount val="22"/>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Poland</c:v>
                </c:pt>
                <c:pt idx="14">
                  <c:v>Serbia</c:v>
                </c:pt>
                <c:pt idx="15">
                  <c:v>Slovakia</c:v>
                </c:pt>
                <c:pt idx="16">
                  <c:v>Sweden</c:v>
                </c:pt>
                <c:pt idx="17">
                  <c:v>UK (England)</c:v>
                </c:pt>
                <c:pt idx="18">
                  <c:v>UK (N. Ireland)</c:v>
                </c:pt>
                <c:pt idx="19">
                  <c:v>UK (Scotland)</c:v>
                </c:pt>
                <c:pt idx="20">
                  <c:v>UK (Wales)</c:v>
                </c:pt>
                <c:pt idx="21">
                  <c:v>Total average (21)</c:v>
                </c:pt>
              </c:strCache>
            </c:strRef>
          </c:cat>
          <c:val>
            <c:numRef>
              <c:f>Blad1!$J$3:$J$24</c:f>
              <c:numCache>
                <c:formatCode>0.00</c:formatCode>
                <c:ptCount val="22"/>
                <c:pt idx="0">
                  <c:v>0.66247531954691885</c:v>
                </c:pt>
                <c:pt idx="1">
                  <c:v>4.4617515246158368E-2</c:v>
                </c:pt>
                <c:pt idx="2">
                  <c:v>0.15171537920263614</c:v>
                </c:pt>
                <c:pt idx="3">
                  <c:v>3.8201076575794413E-2</c:v>
                </c:pt>
                <c:pt idx="4">
                  <c:v>0.46323491523677029</c:v>
                </c:pt>
                <c:pt idx="5">
                  <c:v>5.5993654052540712E-2</c:v>
                </c:pt>
                <c:pt idx="6">
                  <c:v>4.0391043162454981E-2</c:v>
                </c:pt>
                <c:pt idx="7">
                  <c:v>2.0316503826810235E-2</c:v>
                </c:pt>
                <c:pt idx="8">
                  <c:v>8.0281103685441862E-2</c:v>
                </c:pt>
                <c:pt idx="9">
                  <c:v>0.38840715955617677</c:v>
                </c:pt>
                <c:pt idx="10">
                  <c:v>2.7392459268726402E-3</c:v>
                </c:pt>
                <c:pt idx="11">
                  <c:v>7.0401781328792698E-2</c:v>
                </c:pt>
                <c:pt idx="12">
                  <c:v>0.3209574323405413</c:v>
                </c:pt>
                <c:pt idx="13">
                  <c:v>0.84773474090140566</c:v>
                </c:pt>
                <c:pt idx="14">
                  <c:v>0.2791887104531538</c:v>
                </c:pt>
                <c:pt idx="15">
                  <c:v>0.92445296615079908</c:v>
                </c:pt>
                <c:pt idx="16">
                  <c:v>0.67718412604943534</c:v>
                </c:pt>
                <c:pt idx="17">
                  <c:v>0.54266526327555209</c:v>
                </c:pt>
                <c:pt idx="18">
                  <c:v>0.8577227787599031</c:v>
                </c:pt>
                <c:pt idx="19">
                  <c:v>0.61729956738431957</c:v>
                </c:pt>
                <c:pt idx="20">
                  <c:v>0.99602307334026008</c:v>
                </c:pt>
                <c:pt idx="21">
                  <c:v>0.21392577075087749</c:v>
                </c:pt>
              </c:numCache>
            </c:numRef>
          </c:val>
          <c:extLst>
            <c:ext xmlns:c16="http://schemas.microsoft.com/office/drawing/2014/chart" uri="{C3380CC4-5D6E-409C-BE32-E72D297353CC}">
              <c16:uniqueId val="{00000001-AB73-4A59-8D75-DEFFF77CCD45}"/>
            </c:ext>
          </c:extLst>
        </c:ser>
        <c:dLbls>
          <c:showLegendKey val="0"/>
          <c:showVal val="0"/>
          <c:showCatName val="0"/>
          <c:showSerName val="0"/>
          <c:showPercent val="0"/>
          <c:showBubbleSize val="0"/>
        </c:dLbls>
        <c:gapWidth val="8"/>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9083598592729E-2"/>
          <c:y val="4.1987184351474208E-2"/>
          <c:w val="0.81667364717708157"/>
          <c:h val="0.91932528797597624"/>
        </c:manualLayout>
      </c:layout>
      <c:barChart>
        <c:barDir val="bar"/>
        <c:grouping val="clustered"/>
        <c:varyColors val="0"/>
        <c:ser>
          <c:idx val="0"/>
          <c:order val="0"/>
          <c:tx>
            <c:strRef>
              <c:f>Blad1!$L$2</c:f>
              <c:strCache>
                <c:ptCount val="1"/>
                <c:pt idx="0">
                  <c:v>Boys</c:v>
                </c:pt>
              </c:strCache>
            </c:strRef>
          </c:tx>
          <c:spPr>
            <a:solidFill>
              <a:srgbClr val="17255B"/>
            </a:solidFill>
            <a:ln>
              <a:noFill/>
            </a:ln>
            <a:effectLst/>
          </c:spPr>
          <c:invertIfNegative val="0"/>
          <c:dLbls>
            <c:dLbl>
              <c:idx val="1"/>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CAB1-5C49-8C28-A10BFF221C8A}"/>
                </c:ext>
              </c:extLst>
            </c:dLbl>
            <c:dLbl>
              <c:idx val="17"/>
              <c:layout>
                <c:manualLayout>
                  <c:x val="-0.33142389525368249"/>
                  <c:y val="1.2290704129757004E-16"/>
                </c:manualLayout>
              </c:layout>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BB98-C24B-887A-FA50345DFD49}"/>
                </c:ext>
              </c:extLst>
            </c:dLbl>
            <c:dLbl>
              <c:idx val="21"/>
              <c:layout>
                <c:manualLayout>
                  <c:x val="-0.40507364975450083"/>
                  <c:y val="0"/>
                </c:manualLayout>
              </c:layout>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CAB1-5C49-8C28-A10BFF221C8A}"/>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Blad1!$K$3:$K$24</c:f>
              <c:strCache>
                <c:ptCount val="22"/>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Poland</c:v>
                </c:pt>
                <c:pt idx="14">
                  <c:v>Serbia</c:v>
                </c:pt>
                <c:pt idx="15">
                  <c:v>Slovakia</c:v>
                </c:pt>
                <c:pt idx="16">
                  <c:v>Sweden</c:v>
                </c:pt>
                <c:pt idx="17">
                  <c:v>UK (England)</c:v>
                </c:pt>
                <c:pt idx="18">
                  <c:v>UK (N. Ireland)</c:v>
                </c:pt>
                <c:pt idx="19">
                  <c:v>UK (Scotland)</c:v>
                </c:pt>
                <c:pt idx="20">
                  <c:v>UK (Wales)</c:v>
                </c:pt>
                <c:pt idx="21">
                  <c:v>Total average (21)</c:v>
                </c:pt>
              </c:strCache>
            </c:strRef>
          </c:cat>
          <c:val>
            <c:numRef>
              <c:f>Blad1!$L$3:$L$24</c:f>
              <c:numCache>
                <c:formatCode>0.00</c:formatCode>
                <c:ptCount val="22"/>
                <c:pt idx="0">
                  <c:v>57.990115321252055</c:v>
                </c:pt>
                <c:pt idx="1">
                  <c:v>83.067896060352055</c:v>
                </c:pt>
                <c:pt idx="2">
                  <c:v>62.446898895497029</c:v>
                </c:pt>
                <c:pt idx="3">
                  <c:v>81.034482758620683</c:v>
                </c:pt>
                <c:pt idx="4">
                  <c:v>55.184446660019937</c:v>
                </c:pt>
                <c:pt idx="5">
                  <c:v>72.093023255813947</c:v>
                </c:pt>
                <c:pt idx="6">
                  <c:v>60.439970171513792</c:v>
                </c:pt>
                <c:pt idx="7">
                  <c:v>55.300353356890461</c:v>
                </c:pt>
                <c:pt idx="8">
                  <c:v>62.200282087447114</c:v>
                </c:pt>
                <c:pt idx="9">
                  <c:v>63.403263403263402</c:v>
                </c:pt>
                <c:pt idx="10">
                  <c:v>65.887850467289724</c:v>
                </c:pt>
                <c:pt idx="11">
                  <c:v>51.68539325842697</c:v>
                </c:pt>
                <c:pt idx="12">
                  <c:v>59.310344827586206</c:v>
                </c:pt>
                <c:pt idx="13">
                  <c:v>57.105600684053016</c:v>
                </c:pt>
                <c:pt idx="14">
                  <c:v>61.279826464208242</c:v>
                </c:pt>
                <c:pt idx="15">
                  <c:v>55.286624203821653</c:v>
                </c:pt>
                <c:pt idx="16">
                  <c:v>59.738273283480623</c:v>
                </c:pt>
                <c:pt idx="17">
                  <c:v>73.062696504531161</c:v>
                </c:pt>
                <c:pt idx="18">
                  <c:v>62.994350282485875</c:v>
                </c:pt>
                <c:pt idx="19">
                  <c:v>66.275051831375265</c:v>
                </c:pt>
                <c:pt idx="20">
                  <c:v>70.139634801288935</c:v>
                </c:pt>
                <c:pt idx="21">
                  <c:v>63.104752199098904</c:v>
                </c:pt>
              </c:numCache>
            </c:numRef>
          </c:val>
          <c:extLst>
            <c:ext xmlns:c16="http://schemas.microsoft.com/office/drawing/2014/chart" uri="{C3380CC4-5D6E-409C-BE32-E72D297353CC}">
              <c16:uniqueId val="{00000000-91E6-412E-8D66-B5273815C882}"/>
            </c:ext>
          </c:extLst>
        </c:ser>
        <c:ser>
          <c:idx val="1"/>
          <c:order val="1"/>
          <c:tx>
            <c:strRef>
              <c:f>Blad1!$M$2</c:f>
              <c:strCache>
                <c:ptCount val="1"/>
                <c:pt idx="0">
                  <c:v>Girls</c:v>
                </c:pt>
              </c:strCache>
            </c:strRef>
          </c:tx>
          <c:spPr>
            <a:solidFill>
              <a:srgbClr val="F9C624"/>
            </a:solidFill>
            <a:ln>
              <a:noFill/>
            </a:ln>
            <a:effectLst/>
          </c:spPr>
          <c:invertIfNegative val="0"/>
          <c:dLbls>
            <c:dLbl>
              <c:idx val="1"/>
              <c:layout>
                <c:manualLayout>
                  <c:x val="-0.12684124386252046"/>
                  <c:y val="1.5363380162196255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F5-CB4A-9780-7653A5D01C5D}"/>
                </c:ext>
              </c:extLst>
            </c:dLbl>
            <c:dLbl>
              <c:idx val="17"/>
              <c:layout>
                <c:manualLayout>
                  <c:x val="-0.12684124386252049"/>
                  <c:y val="-1.676024469957261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F5-CB4A-9780-7653A5D01C5D}"/>
                </c:ext>
              </c:extLst>
            </c:dLbl>
            <c:dLbl>
              <c:idx val="21"/>
              <c:layout>
                <c:manualLayout>
                  <c:x val="-0.12684124386252046"/>
                  <c:y val="1.2290704129757004E-1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AB1-5C49-8C28-A10BFF221C8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Blad1!$K$3:$K$24</c:f>
              <c:strCache>
                <c:ptCount val="22"/>
                <c:pt idx="0">
                  <c:v>Austria</c:v>
                </c:pt>
                <c:pt idx="1">
                  <c:v>Belgium (Fl)</c:v>
                </c:pt>
                <c:pt idx="2">
                  <c:v>Bulgaria</c:v>
                </c:pt>
                <c:pt idx="3">
                  <c:v>Cyprus</c:v>
                </c:pt>
                <c:pt idx="4">
                  <c:v>Czech Republic</c:v>
                </c:pt>
                <c:pt idx="5">
                  <c:v>Estonia</c:v>
                </c:pt>
                <c:pt idx="6">
                  <c:v>France</c:v>
                </c:pt>
                <c:pt idx="7">
                  <c:v>Germany</c:v>
                </c:pt>
                <c:pt idx="8">
                  <c:v>Greece</c:v>
                </c:pt>
                <c:pt idx="9">
                  <c:v>Ireland</c:v>
                </c:pt>
                <c:pt idx="10">
                  <c:v>Italy</c:v>
                </c:pt>
                <c:pt idx="11">
                  <c:v>Latvia</c:v>
                </c:pt>
                <c:pt idx="12">
                  <c:v>Lithuania</c:v>
                </c:pt>
                <c:pt idx="13">
                  <c:v>Poland</c:v>
                </c:pt>
                <c:pt idx="14">
                  <c:v>Serbia</c:v>
                </c:pt>
                <c:pt idx="15">
                  <c:v>Slovakia</c:v>
                </c:pt>
                <c:pt idx="16">
                  <c:v>Sweden</c:v>
                </c:pt>
                <c:pt idx="17">
                  <c:v>UK (England)</c:v>
                </c:pt>
                <c:pt idx="18">
                  <c:v>UK (N. Ireland)</c:v>
                </c:pt>
                <c:pt idx="19">
                  <c:v>UK (Scotland)</c:v>
                </c:pt>
                <c:pt idx="20">
                  <c:v>UK (Wales)</c:v>
                </c:pt>
                <c:pt idx="21">
                  <c:v>Total average (21)</c:v>
                </c:pt>
              </c:strCache>
            </c:strRef>
          </c:cat>
          <c:val>
            <c:numRef>
              <c:f>Blad1!$M$3:$M$24</c:f>
              <c:numCache>
                <c:formatCode>0.00</c:formatCode>
                <c:ptCount val="22"/>
                <c:pt idx="0">
                  <c:v>42.009884678747937</c:v>
                </c:pt>
                <c:pt idx="1">
                  <c:v>16.932103939647945</c:v>
                </c:pt>
                <c:pt idx="2">
                  <c:v>37.553101104502971</c:v>
                </c:pt>
                <c:pt idx="3">
                  <c:v>18.96551724137931</c:v>
                </c:pt>
                <c:pt idx="4">
                  <c:v>44.815553339980056</c:v>
                </c:pt>
                <c:pt idx="5">
                  <c:v>27.906976744186046</c:v>
                </c:pt>
                <c:pt idx="6">
                  <c:v>39.560029828486201</c:v>
                </c:pt>
                <c:pt idx="7">
                  <c:v>44.699646643109539</c:v>
                </c:pt>
                <c:pt idx="8">
                  <c:v>37.799717912552893</c:v>
                </c:pt>
                <c:pt idx="9">
                  <c:v>36.596736596736598</c:v>
                </c:pt>
                <c:pt idx="10">
                  <c:v>34.112149532710276</c:v>
                </c:pt>
                <c:pt idx="11">
                  <c:v>48.314606741573037</c:v>
                </c:pt>
                <c:pt idx="12">
                  <c:v>40.689655172413794</c:v>
                </c:pt>
                <c:pt idx="13">
                  <c:v>42.894399315946984</c:v>
                </c:pt>
                <c:pt idx="14">
                  <c:v>38.720173535791758</c:v>
                </c:pt>
                <c:pt idx="15">
                  <c:v>44.713375796178347</c:v>
                </c:pt>
                <c:pt idx="16">
                  <c:v>40.261726716519377</c:v>
                </c:pt>
                <c:pt idx="17">
                  <c:v>26.937303495468832</c:v>
                </c:pt>
                <c:pt idx="18">
                  <c:v>37.005649717514125</c:v>
                </c:pt>
                <c:pt idx="19">
                  <c:v>33.724948168624742</c:v>
                </c:pt>
                <c:pt idx="20">
                  <c:v>29.860365198711065</c:v>
                </c:pt>
                <c:pt idx="21">
                  <c:v>36.895247800901096</c:v>
                </c:pt>
              </c:numCache>
            </c:numRef>
          </c:val>
          <c:extLst>
            <c:ext xmlns:c16="http://schemas.microsoft.com/office/drawing/2014/chart" uri="{C3380CC4-5D6E-409C-BE32-E72D297353CC}">
              <c16:uniqueId val="{00000001-91E6-412E-8D66-B5273815C882}"/>
            </c:ext>
          </c:extLst>
        </c:ser>
        <c:dLbls>
          <c:showLegendKey val="0"/>
          <c:showVal val="0"/>
          <c:showCatName val="0"/>
          <c:showSerName val="0"/>
          <c:showPercent val="0"/>
          <c:showBubbleSize val="0"/>
        </c:dLbls>
        <c:gapWidth val="10"/>
        <c:axId val="824060768"/>
        <c:axId val="639923008"/>
      </c:barChart>
      <c:catAx>
        <c:axId val="824060768"/>
        <c:scaling>
          <c:orientation val="maxMin"/>
        </c:scaling>
        <c:delete val="1"/>
        <c:axPos val="l"/>
        <c:numFmt formatCode="General" sourceLinked="1"/>
        <c:majorTickMark val="none"/>
        <c:minorTickMark val="none"/>
        <c:tickLblPos val="nextTo"/>
        <c:crossAx val="639923008"/>
        <c:crosses val="autoZero"/>
        <c:auto val="1"/>
        <c:lblAlgn val="ctr"/>
        <c:lblOffset val="100"/>
        <c:noMultiLvlLbl val="0"/>
      </c:catAx>
      <c:valAx>
        <c:axId val="639923008"/>
        <c:scaling>
          <c:orientation val="minMax"/>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82406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17255B"/>
            </a:solidFill>
            <a:ln>
              <a:noFill/>
            </a:ln>
            <a:effectLst/>
          </c:spPr>
          <c:invertIfNegative val="0"/>
          <c:dPt>
            <c:idx val="17"/>
            <c:invertIfNegative val="0"/>
            <c:bubble3D val="0"/>
            <c:spPr>
              <a:solidFill>
                <a:srgbClr val="F9C624"/>
              </a:solidFill>
              <a:ln>
                <a:noFill/>
              </a:ln>
              <a:effectLst/>
            </c:spPr>
            <c:extLst>
              <c:ext xmlns:c16="http://schemas.microsoft.com/office/drawing/2014/chart" uri="{C3380CC4-5D6E-409C-BE32-E72D297353CC}">
                <c16:uniqueId val="{00000001-63E8-49E4-98EC-CEF62B814A8C}"/>
              </c:ext>
            </c:extLst>
          </c:dPt>
          <c:dPt>
            <c:idx val="20"/>
            <c:invertIfNegative val="0"/>
            <c:bubble3D val="0"/>
            <c:extLst>
              <c:ext xmlns:c16="http://schemas.microsoft.com/office/drawing/2014/chart" uri="{C3380CC4-5D6E-409C-BE32-E72D297353CC}">
                <c16:uniqueId val="{00000003-63E8-49E4-98EC-CEF62B814A8C}"/>
              </c:ext>
            </c:extLst>
          </c:dPt>
          <c:dPt>
            <c:idx val="27"/>
            <c:invertIfNegative val="0"/>
            <c:bubble3D val="0"/>
            <c:extLst>
              <c:ext xmlns:c16="http://schemas.microsoft.com/office/drawing/2014/chart" uri="{C3380CC4-5D6E-409C-BE32-E72D297353CC}">
                <c16:uniqueId val="{00000005-63E8-49E4-98EC-CEF62B814A8C}"/>
              </c:ext>
            </c:extLst>
          </c:dPt>
          <c:dLbls>
            <c:dLbl>
              <c:idx val="17"/>
              <c:spPr>
                <a:noFill/>
                <a:ln>
                  <a:noFill/>
                </a:ln>
                <a:effectLst/>
              </c:spPr>
              <c:txPr>
                <a:bodyPr rot="0" spcFirstLastPara="1" vertOverflow="ellipsis" vert="horz" wrap="none" lIns="38100" tIns="19050" rIns="38100" bIns="19050" anchor="ctr" anchorCtr="1">
                  <a:spAutoFit/>
                </a:bodyPr>
                <a:lstStyle/>
                <a:p>
                  <a:pPr>
                    <a:defRPr sz="1000" b="1"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63E8-49E4-98EC-CEF62B814A8C}"/>
                </c:ext>
              </c:extLst>
            </c:dLbl>
            <c:spPr>
              <a:noFill/>
              <a:ln>
                <a:noFill/>
              </a:ln>
              <a:effectLst/>
            </c:spPr>
            <c:txPr>
              <a:bodyPr rot="0" spcFirstLastPara="1" vertOverflow="ellipsis" vert="horz" wrap="none" lIns="38100" tIns="19050" rIns="38100" bIns="19050" anchor="ctr" anchorCtr="1">
                <a:spAutoFit/>
              </a:bodyPr>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'3b.5 - ISCED 3'!$L$3:$L$20</c:f>
              <c:strCache>
                <c:ptCount val="18"/>
                <c:pt idx="0">
                  <c:v>Austria</c:v>
                </c:pt>
                <c:pt idx="1">
                  <c:v>Belgium (Fl)</c:v>
                </c:pt>
                <c:pt idx="2">
                  <c:v>Bulgaria</c:v>
                </c:pt>
                <c:pt idx="3">
                  <c:v>Cyprus</c:v>
                </c:pt>
                <c:pt idx="4">
                  <c:v>Czech Republic</c:v>
                </c:pt>
                <c:pt idx="5">
                  <c:v>Estonia</c:v>
                </c:pt>
                <c:pt idx="6">
                  <c:v>France</c:v>
                </c:pt>
                <c:pt idx="7">
                  <c:v>Greece</c:v>
                </c:pt>
                <c:pt idx="8">
                  <c:v>Ireland</c:v>
                </c:pt>
                <c:pt idx="9">
                  <c:v>Latvia</c:v>
                </c:pt>
                <c:pt idx="10">
                  <c:v>Lithuania</c:v>
                </c:pt>
                <c:pt idx="11">
                  <c:v>Luxembourg</c:v>
                </c:pt>
                <c:pt idx="12">
                  <c:v>Poland</c:v>
                </c:pt>
                <c:pt idx="13">
                  <c:v>Serbia</c:v>
                </c:pt>
                <c:pt idx="14">
                  <c:v>Slovakia</c:v>
                </c:pt>
                <c:pt idx="15">
                  <c:v>UK (England)</c:v>
                </c:pt>
                <c:pt idx="16">
                  <c:v>UK (N. Ireland)</c:v>
                </c:pt>
                <c:pt idx="17">
                  <c:v>Total average (17)</c:v>
                </c:pt>
              </c:strCache>
            </c:strRef>
          </c:cat>
          <c:val>
            <c:numRef>
              <c:f>'3b.5 - ISCED 3'!$M$3:$M$20</c:f>
              <c:numCache>
                <c:formatCode>0.00</c:formatCode>
                <c:ptCount val="18"/>
                <c:pt idx="0">
                  <c:v>3.1539021095292532</c:v>
                </c:pt>
                <c:pt idx="1">
                  <c:v>0.26350839449835117</c:v>
                </c:pt>
                <c:pt idx="2">
                  <c:v>0.56532857363516231</c:v>
                </c:pt>
                <c:pt idx="3">
                  <c:v>0.78138565723215836</c:v>
                </c:pt>
                <c:pt idx="4">
                  <c:v>2.172669655279023</c:v>
                </c:pt>
                <c:pt idx="5">
                  <c:v>0.20997620269702766</c:v>
                </c:pt>
                <c:pt idx="6">
                  <c:v>0.28445040010354722</c:v>
                </c:pt>
                <c:pt idx="7">
                  <c:v>0.24653488183999497</c:v>
                </c:pt>
                <c:pt idx="8">
                  <c:v>1.4893064334574422</c:v>
                </c:pt>
                <c:pt idx="9">
                  <c:v>0.18009758014342317</c:v>
                </c:pt>
                <c:pt idx="10">
                  <c:v>1.0499116007071942</c:v>
                </c:pt>
                <c:pt idx="11">
                  <c:v>0.90503296613292927</c:v>
                </c:pt>
                <c:pt idx="12">
                  <c:v>1.9933975886919131</c:v>
                </c:pt>
                <c:pt idx="13">
                  <c:v>0.89191799515916481</c:v>
                </c:pt>
                <c:pt idx="14">
                  <c:v>2.1186038916572727</c:v>
                </c:pt>
                <c:pt idx="15">
                  <c:v>2.1323782822120179</c:v>
                </c:pt>
                <c:pt idx="16">
                  <c:v>2.3538270149937799</c:v>
                </c:pt>
                <c:pt idx="17">
                  <c:v>1.0899630575055732</c:v>
                </c:pt>
              </c:numCache>
            </c:numRef>
          </c:val>
          <c:extLst>
            <c:ext xmlns:c16="http://schemas.microsoft.com/office/drawing/2014/chart" uri="{C3380CC4-5D6E-409C-BE32-E72D297353CC}">
              <c16:uniqueId val="{00000006-63E8-49E4-98EC-CEF62B814A8C}"/>
            </c:ext>
          </c:extLst>
        </c:ser>
        <c:dLbls>
          <c:showLegendKey val="0"/>
          <c:showVal val="0"/>
          <c:showCatName val="0"/>
          <c:showSerName val="0"/>
          <c:showPercent val="0"/>
          <c:showBubbleSize val="0"/>
        </c:dLbls>
        <c:gapWidth val="12"/>
        <c:axId val="681926736"/>
        <c:axId val="640376368"/>
      </c:barChart>
      <c:catAx>
        <c:axId val="681926736"/>
        <c:scaling>
          <c:orientation val="maxMin"/>
        </c:scaling>
        <c:delete val="1"/>
        <c:axPos val="l"/>
        <c:numFmt formatCode="General" sourceLinked="1"/>
        <c:majorTickMark val="none"/>
        <c:minorTickMark val="none"/>
        <c:tickLblPos val="nextTo"/>
        <c:crossAx val="640376368"/>
        <c:crosses val="autoZero"/>
        <c:auto val="1"/>
        <c:lblAlgn val="ctr"/>
        <c:lblOffset val="100"/>
        <c:noMultiLvlLbl val="0"/>
      </c:catAx>
      <c:valAx>
        <c:axId val="640376368"/>
        <c:scaling>
          <c:orientation val="minMax"/>
          <c:max val="4"/>
        </c:scaling>
        <c:delete val="0"/>
        <c:axPos val="t"/>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17255B"/>
                </a:solidFill>
                <a:latin typeface="Calibri" panose="020F0502020204030204" pitchFamily="34" charset="0"/>
                <a:ea typeface="+mn-ea"/>
                <a:cs typeface="Calibri" panose="020F0502020204030204" pitchFamily="34" charset="0"/>
              </a:defRPr>
            </a:pPr>
            <a:endParaRPr lang="en-US"/>
          </a:p>
        </c:txPr>
        <c:crossAx val="681926736"/>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ema">
  <a:themeElements>
    <a:clrScheme name="Stockholms Universitet">
      <a:dk1>
        <a:srgbClr val="000000"/>
      </a:dk1>
      <a:lt1>
        <a:srgbClr val="FFFFFF"/>
      </a:lt1>
      <a:dk2>
        <a:srgbClr val="002F5F"/>
      </a:dk2>
      <a:lt2>
        <a:srgbClr val="808080"/>
      </a:lt2>
      <a:accent1>
        <a:srgbClr val="A3A86B"/>
      </a:accent1>
      <a:accent2>
        <a:srgbClr val="ACDEE6"/>
      </a:accent2>
      <a:accent3>
        <a:srgbClr val="9BB2CE"/>
      </a:accent3>
      <a:accent4>
        <a:srgbClr val="D95E00"/>
      </a:accent4>
      <a:accent5>
        <a:srgbClr val="DADCC3"/>
      </a:accent5>
      <a:accent6>
        <a:srgbClr val="FF9B4F"/>
      </a:accent6>
      <a:hlink>
        <a:srgbClr val="0000FF"/>
      </a:hlink>
      <a:folHlink>
        <a:srgbClr val="800080"/>
      </a:folHlink>
    </a:clrScheme>
    <a:fontScheme name="Stockholms Universitet">
      <a:majorFont>
        <a:latin typeface="Verdana"/>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FC53F5B-DAD2-994E-B9D8-986696925DAE}">
  <we:reference id="wa104041485" version="1.1.1.0" store="en-US" storeType="OMEX"/>
  <we:alternateReferences>
    <we:reference id="wa104041485" version="1.1.1.0" store="wa104041485"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ocStatus xmlns="e7a51fb7-b3aa-419c-9d25-406182a3387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573ADD42424274EBB25F2ECFB629B46" ma:contentTypeVersion="13" ma:contentTypeDescription="Create a new document." ma:contentTypeScope="" ma:versionID="d720188732f4d4f4700a6170174980c8">
  <xsd:schema xmlns:xsd="http://www.w3.org/2001/XMLSchema" xmlns:xs="http://www.w3.org/2001/XMLSchema" xmlns:p="http://schemas.microsoft.com/office/2006/metadata/properties" xmlns:ns2="e7a51fb7-b3aa-419c-9d25-406182a33872" xmlns:ns3="25a5143f-f81e-4bc1-bea8-47b672eb1f75" targetNamespace="http://schemas.microsoft.com/office/2006/metadata/properties" ma:root="true" ma:fieldsID="28d1ef2179197b1199ba2467c4c11826" ns2:_="" ns3:_="">
    <xsd:import namespace="e7a51fb7-b3aa-419c-9d25-406182a33872"/>
    <xsd:import namespace="25a5143f-f81e-4bc1-bea8-47b672eb1f75"/>
    <xsd:element name="properties">
      <xsd:complexType>
        <xsd:sequence>
          <xsd:element name="documentManagement">
            <xsd:complexType>
              <xsd:all>
                <xsd:element ref="ns2:DocStatus" minOccurs="0"/>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a51fb7-b3aa-419c-9d25-406182a33872" elementFormDefault="qualified">
    <xsd:import namespace="http://schemas.microsoft.com/office/2006/documentManagement/types"/>
    <xsd:import namespace="http://schemas.microsoft.com/office/infopath/2007/PartnerControls"/>
    <xsd:element name="DocStatus" ma:index="8" nillable="true" ma:displayName="DocStatus" ma:format="Dropdown" ma:internalName="DocStatus">
      <xsd:simpleType>
        <xsd:restriction base="dms:Choice">
          <xsd:enumeration value="Draft"/>
          <xsd:enumeration value="Final"/>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5a5143f-f81e-4bc1-bea8-47b672eb1f7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E0BE11-AA97-43C9-8D05-109BE72D397B}">
  <ds:schemaRefs>
    <ds:schemaRef ds:uri="http://schemas.microsoft.com/office/2006/metadata/properties"/>
    <ds:schemaRef ds:uri="http://schemas.microsoft.com/office/infopath/2007/PartnerControls"/>
    <ds:schemaRef ds:uri="e7a51fb7-b3aa-419c-9d25-406182a33872"/>
  </ds:schemaRefs>
</ds:datastoreItem>
</file>

<file path=customXml/itemProps2.xml><?xml version="1.0" encoding="utf-8"?>
<ds:datastoreItem xmlns:ds="http://schemas.openxmlformats.org/officeDocument/2006/customXml" ds:itemID="{7529BE00-2F41-44F2-A7A5-13A2BE49D5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a51fb7-b3aa-419c-9d25-406182a33872"/>
    <ds:schemaRef ds:uri="25a5143f-f81e-4bc1-bea8-47b672eb1f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7429791-9126-4A91-A62C-A118C5F9150A}">
  <ds:schemaRefs>
    <ds:schemaRef ds:uri="http://schemas.microsoft.com/sharepoint/v3/contenttype/forms"/>
  </ds:schemaRefs>
</ds:datastoreItem>
</file>

<file path=customXml/itemProps4.xml><?xml version="1.0" encoding="utf-8"?>
<ds:datastoreItem xmlns:ds="http://schemas.openxmlformats.org/officeDocument/2006/customXml" ds:itemID="{CB9A8415-2846-0C48-AB2F-938EED70F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TotalTime>
  <Pages>154</Pages>
  <Words>33687</Words>
  <Characters>172481</Characters>
  <Application>Microsoft Office Word</Application>
  <DocSecurity>8</DocSecurity>
  <Lines>6160</Lines>
  <Paragraphs>1732</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European Agency Statistics on Inclusive Education: 2018 Dataset Cross-Country Report</vt:lpstr>
      <vt:lpstr/>
    </vt:vector>
  </TitlesOfParts>
  <Manager/>
  <Company>European Agency for Special Needs and Inclusive Education</Company>
  <LinksUpToDate>false</LinksUpToDate>
  <CharactersWithSpaces>204436</CharactersWithSpaces>
  <SharedDoc>false</SharedDoc>
  <HyperlinkBase/>
  <HLinks>
    <vt:vector size="612" baseType="variant">
      <vt:variant>
        <vt:i4>5898314</vt:i4>
      </vt:variant>
      <vt:variant>
        <vt:i4>837</vt:i4>
      </vt:variant>
      <vt:variant>
        <vt:i4>0</vt:i4>
      </vt:variant>
      <vt:variant>
        <vt:i4>5</vt:i4>
      </vt:variant>
      <vt:variant>
        <vt:lpwstr>https://www.european-agency.org/data/country-data-and-background-information</vt:lpwstr>
      </vt:variant>
      <vt:variant>
        <vt:lpwstr/>
      </vt:variant>
      <vt:variant>
        <vt:i4>1900573</vt:i4>
      </vt:variant>
      <vt:variant>
        <vt:i4>834</vt:i4>
      </vt:variant>
      <vt:variant>
        <vt:i4>0</vt:i4>
      </vt:variant>
      <vt:variant>
        <vt:i4>5</vt:i4>
      </vt:variant>
      <vt:variant>
        <vt:lpwstr/>
      </vt:variant>
      <vt:variant>
        <vt:lpwstr>ch3section3b</vt:lpwstr>
      </vt:variant>
      <vt:variant>
        <vt:i4>5898314</vt:i4>
      </vt:variant>
      <vt:variant>
        <vt:i4>795</vt:i4>
      </vt:variant>
      <vt:variant>
        <vt:i4>0</vt:i4>
      </vt:variant>
      <vt:variant>
        <vt:i4>5</vt:i4>
      </vt:variant>
      <vt:variant>
        <vt:lpwstr>https://www.european-agency.org/data/country-data-and-background-information</vt:lpwstr>
      </vt:variant>
      <vt:variant>
        <vt:lpwstr/>
      </vt:variant>
      <vt:variant>
        <vt:i4>5898314</vt:i4>
      </vt:variant>
      <vt:variant>
        <vt:i4>711</vt:i4>
      </vt:variant>
      <vt:variant>
        <vt:i4>0</vt:i4>
      </vt:variant>
      <vt:variant>
        <vt:i4>5</vt:i4>
      </vt:variant>
      <vt:variant>
        <vt:lpwstr>https://www.european-agency.org/data/country-data-and-background-information</vt:lpwstr>
      </vt:variant>
      <vt:variant>
        <vt:lpwstr/>
      </vt:variant>
      <vt:variant>
        <vt:i4>1900572</vt:i4>
      </vt:variant>
      <vt:variant>
        <vt:i4>708</vt:i4>
      </vt:variant>
      <vt:variant>
        <vt:i4>0</vt:i4>
      </vt:variant>
      <vt:variant>
        <vt:i4>5</vt:i4>
      </vt:variant>
      <vt:variant>
        <vt:lpwstr/>
      </vt:variant>
      <vt:variant>
        <vt:lpwstr>ch2section3b</vt:lpwstr>
      </vt:variant>
      <vt:variant>
        <vt:i4>5898314</vt:i4>
      </vt:variant>
      <vt:variant>
        <vt:i4>645</vt:i4>
      </vt:variant>
      <vt:variant>
        <vt:i4>0</vt:i4>
      </vt:variant>
      <vt:variant>
        <vt:i4>5</vt:i4>
      </vt:variant>
      <vt:variant>
        <vt:lpwstr>https://www.european-agency.org/data/country-data-and-background-information</vt:lpwstr>
      </vt:variant>
      <vt:variant>
        <vt:lpwstr/>
      </vt:variant>
      <vt:variant>
        <vt:i4>5898314</vt:i4>
      </vt:variant>
      <vt:variant>
        <vt:i4>573</vt:i4>
      </vt:variant>
      <vt:variant>
        <vt:i4>0</vt:i4>
      </vt:variant>
      <vt:variant>
        <vt:i4>5</vt:i4>
      </vt:variant>
      <vt:variant>
        <vt:lpwstr>https://www.european-agency.org/data/country-data-and-background-information</vt:lpwstr>
      </vt:variant>
      <vt:variant>
        <vt:lpwstr/>
      </vt:variant>
      <vt:variant>
        <vt:i4>5046295</vt:i4>
      </vt:variant>
      <vt:variant>
        <vt:i4>570</vt:i4>
      </vt:variant>
      <vt:variant>
        <vt:i4>0</vt:i4>
      </vt:variant>
      <vt:variant>
        <vt:i4>5</vt:i4>
      </vt:variant>
      <vt:variant>
        <vt:lpwstr/>
      </vt:variant>
      <vt:variant>
        <vt:lpwstr>section3b</vt:lpwstr>
      </vt:variant>
      <vt:variant>
        <vt:i4>5898314</vt:i4>
      </vt:variant>
      <vt:variant>
        <vt:i4>531</vt:i4>
      </vt:variant>
      <vt:variant>
        <vt:i4>0</vt:i4>
      </vt:variant>
      <vt:variant>
        <vt:i4>5</vt:i4>
      </vt:variant>
      <vt:variant>
        <vt:lpwstr>https://www.european-agency.org/data/country-data-and-background-information</vt:lpwstr>
      </vt:variant>
      <vt:variant>
        <vt:lpwstr/>
      </vt:variant>
      <vt:variant>
        <vt:i4>589846</vt:i4>
      </vt:variant>
      <vt:variant>
        <vt:i4>507</vt:i4>
      </vt:variant>
      <vt:variant>
        <vt:i4>0</vt:i4>
      </vt:variant>
      <vt:variant>
        <vt:i4>5</vt:i4>
      </vt:variant>
      <vt:variant>
        <vt:lpwstr/>
      </vt:variant>
      <vt:variant>
        <vt:lpwstr>appendix1</vt:lpwstr>
      </vt:variant>
      <vt:variant>
        <vt:i4>5046295</vt:i4>
      </vt:variant>
      <vt:variant>
        <vt:i4>504</vt:i4>
      </vt:variant>
      <vt:variant>
        <vt:i4>0</vt:i4>
      </vt:variant>
      <vt:variant>
        <vt:i4>5</vt:i4>
      </vt:variant>
      <vt:variant>
        <vt:lpwstr/>
      </vt:variant>
      <vt:variant>
        <vt:lpwstr>section3</vt:lpwstr>
      </vt:variant>
      <vt:variant>
        <vt:i4>4980759</vt:i4>
      </vt:variant>
      <vt:variant>
        <vt:i4>501</vt:i4>
      </vt:variant>
      <vt:variant>
        <vt:i4>0</vt:i4>
      </vt:variant>
      <vt:variant>
        <vt:i4>5</vt:i4>
      </vt:variant>
      <vt:variant>
        <vt:lpwstr/>
      </vt:variant>
      <vt:variant>
        <vt:lpwstr>section2</vt:lpwstr>
      </vt:variant>
      <vt:variant>
        <vt:i4>5177367</vt:i4>
      </vt:variant>
      <vt:variant>
        <vt:i4>498</vt:i4>
      </vt:variant>
      <vt:variant>
        <vt:i4>0</vt:i4>
      </vt:variant>
      <vt:variant>
        <vt:i4>5</vt:i4>
      </vt:variant>
      <vt:variant>
        <vt:lpwstr/>
      </vt:variant>
      <vt:variant>
        <vt:lpwstr>section1</vt:lpwstr>
      </vt:variant>
      <vt:variant>
        <vt:i4>5898314</vt:i4>
      </vt:variant>
      <vt:variant>
        <vt:i4>495</vt:i4>
      </vt:variant>
      <vt:variant>
        <vt:i4>0</vt:i4>
      </vt:variant>
      <vt:variant>
        <vt:i4>5</vt:i4>
      </vt:variant>
      <vt:variant>
        <vt:lpwstr>https://www.european-agency.org/data/country-data-and-background-information</vt:lpwstr>
      </vt:variant>
      <vt:variant>
        <vt:lpwstr/>
      </vt:variant>
      <vt:variant>
        <vt:i4>5898314</vt:i4>
      </vt:variant>
      <vt:variant>
        <vt:i4>492</vt:i4>
      </vt:variant>
      <vt:variant>
        <vt:i4>0</vt:i4>
      </vt:variant>
      <vt:variant>
        <vt:i4>5</vt:i4>
      </vt:variant>
      <vt:variant>
        <vt:lpwstr>https://www.european-agency.org/data/country-data-and-background-information</vt:lpwstr>
      </vt:variant>
      <vt:variant>
        <vt:lpwstr/>
      </vt:variant>
      <vt:variant>
        <vt:i4>5898314</vt:i4>
      </vt:variant>
      <vt:variant>
        <vt:i4>489</vt:i4>
      </vt:variant>
      <vt:variant>
        <vt:i4>0</vt:i4>
      </vt:variant>
      <vt:variant>
        <vt:i4>5</vt:i4>
      </vt:variant>
      <vt:variant>
        <vt:lpwstr>https://www.european-agency.org/data/country-data-and-background-information</vt:lpwstr>
      </vt:variant>
      <vt:variant>
        <vt:lpwstr/>
      </vt:variant>
      <vt:variant>
        <vt:i4>5046275</vt:i4>
      </vt:variant>
      <vt:variant>
        <vt:i4>486</vt:i4>
      </vt:variant>
      <vt:variant>
        <vt:i4>0</vt:i4>
      </vt:variant>
      <vt:variant>
        <vt:i4>5</vt:i4>
      </vt:variant>
      <vt:variant>
        <vt:lpwstr>https://www.european-agency.org/data</vt:lpwstr>
      </vt:variant>
      <vt:variant>
        <vt:lpwstr/>
      </vt:variant>
      <vt:variant>
        <vt:i4>7012453</vt:i4>
      </vt:variant>
      <vt:variant>
        <vt:i4>483</vt:i4>
      </vt:variant>
      <vt:variant>
        <vt:i4>0</vt:i4>
      </vt:variant>
      <vt:variant>
        <vt:i4>5</vt:i4>
      </vt:variant>
      <vt:variant>
        <vt:lpwstr>https://www.european-agency.org/data/list-data-experts</vt:lpwstr>
      </vt:variant>
      <vt:variant>
        <vt:lpwstr/>
      </vt:variant>
      <vt:variant>
        <vt:i4>2752544</vt:i4>
      </vt:variant>
      <vt:variant>
        <vt:i4>480</vt:i4>
      </vt:variant>
      <vt:variant>
        <vt:i4>0</vt:i4>
      </vt:variant>
      <vt:variant>
        <vt:i4>5</vt:i4>
      </vt:variant>
      <vt:variant>
        <vt:lpwstr>https://www.european-agency.org/data/cross-country-reports</vt:lpwstr>
      </vt:variant>
      <vt:variant>
        <vt:lpwstr/>
      </vt:variant>
      <vt:variant>
        <vt:i4>1769547</vt:i4>
      </vt:variant>
      <vt:variant>
        <vt:i4>477</vt:i4>
      </vt:variant>
      <vt:variant>
        <vt:i4>0</vt:i4>
      </vt:variant>
      <vt:variant>
        <vt:i4>5</vt:i4>
      </vt:variant>
      <vt:variant>
        <vt:lpwstr>https://www.european-agency.org/resources/publications/european-agency-statistics-inclusive-education-2014-dataset-cross-country</vt:lpwstr>
      </vt:variant>
      <vt:variant>
        <vt:lpwstr/>
      </vt:variant>
      <vt:variant>
        <vt:i4>5046275</vt:i4>
      </vt:variant>
      <vt:variant>
        <vt:i4>474</vt:i4>
      </vt:variant>
      <vt:variant>
        <vt:i4>0</vt:i4>
      </vt:variant>
      <vt:variant>
        <vt:i4>5</vt:i4>
      </vt:variant>
      <vt:variant>
        <vt:lpwstr>https://www.european-agency.org/data</vt:lpwstr>
      </vt:variant>
      <vt:variant>
        <vt:lpwstr/>
      </vt:variant>
      <vt:variant>
        <vt:i4>3276905</vt:i4>
      </vt:variant>
      <vt:variant>
        <vt:i4>471</vt:i4>
      </vt:variant>
      <vt:variant>
        <vt:i4>0</vt:i4>
      </vt:variant>
      <vt:variant>
        <vt:i4>5</vt:i4>
      </vt:variant>
      <vt:variant>
        <vt:lpwstr>https://www.european-agency.org/data/methodology-report</vt:lpwstr>
      </vt:variant>
      <vt:variant>
        <vt:lpwstr/>
      </vt:variant>
      <vt:variant>
        <vt:i4>1966129</vt:i4>
      </vt:variant>
      <vt:variant>
        <vt:i4>464</vt:i4>
      </vt:variant>
      <vt:variant>
        <vt:i4>0</vt:i4>
      </vt:variant>
      <vt:variant>
        <vt:i4>5</vt:i4>
      </vt:variant>
      <vt:variant>
        <vt:lpwstr/>
      </vt:variant>
      <vt:variant>
        <vt:lpwstr>_Toc35943088</vt:lpwstr>
      </vt:variant>
      <vt:variant>
        <vt:i4>1114161</vt:i4>
      </vt:variant>
      <vt:variant>
        <vt:i4>458</vt:i4>
      </vt:variant>
      <vt:variant>
        <vt:i4>0</vt:i4>
      </vt:variant>
      <vt:variant>
        <vt:i4>5</vt:i4>
      </vt:variant>
      <vt:variant>
        <vt:lpwstr/>
      </vt:variant>
      <vt:variant>
        <vt:lpwstr>_Toc35943087</vt:lpwstr>
      </vt:variant>
      <vt:variant>
        <vt:i4>1048625</vt:i4>
      </vt:variant>
      <vt:variant>
        <vt:i4>452</vt:i4>
      </vt:variant>
      <vt:variant>
        <vt:i4>0</vt:i4>
      </vt:variant>
      <vt:variant>
        <vt:i4>5</vt:i4>
      </vt:variant>
      <vt:variant>
        <vt:lpwstr/>
      </vt:variant>
      <vt:variant>
        <vt:lpwstr>_Toc35943086</vt:lpwstr>
      </vt:variant>
      <vt:variant>
        <vt:i4>1245233</vt:i4>
      </vt:variant>
      <vt:variant>
        <vt:i4>446</vt:i4>
      </vt:variant>
      <vt:variant>
        <vt:i4>0</vt:i4>
      </vt:variant>
      <vt:variant>
        <vt:i4>5</vt:i4>
      </vt:variant>
      <vt:variant>
        <vt:lpwstr/>
      </vt:variant>
      <vt:variant>
        <vt:lpwstr>_Toc35943085</vt:lpwstr>
      </vt:variant>
      <vt:variant>
        <vt:i4>1179697</vt:i4>
      </vt:variant>
      <vt:variant>
        <vt:i4>440</vt:i4>
      </vt:variant>
      <vt:variant>
        <vt:i4>0</vt:i4>
      </vt:variant>
      <vt:variant>
        <vt:i4>5</vt:i4>
      </vt:variant>
      <vt:variant>
        <vt:lpwstr/>
      </vt:variant>
      <vt:variant>
        <vt:lpwstr>_Toc35943084</vt:lpwstr>
      </vt:variant>
      <vt:variant>
        <vt:i4>1376305</vt:i4>
      </vt:variant>
      <vt:variant>
        <vt:i4>434</vt:i4>
      </vt:variant>
      <vt:variant>
        <vt:i4>0</vt:i4>
      </vt:variant>
      <vt:variant>
        <vt:i4>5</vt:i4>
      </vt:variant>
      <vt:variant>
        <vt:lpwstr/>
      </vt:variant>
      <vt:variant>
        <vt:lpwstr>_Toc35943083</vt:lpwstr>
      </vt:variant>
      <vt:variant>
        <vt:i4>1310769</vt:i4>
      </vt:variant>
      <vt:variant>
        <vt:i4>428</vt:i4>
      </vt:variant>
      <vt:variant>
        <vt:i4>0</vt:i4>
      </vt:variant>
      <vt:variant>
        <vt:i4>5</vt:i4>
      </vt:variant>
      <vt:variant>
        <vt:lpwstr/>
      </vt:variant>
      <vt:variant>
        <vt:lpwstr>_Toc35943082</vt:lpwstr>
      </vt:variant>
      <vt:variant>
        <vt:i4>1507377</vt:i4>
      </vt:variant>
      <vt:variant>
        <vt:i4>422</vt:i4>
      </vt:variant>
      <vt:variant>
        <vt:i4>0</vt:i4>
      </vt:variant>
      <vt:variant>
        <vt:i4>5</vt:i4>
      </vt:variant>
      <vt:variant>
        <vt:lpwstr/>
      </vt:variant>
      <vt:variant>
        <vt:lpwstr>_Toc35943081</vt:lpwstr>
      </vt:variant>
      <vt:variant>
        <vt:i4>1441841</vt:i4>
      </vt:variant>
      <vt:variant>
        <vt:i4>416</vt:i4>
      </vt:variant>
      <vt:variant>
        <vt:i4>0</vt:i4>
      </vt:variant>
      <vt:variant>
        <vt:i4>5</vt:i4>
      </vt:variant>
      <vt:variant>
        <vt:lpwstr/>
      </vt:variant>
      <vt:variant>
        <vt:lpwstr>_Toc35943080</vt:lpwstr>
      </vt:variant>
      <vt:variant>
        <vt:i4>2031678</vt:i4>
      </vt:variant>
      <vt:variant>
        <vt:i4>410</vt:i4>
      </vt:variant>
      <vt:variant>
        <vt:i4>0</vt:i4>
      </vt:variant>
      <vt:variant>
        <vt:i4>5</vt:i4>
      </vt:variant>
      <vt:variant>
        <vt:lpwstr/>
      </vt:variant>
      <vt:variant>
        <vt:lpwstr>_Toc35943079</vt:lpwstr>
      </vt:variant>
      <vt:variant>
        <vt:i4>1966142</vt:i4>
      </vt:variant>
      <vt:variant>
        <vt:i4>404</vt:i4>
      </vt:variant>
      <vt:variant>
        <vt:i4>0</vt:i4>
      </vt:variant>
      <vt:variant>
        <vt:i4>5</vt:i4>
      </vt:variant>
      <vt:variant>
        <vt:lpwstr/>
      </vt:variant>
      <vt:variant>
        <vt:lpwstr>_Toc35943078</vt:lpwstr>
      </vt:variant>
      <vt:variant>
        <vt:i4>1114174</vt:i4>
      </vt:variant>
      <vt:variant>
        <vt:i4>398</vt:i4>
      </vt:variant>
      <vt:variant>
        <vt:i4>0</vt:i4>
      </vt:variant>
      <vt:variant>
        <vt:i4>5</vt:i4>
      </vt:variant>
      <vt:variant>
        <vt:lpwstr/>
      </vt:variant>
      <vt:variant>
        <vt:lpwstr>_Toc35943077</vt:lpwstr>
      </vt:variant>
      <vt:variant>
        <vt:i4>1048638</vt:i4>
      </vt:variant>
      <vt:variant>
        <vt:i4>392</vt:i4>
      </vt:variant>
      <vt:variant>
        <vt:i4>0</vt:i4>
      </vt:variant>
      <vt:variant>
        <vt:i4>5</vt:i4>
      </vt:variant>
      <vt:variant>
        <vt:lpwstr/>
      </vt:variant>
      <vt:variant>
        <vt:lpwstr>_Toc35943076</vt:lpwstr>
      </vt:variant>
      <vt:variant>
        <vt:i4>1245246</vt:i4>
      </vt:variant>
      <vt:variant>
        <vt:i4>386</vt:i4>
      </vt:variant>
      <vt:variant>
        <vt:i4>0</vt:i4>
      </vt:variant>
      <vt:variant>
        <vt:i4>5</vt:i4>
      </vt:variant>
      <vt:variant>
        <vt:lpwstr/>
      </vt:variant>
      <vt:variant>
        <vt:lpwstr>_Toc35943075</vt:lpwstr>
      </vt:variant>
      <vt:variant>
        <vt:i4>1179710</vt:i4>
      </vt:variant>
      <vt:variant>
        <vt:i4>380</vt:i4>
      </vt:variant>
      <vt:variant>
        <vt:i4>0</vt:i4>
      </vt:variant>
      <vt:variant>
        <vt:i4>5</vt:i4>
      </vt:variant>
      <vt:variant>
        <vt:lpwstr/>
      </vt:variant>
      <vt:variant>
        <vt:lpwstr>_Toc35943074</vt:lpwstr>
      </vt:variant>
      <vt:variant>
        <vt:i4>1376318</vt:i4>
      </vt:variant>
      <vt:variant>
        <vt:i4>374</vt:i4>
      </vt:variant>
      <vt:variant>
        <vt:i4>0</vt:i4>
      </vt:variant>
      <vt:variant>
        <vt:i4>5</vt:i4>
      </vt:variant>
      <vt:variant>
        <vt:lpwstr/>
      </vt:variant>
      <vt:variant>
        <vt:lpwstr>_Toc35943073</vt:lpwstr>
      </vt:variant>
      <vt:variant>
        <vt:i4>1310782</vt:i4>
      </vt:variant>
      <vt:variant>
        <vt:i4>368</vt:i4>
      </vt:variant>
      <vt:variant>
        <vt:i4>0</vt:i4>
      </vt:variant>
      <vt:variant>
        <vt:i4>5</vt:i4>
      </vt:variant>
      <vt:variant>
        <vt:lpwstr/>
      </vt:variant>
      <vt:variant>
        <vt:lpwstr>_Toc35943072</vt:lpwstr>
      </vt:variant>
      <vt:variant>
        <vt:i4>1507390</vt:i4>
      </vt:variant>
      <vt:variant>
        <vt:i4>362</vt:i4>
      </vt:variant>
      <vt:variant>
        <vt:i4>0</vt:i4>
      </vt:variant>
      <vt:variant>
        <vt:i4>5</vt:i4>
      </vt:variant>
      <vt:variant>
        <vt:lpwstr/>
      </vt:variant>
      <vt:variant>
        <vt:lpwstr>_Toc35943071</vt:lpwstr>
      </vt:variant>
      <vt:variant>
        <vt:i4>1441854</vt:i4>
      </vt:variant>
      <vt:variant>
        <vt:i4>356</vt:i4>
      </vt:variant>
      <vt:variant>
        <vt:i4>0</vt:i4>
      </vt:variant>
      <vt:variant>
        <vt:i4>5</vt:i4>
      </vt:variant>
      <vt:variant>
        <vt:lpwstr/>
      </vt:variant>
      <vt:variant>
        <vt:lpwstr>_Toc35943070</vt:lpwstr>
      </vt:variant>
      <vt:variant>
        <vt:i4>2031679</vt:i4>
      </vt:variant>
      <vt:variant>
        <vt:i4>350</vt:i4>
      </vt:variant>
      <vt:variant>
        <vt:i4>0</vt:i4>
      </vt:variant>
      <vt:variant>
        <vt:i4>5</vt:i4>
      </vt:variant>
      <vt:variant>
        <vt:lpwstr/>
      </vt:variant>
      <vt:variant>
        <vt:lpwstr>_Toc35943069</vt:lpwstr>
      </vt:variant>
      <vt:variant>
        <vt:i4>1966143</vt:i4>
      </vt:variant>
      <vt:variant>
        <vt:i4>344</vt:i4>
      </vt:variant>
      <vt:variant>
        <vt:i4>0</vt:i4>
      </vt:variant>
      <vt:variant>
        <vt:i4>5</vt:i4>
      </vt:variant>
      <vt:variant>
        <vt:lpwstr/>
      </vt:variant>
      <vt:variant>
        <vt:lpwstr>_Toc35943068</vt:lpwstr>
      </vt:variant>
      <vt:variant>
        <vt:i4>1114175</vt:i4>
      </vt:variant>
      <vt:variant>
        <vt:i4>338</vt:i4>
      </vt:variant>
      <vt:variant>
        <vt:i4>0</vt:i4>
      </vt:variant>
      <vt:variant>
        <vt:i4>5</vt:i4>
      </vt:variant>
      <vt:variant>
        <vt:lpwstr/>
      </vt:variant>
      <vt:variant>
        <vt:lpwstr>_Toc35943067</vt:lpwstr>
      </vt:variant>
      <vt:variant>
        <vt:i4>1048639</vt:i4>
      </vt:variant>
      <vt:variant>
        <vt:i4>332</vt:i4>
      </vt:variant>
      <vt:variant>
        <vt:i4>0</vt:i4>
      </vt:variant>
      <vt:variant>
        <vt:i4>5</vt:i4>
      </vt:variant>
      <vt:variant>
        <vt:lpwstr/>
      </vt:variant>
      <vt:variant>
        <vt:lpwstr>_Toc35943066</vt:lpwstr>
      </vt:variant>
      <vt:variant>
        <vt:i4>1245247</vt:i4>
      </vt:variant>
      <vt:variant>
        <vt:i4>326</vt:i4>
      </vt:variant>
      <vt:variant>
        <vt:i4>0</vt:i4>
      </vt:variant>
      <vt:variant>
        <vt:i4>5</vt:i4>
      </vt:variant>
      <vt:variant>
        <vt:lpwstr/>
      </vt:variant>
      <vt:variant>
        <vt:lpwstr>_Toc35943065</vt:lpwstr>
      </vt:variant>
      <vt:variant>
        <vt:i4>1179711</vt:i4>
      </vt:variant>
      <vt:variant>
        <vt:i4>320</vt:i4>
      </vt:variant>
      <vt:variant>
        <vt:i4>0</vt:i4>
      </vt:variant>
      <vt:variant>
        <vt:i4>5</vt:i4>
      </vt:variant>
      <vt:variant>
        <vt:lpwstr/>
      </vt:variant>
      <vt:variant>
        <vt:lpwstr>_Toc35943064</vt:lpwstr>
      </vt:variant>
      <vt:variant>
        <vt:i4>1376319</vt:i4>
      </vt:variant>
      <vt:variant>
        <vt:i4>314</vt:i4>
      </vt:variant>
      <vt:variant>
        <vt:i4>0</vt:i4>
      </vt:variant>
      <vt:variant>
        <vt:i4>5</vt:i4>
      </vt:variant>
      <vt:variant>
        <vt:lpwstr/>
      </vt:variant>
      <vt:variant>
        <vt:lpwstr>_Toc35943063</vt:lpwstr>
      </vt:variant>
      <vt:variant>
        <vt:i4>1310783</vt:i4>
      </vt:variant>
      <vt:variant>
        <vt:i4>308</vt:i4>
      </vt:variant>
      <vt:variant>
        <vt:i4>0</vt:i4>
      </vt:variant>
      <vt:variant>
        <vt:i4>5</vt:i4>
      </vt:variant>
      <vt:variant>
        <vt:lpwstr/>
      </vt:variant>
      <vt:variant>
        <vt:lpwstr>_Toc35943062</vt:lpwstr>
      </vt:variant>
      <vt:variant>
        <vt:i4>1507391</vt:i4>
      </vt:variant>
      <vt:variant>
        <vt:i4>302</vt:i4>
      </vt:variant>
      <vt:variant>
        <vt:i4>0</vt:i4>
      </vt:variant>
      <vt:variant>
        <vt:i4>5</vt:i4>
      </vt:variant>
      <vt:variant>
        <vt:lpwstr/>
      </vt:variant>
      <vt:variant>
        <vt:lpwstr>_Toc35943061</vt:lpwstr>
      </vt:variant>
      <vt:variant>
        <vt:i4>1441855</vt:i4>
      </vt:variant>
      <vt:variant>
        <vt:i4>296</vt:i4>
      </vt:variant>
      <vt:variant>
        <vt:i4>0</vt:i4>
      </vt:variant>
      <vt:variant>
        <vt:i4>5</vt:i4>
      </vt:variant>
      <vt:variant>
        <vt:lpwstr/>
      </vt:variant>
      <vt:variant>
        <vt:lpwstr>_Toc35943060</vt:lpwstr>
      </vt:variant>
      <vt:variant>
        <vt:i4>2031676</vt:i4>
      </vt:variant>
      <vt:variant>
        <vt:i4>290</vt:i4>
      </vt:variant>
      <vt:variant>
        <vt:i4>0</vt:i4>
      </vt:variant>
      <vt:variant>
        <vt:i4>5</vt:i4>
      </vt:variant>
      <vt:variant>
        <vt:lpwstr/>
      </vt:variant>
      <vt:variant>
        <vt:lpwstr>_Toc35943059</vt:lpwstr>
      </vt:variant>
      <vt:variant>
        <vt:i4>1966140</vt:i4>
      </vt:variant>
      <vt:variant>
        <vt:i4>284</vt:i4>
      </vt:variant>
      <vt:variant>
        <vt:i4>0</vt:i4>
      </vt:variant>
      <vt:variant>
        <vt:i4>5</vt:i4>
      </vt:variant>
      <vt:variant>
        <vt:lpwstr/>
      </vt:variant>
      <vt:variant>
        <vt:lpwstr>_Toc35943058</vt:lpwstr>
      </vt:variant>
      <vt:variant>
        <vt:i4>1114172</vt:i4>
      </vt:variant>
      <vt:variant>
        <vt:i4>278</vt:i4>
      </vt:variant>
      <vt:variant>
        <vt:i4>0</vt:i4>
      </vt:variant>
      <vt:variant>
        <vt:i4>5</vt:i4>
      </vt:variant>
      <vt:variant>
        <vt:lpwstr/>
      </vt:variant>
      <vt:variant>
        <vt:lpwstr>_Toc35943057</vt:lpwstr>
      </vt:variant>
      <vt:variant>
        <vt:i4>1048636</vt:i4>
      </vt:variant>
      <vt:variant>
        <vt:i4>272</vt:i4>
      </vt:variant>
      <vt:variant>
        <vt:i4>0</vt:i4>
      </vt:variant>
      <vt:variant>
        <vt:i4>5</vt:i4>
      </vt:variant>
      <vt:variant>
        <vt:lpwstr/>
      </vt:variant>
      <vt:variant>
        <vt:lpwstr>_Toc35943056</vt:lpwstr>
      </vt:variant>
      <vt:variant>
        <vt:i4>1245244</vt:i4>
      </vt:variant>
      <vt:variant>
        <vt:i4>266</vt:i4>
      </vt:variant>
      <vt:variant>
        <vt:i4>0</vt:i4>
      </vt:variant>
      <vt:variant>
        <vt:i4>5</vt:i4>
      </vt:variant>
      <vt:variant>
        <vt:lpwstr/>
      </vt:variant>
      <vt:variant>
        <vt:lpwstr>_Toc35943055</vt:lpwstr>
      </vt:variant>
      <vt:variant>
        <vt:i4>1179708</vt:i4>
      </vt:variant>
      <vt:variant>
        <vt:i4>260</vt:i4>
      </vt:variant>
      <vt:variant>
        <vt:i4>0</vt:i4>
      </vt:variant>
      <vt:variant>
        <vt:i4>5</vt:i4>
      </vt:variant>
      <vt:variant>
        <vt:lpwstr/>
      </vt:variant>
      <vt:variant>
        <vt:lpwstr>_Toc35943054</vt:lpwstr>
      </vt:variant>
      <vt:variant>
        <vt:i4>1376316</vt:i4>
      </vt:variant>
      <vt:variant>
        <vt:i4>254</vt:i4>
      </vt:variant>
      <vt:variant>
        <vt:i4>0</vt:i4>
      </vt:variant>
      <vt:variant>
        <vt:i4>5</vt:i4>
      </vt:variant>
      <vt:variant>
        <vt:lpwstr/>
      </vt:variant>
      <vt:variant>
        <vt:lpwstr>_Toc35943053</vt:lpwstr>
      </vt:variant>
      <vt:variant>
        <vt:i4>1310780</vt:i4>
      </vt:variant>
      <vt:variant>
        <vt:i4>248</vt:i4>
      </vt:variant>
      <vt:variant>
        <vt:i4>0</vt:i4>
      </vt:variant>
      <vt:variant>
        <vt:i4>5</vt:i4>
      </vt:variant>
      <vt:variant>
        <vt:lpwstr/>
      </vt:variant>
      <vt:variant>
        <vt:lpwstr>_Toc35943052</vt:lpwstr>
      </vt:variant>
      <vt:variant>
        <vt:i4>1507388</vt:i4>
      </vt:variant>
      <vt:variant>
        <vt:i4>242</vt:i4>
      </vt:variant>
      <vt:variant>
        <vt:i4>0</vt:i4>
      </vt:variant>
      <vt:variant>
        <vt:i4>5</vt:i4>
      </vt:variant>
      <vt:variant>
        <vt:lpwstr/>
      </vt:variant>
      <vt:variant>
        <vt:lpwstr>_Toc35943051</vt:lpwstr>
      </vt:variant>
      <vt:variant>
        <vt:i4>1441852</vt:i4>
      </vt:variant>
      <vt:variant>
        <vt:i4>236</vt:i4>
      </vt:variant>
      <vt:variant>
        <vt:i4>0</vt:i4>
      </vt:variant>
      <vt:variant>
        <vt:i4>5</vt:i4>
      </vt:variant>
      <vt:variant>
        <vt:lpwstr/>
      </vt:variant>
      <vt:variant>
        <vt:lpwstr>_Toc35943050</vt:lpwstr>
      </vt:variant>
      <vt:variant>
        <vt:i4>2031677</vt:i4>
      </vt:variant>
      <vt:variant>
        <vt:i4>230</vt:i4>
      </vt:variant>
      <vt:variant>
        <vt:i4>0</vt:i4>
      </vt:variant>
      <vt:variant>
        <vt:i4>5</vt:i4>
      </vt:variant>
      <vt:variant>
        <vt:lpwstr/>
      </vt:variant>
      <vt:variant>
        <vt:lpwstr>_Toc35943049</vt:lpwstr>
      </vt:variant>
      <vt:variant>
        <vt:i4>1966141</vt:i4>
      </vt:variant>
      <vt:variant>
        <vt:i4>224</vt:i4>
      </vt:variant>
      <vt:variant>
        <vt:i4>0</vt:i4>
      </vt:variant>
      <vt:variant>
        <vt:i4>5</vt:i4>
      </vt:variant>
      <vt:variant>
        <vt:lpwstr/>
      </vt:variant>
      <vt:variant>
        <vt:lpwstr>_Toc35943048</vt:lpwstr>
      </vt:variant>
      <vt:variant>
        <vt:i4>1114173</vt:i4>
      </vt:variant>
      <vt:variant>
        <vt:i4>218</vt:i4>
      </vt:variant>
      <vt:variant>
        <vt:i4>0</vt:i4>
      </vt:variant>
      <vt:variant>
        <vt:i4>5</vt:i4>
      </vt:variant>
      <vt:variant>
        <vt:lpwstr/>
      </vt:variant>
      <vt:variant>
        <vt:lpwstr>_Toc35943047</vt:lpwstr>
      </vt:variant>
      <vt:variant>
        <vt:i4>1048637</vt:i4>
      </vt:variant>
      <vt:variant>
        <vt:i4>212</vt:i4>
      </vt:variant>
      <vt:variant>
        <vt:i4>0</vt:i4>
      </vt:variant>
      <vt:variant>
        <vt:i4>5</vt:i4>
      </vt:variant>
      <vt:variant>
        <vt:lpwstr/>
      </vt:variant>
      <vt:variant>
        <vt:lpwstr>_Toc35943046</vt:lpwstr>
      </vt:variant>
      <vt:variant>
        <vt:i4>1245245</vt:i4>
      </vt:variant>
      <vt:variant>
        <vt:i4>206</vt:i4>
      </vt:variant>
      <vt:variant>
        <vt:i4>0</vt:i4>
      </vt:variant>
      <vt:variant>
        <vt:i4>5</vt:i4>
      </vt:variant>
      <vt:variant>
        <vt:lpwstr/>
      </vt:variant>
      <vt:variant>
        <vt:lpwstr>_Toc35943045</vt:lpwstr>
      </vt:variant>
      <vt:variant>
        <vt:i4>1179709</vt:i4>
      </vt:variant>
      <vt:variant>
        <vt:i4>200</vt:i4>
      </vt:variant>
      <vt:variant>
        <vt:i4>0</vt:i4>
      </vt:variant>
      <vt:variant>
        <vt:i4>5</vt:i4>
      </vt:variant>
      <vt:variant>
        <vt:lpwstr/>
      </vt:variant>
      <vt:variant>
        <vt:lpwstr>_Toc35943044</vt:lpwstr>
      </vt:variant>
      <vt:variant>
        <vt:i4>1376317</vt:i4>
      </vt:variant>
      <vt:variant>
        <vt:i4>194</vt:i4>
      </vt:variant>
      <vt:variant>
        <vt:i4>0</vt:i4>
      </vt:variant>
      <vt:variant>
        <vt:i4>5</vt:i4>
      </vt:variant>
      <vt:variant>
        <vt:lpwstr/>
      </vt:variant>
      <vt:variant>
        <vt:lpwstr>_Toc35943043</vt:lpwstr>
      </vt:variant>
      <vt:variant>
        <vt:i4>1310781</vt:i4>
      </vt:variant>
      <vt:variant>
        <vt:i4>188</vt:i4>
      </vt:variant>
      <vt:variant>
        <vt:i4>0</vt:i4>
      </vt:variant>
      <vt:variant>
        <vt:i4>5</vt:i4>
      </vt:variant>
      <vt:variant>
        <vt:lpwstr/>
      </vt:variant>
      <vt:variant>
        <vt:lpwstr>_Toc35943042</vt:lpwstr>
      </vt:variant>
      <vt:variant>
        <vt:i4>1507389</vt:i4>
      </vt:variant>
      <vt:variant>
        <vt:i4>182</vt:i4>
      </vt:variant>
      <vt:variant>
        <vt:i4>0</vt:i4>
      </vt:variant>
      <vt:variant>
        <vt:i4>5</vt:i4>
      </vt:variant>
      <vt:variant>
        <vt:lpwstr/>
      </vt:variant>
      <vt:variant>
        <vt:lpwstr>_Toc35943041</vt:lpwstr>
      </vt:variant>
      <vt:variant>
        <vt:i4>1441853</vt:i4>
      </vt:variant>
      <vt:variant>
        <vt:i4>176</vt:i4>
      </vt:variant>
      <vt:variant>
        <vt:i4>0</vt:i4>
      </vt:variant>
      <vt:variant>
        <vt:i4>5</vt:i4>
      </vt:variant>
      <vt:variant>
        <vt:lpwstr/>
      </vt:variant>
      <vt:variant>
        <vt:lpwstr>_Toc35943040</vt:lpwstr>
      </vt:variant>
      <vt:variant>
        <vt:i4>2031674</vt:i4>
      </vt:variant>
      <vt:variant>
        <vt:i4>170</vt:i4>
      </vt:variant>
      <vt:variant>
        <vt:i4>0</vt:i4>
      </vt:variant>
      <vt:variant>
        <vt:i4>5</vt:i4>
      </vt:variant>
      <vt:variant>
        <vt:lpwstr/>
      </vt:variant>
      <vt:variant>
        <vt:lpwstr>_Toc35943039</vt:lpwstr>
      </vt:variant>
      <vt:variant>
        <vt:i4>1966138</vt:i4>
      </vt:variant>
      <vt:variant>
        <vt:i4>164</vt:i4>
      </vt:variant>
      <vt:variant>
        <vt:i4>0</vt:i4>
      </vt:variant>
      <vt:variant>
        <vt:i4>5</vt:i4>
      </vt:variant>
      <vt:variant>
        <vt:lpwstr/>
      </vt:variant>
      <vt:variant>
        <vt:lpwstr>_Toc35943038</vt:lpwstr>
      </vt:variant>
      <vt:variant>
        <vt:i4>1114170</vt:i4>
      </vt:variant>
      <vt:variant>
        <vt:i4>158</vt:i4>
      </vt:variant>
      <vt:variant>
        <vt:i4>0</vt:i4>
      </vt:variant>
      <vt:variant>
        <vt:i4>5</vt:i4>
      </vt:variant>
      <vt:variant>
        <vt:lpwstr/>
      </vt:variant>
      <vt:variant>
        <vt:lpwstr>_Toc35943037</vt:lpwstr>
      </vt:variant>
      <vt:variant>
        <vt:i4>1048634</vt:i4>
      </vt:variant>
      <vt:variant>
        <vt:i4>152</vt:i4>
      </vt:variant>
      <vt:variant>
        <vt:i4>0</vt:i4>
      </vt:variant>
      <vt:variant>
        <vt:i4>5</vt:i4>
      </vt:variant>
      <vt:variant>
        <vt:lpwstr/>
      </vt:variant>
      <vt:variant>
        <vt:lpwstr>_Toc35943036</vt:lpwstr>
      </vt:variant>
      <vt:variant>
        <vt:i4>1245242</vt:i4>
      </vt:variant>
      <vt:variant>
        <vt:i4>146</vt:i4>
      </vt:variant>
      <vt:variant>
        <vt:i4>0</vt:i4>
      </vt:variant>
      <vt:variant>
        <vt:i4>5</vt:i4>
      </vt:variant>
      <vt:variant>
        <vt:lpwstr/>
      </vt:variant>
      <vt:variant>
        <vt:lpwstr>_Toc35943035</vt:lpwstr>
      </vt:variant>
      <vt:variant>
        <vt:i4>1179706</vt:i4>
      </vt:variant>
      <vt:variant>
        <vt:i4>140</vt:i4>
      </vt:variant>
      <vt:variant>
        <vt:i4>0</vt:i4>
      </vt:variant>
      <vt:variant>
        <vt:i4>5</vt:i4>
      </vt:variant>
      <vt:variant>
        <vt:lpwstr/>
      </vt:variant>
      <vt:variant>
        <vt:lpwstr>_Toc35943034</vt:lpwstr>
      </vt:variant>
      <vt:variant>
        <vt:i4>1376314</vt:i4>
      </vt:variant>
      <vt:variant>
        <vt:i4>134</vt:i4>
      </vt:variant>
      <vt:variant>
        <vt:i4>0</vt:i4>
      </vt:variant>
      <vt:variant>
        <vt:i4>5</vt:i4>
      </vt:variant>
      <vt:variant>
        <vt:lpwstr/>
      </vt:variant>
      <vt:variant>
        <vt:lpwstr>_Toc35943033</vt:lpwstr>
      </vt:variant>
      <vt:variant>
        <vt:i4>1310778</vt:i4>
      </vt:variant>
      <vt:variant>
        <vt:i4>128</vt:i4>
      </vt:variant>
      <vt:variant>
        <vt:i4>0</vt:i4>
      </vt:variant>
      <vt:variant>
        <vt:i4>5</vt:i4>
      </vt:variant>
      <vt:variant>
        <vt:lpwstr/>
      </vt:variant>
      <vt:variant>
        <vt:lpwstr>_Toc35943032</vt:lpwstr>
      </vt:variant>
      <vt:variant>
        <vt:i4>1507386</vt:i4>
      </vt:variant>
      <vt:variant>
        <vt:i4>122</vt:i4>
      </vt:variant>
      <vt:variant>
        <vt:i4>0</vt:i4>
      </vt:variant>
      <vt:variant>
        <vt:i4>5</vt:i4>
      </vt:variant>
      <vt:variant>
        <vt:lpwstr/>
      </vt:variant>
      <vt:variant>
        <vt:lpwstr>_Toc35943031</vt:lpwstr>
      </vt:variant>
      <vt:variant>
        <vt:i4>1441850</vt:i4>
      </vt:variant>
      <vt:variant>
        <vt:i4>116</vt:i4>
      </vt:variant>
      <vt:variant>
        <vt:i4>0</vt:i4>
      </vt:variant>
      <vt:variant>
        <vt:i4>5</vt:i4>
      </vt:variant>
      <vt:variant>
        <vt:lpwstr/>
      </vt:variant>
      <vt:variant>
        <vt:lpwstr>_Toc35943030</vt:lpwstr>
      </vt:variant>
      <vt:variant>
        <vt:i4>2031675</vt:i4>
      </vt:variant>
      <vt:variant>
        <vt:i4>110</vt:i4>
      </vt:variant>
      <vt:variant>
        <vt:i4>0</vt:i4>
      </vt:variant>
      <vt:variant>
        <vt:i4>5</vt:i4>
      </vt:variant>
      <vt:variant>
        <vt:lpwstr/>
      </vt:variant>
      <vt:variant>
        <vt:lpwstr>_Toc35943029</vt:lpwstr>
      </vt:variant>
      <vt:variant>
        <vt:i4>1966139</vt:i4>
      </vt:variant>
      <vt:variant>
        <vt:i4>104</vt:i4>
      </vt:variant>
      <vt:variant>
        <vt:i4>0</vt:i4>
      </vt:variant>
      <vt:variant>
        <vt:i4>5</vt:i4>
      </vt:variant>
      <vt:variant>
        <vt:lpwstr/>
      </vt:variant>
      <vt:variant>
        <vt:lpwstr>_Toc35943028</vt:lpwstr>
      </vt:variant>
      <vt:variant>
        <vt:i4>1114171</vt:i4>
      </vt:variant>
      <vt:variant>
        <vt:i4>98</vt:i4>
      </vt:variant>
      <vt:variant>
        <vt:i4>0</vt:i4>
      </vt:variant>
      <vt:variant>
        <vt:i4>5</vt:i4>
      </vt:variant>
      <vt:variant>
        <vt:lpwstr/>
      </vt:variant>
      <vt:variant>
        <vt:lpwstr>_Toc35943027</vt:lpwstr>
      </vt:variant>
      <vt:variant>
        <vt:i4>1048635</vt:i4>
      </vt:variant>
      <vt:variant>
        <vt:i4>92</vt:i4>
      </vt:variant>
      <vt:variant>
        <vt:i4>0</vt:i4>
      </vt:variant>
      <vt:variant>
        <vt:i4>5</vt:i4>
      </vt:variant>
      <vt:variant>
        <vt:lpwstr/>
      </vt:variant>
      <vt:variant>
        <vt:lpwstr>_Toc35943026</vt:lpwstr>
      </vt:variant>
      <vt:variant>
        <vt:i4>1245243</vt:i4>
      </vt:variant>
      <vt:variant>
        <vt:i4>86</vt:i4>
      </vt:variant>
      <vt:variant>
        <vt:i4>0</vt:i4>
      </vt:variant>
      <vt:variant>
        <vt:i4>5</vt:i4>
      </vt:variant>
      <vt:variant>
        <vt:lpwstr/>
      </vt:variant>
      <vt:variant>
        <vt:lpwstr>_Toc35943025</vt:lpwstr>
      </vt:variant>
      <vt:variant>
        <vt:i4>1179707</vt:i4>
      </vt:variant>
      <vt:variant>
        <vt:i4>80</vt:i4>
      </vt:variant>
      <vt:variant>
        <vt:i4>0</vt:i4>
      </vt:variant>
      <vt:variant>
        <vt:i4>5</vt:i4>
      </vt:variant>
      <vt:variant>
        <vt:lpwstr/>
      </vt:variant>
      <vt:variant>
        <vt:lpwstr>_Toc35943024</vt:lpwstr>
      </vt:variant>
      <vt:variant>
        <vt:i4>1376315</vt:i4>
      </vt:variant>
      <vt:variant>
        <vt:i4>74</vt:i4>
      </vt:variant>
      <vt:variant>
        <vt:i4>0</vt:i4>
      </vt:variant>
      <vt:variant>
        <vt:i4>5</vt:i4>
      </vt:variant>
      <vt:variant>
        <vt:lpwstr/>
      </vt:variant>
      <vt:variant>
        <vt:lpwstr>_Toc35943023</vt:lpwstr>
      </vt:variant>
      <vt:variant>
        <vt:i4>1310779</vt:i4>
      </vt:variant>
      <vt:variant>
        <vt:i4>68</vt:i4>
      </vt:variant>
      <vt:variant>
        <vt:i4>0</vt:i4>
      </vt:variant>
      <vt:variant>
        <vt:i4>5</vt:i4>
      </vt:variant>
      <vt:variant>
        <vt:lpwstr/>
      </vt:variant>
      <vt:variant>
        <vt:lpwstr>_Toc35943022</vt:lpwstr>
      </vt:variant>
      <vt:variant>
        <vt:i4>1507387</vt:i4>
      </vt:variant>
      <vt:variant>
        <vt:i4>62</vt:i4>
      </vt:variant>
      <vt:variant>
        <vt:i4>0</vt:i4>
      </vt:variant>
      <vt:variant>
        <vt:i4>5</vt:i4>
      </vt:variant>
      <vt:variant>
        <vt:lpwstr/>
      </vt:variant>
      <vt:variant>
        <vt:lpwstr>_Toc35943021</vt:lpwstr>
      </vt:variant>
      <vt:variant>
        <vt:i4>1441851</vt:i4>
      </vt:variant>
      <vt:variant>
        <vt:i4>56</vt:i4>
      </vt:variant>
      <vt:variant>
        <vt:i4>0</vt:i4>
      </vt:variant>
      <vt:variant>
        <vt:i4>5</vt:i4>
      </vt:variant>
      <vt:variant>
        <vt:lpwstr/>
      </vt:variant>
      <vt:variant>
        <vt:lpwstr>_Toc35943020</vt:lpwstr>
      </vt:variant>
      <vt:variant>
        <vt:i4>2031672</vt:i4>
      </vt:variant>
      <vt:variant>
        <vt:i4>50</vt:i4>
      </vt:variant>
      <vt:variant>
        <vt:i4>0</vt:i4>
      </vt:variant>
      <vt:variant>
        <vt:i4>5</vt:i4>
      </vt:variant>
      <vt:variant>
        <vt:lpwstr/>
      </vt:variant>
      <vt:variant>
        <vt:lpwstr>_Toc35943019</vt:lpwstr>
      </vt:variant>
      <vt:variant>
        <vt:i4>1966136</vt:i4>
      </vt:variant>
      <vt:variant>
        <vt:i4>44</vt:i4>
      </vt:variant>
      <vt:variant>
        <vt:i4>0</vt:i4>
      </vt:variant>
      <vt:variant>
        <vt:i4>5</vt:i4>
      </vt:variant>
      <vt:variant>
        <vt:lpwstr/>
      </vt:variant>
      <vt:variant>
        <vt:lpwstr>_Toc35943018</vt:lpwstr>
      </vt:variant>
      <vt:variant>
        <vt:i4>1114168</vt:i4>
      </vt:variant>
      <vt:variant>
        <vt:i4>38</vt:i4>
      </vt:variant>
      <vt:variant>
        <vt:i4>0</vt:i4>
      </vt:variant>
      <vt:variant>
        <vt:i4>5</vt:i4>
      </vt:variant>
      <vt:variant>
        <vt:lpwstr/>
      </vt:variant>
      <vt:variant>
        <vt:lpwstr>_Toc35943017</vt:lpwstr>
      </vt:variant>
      <vt:variant>
        <vt:i4>1048632</vt:i4>
      </vt:variant>
      <vt:variant>
        <vt:i4>32</vt:i4>
      </vt:variant>
      <vt:variant>
        <vt:i4>0</vt:i4>
      </vt:variant>
      <vt:variant>
        <vt:i4>5</vt:i4>
      </vt:variant>
      <vt:variant>
        <vt:lpwstr/>
      </vt:variant>
      <vt:variant>
        <vt:lpwstr>_Toc35943016</vt:lpwstr>
      </vt:variant>
      <vt:variant>
        <vt:i4>1245240</vt:i4>
      </vt:variant>
      <vt:variant>
        <vt:i4>26</vt:i4>
      </vt:variant>
      <vt:variant>
        <vt:i4>0</vt:i4>
      </vt:variant>
      <vt:variant>
        <vt:i4>5</vt:i4>
      </vt:variant>
      <vt:variant>
        <vt:lpwstr/>
      </vt:variant>
      <vt:variant>
        <vt:lpwstr>_Toc35943015</vt:lpwstr>
      </vt:variant>
      <vt:variant>
        <vt:i4>1179704</vt:i4>
      </vt:variant>
      <vt:variant>
        <vt:i4>20</vt:i4>
      </vt:variant>
      <vt:variant>
        <vt:i4>0</vt:i4>
      </vt:variant>
      <vt:variant>
        <vt:i4>5</vt:i4>
      </vt:variant>
      <vt:variant>
        <vt:lpwstr/>
      </vt:variant>
      <vt:variant>
        <vt:lpwstr>_Toc35943014</vt:lpwstr>
      </vt:variant>
      <vt:variant>
        <vt:i4>1376312</vt:i4>
      </vt:variant>
      <vt:variant>
        <vt:i4>14</vt:i4>
      </vt:variant>
      <vt:variant>
        <vt:i4>0</vt:i4>
      </vt:variant>
      <vt:variant>
        <vt:i4>5</vt:i4>
      </vt:variant>
      <vt:variant>
        <vt:lpwstr/>
      </vt:variant>
      <vt:variant>
        <vt:lpwstr>_Toc35943013</vt:lpwstr>
      </vt:variant>
      <vt:variant>
        <vt:i4>8192093</vt:i4>
      </vt:variant>
      <vt:variant>
        <vt:i4>9</vt:i4>
      </vt:variant>
      <vt:variant>
        <vt:i4>0</vt:i4>
      </vt:variant>
      <vt:variant>
        <vt:i4>5</vt:i4>
      </vt:variant>
      <vt:variant>
        <vt:lpwstr>mailto:brussels.office@european-agency.org</vt:lpwstr>
      </vt:variant>
      <vt:variant>
        <vt:lpwstr/>
      </vt:variant>
      <vt:variant>
        <vt:i4>3670096</vt:i4>
      </vt:variant>
      <vt:variant>
        <vt:i4>6</vt:i4>
      </vt:variant>
      <vt:variant>
        <vt:i4>0</vt:i4>
      </vt:variant>
      <vt:variant>
        <vt:i4>5</vt:i4>
      </vt:variant>
      <vt:variant>
        <vt:lpwstr>mailto:secretariat@european-agency.org</vt:lpwstr>
      </vt:variant>
      <vt:variant>
        <vt:lpwstr/>
      </vt:variant>
      <vt:variant>
        <vt:i4>7864442</vt:i4>
      </vt:variant>
      <vt:variant>
        <vt:i4>3</vt:i4>
      </vt:variant>
      <vt:variant>
        <vt:i4>0</vt:i4>
      </vt:variant>
      <vt:variant>
        <vt:i4>5</vt:i4>
      </vt:variant>
      <vt:variant>
        <vt:lpwstr>http://www.european-agency.org/</vt:lpwstr>
      </vt:variant>
      <vt:variant>
        <vt:lpwstr/>
      </vt:variant>
      <vt:variant>
        <vt:i4>7864442</vt:i4>
      </vt:variant>
      <vt:variant>
        <vt:i4>0</vt:i4>
      </vt:variant>
      <vt:variant>
        <vt:i4>0</vt:i4>
      </vt:variant>
      <vt:variant>
        <vt:i4>5</vt:i4>
      </vt:variant>
      <vt:variant>
        <vt:lpwstr>http://www.european-agency.org/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European Agency Statistics on Inclusive Education: 2018 Dataset Cross-Country Report</dc:title>
  <dc:subject>European Agency Statistics on Inclusive Education (EASIE)</dc:subject>
  <dc:creator>European Agency for Special Needs and Inclusive Education</dc:creator>
  <cp:keywords>EASNIE</cp:keywords>
  <dc:description/>
  <cp:lastModifiedBy>Áine Wynne</cp:lastModifiedBy>
  <cp:revision>352</cp:revision>
  <dcterms:created xsi:type="dcterms:W3CDTF">2020-03-24T18:43:00Z</dcterms:created>
  <dcterms:modified xsi:type="dcterms:W3CDTF">2020-04-02T16:09:00Z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0x0101001573ADD42424274EBB25F2ECFB629B46</vt:lpwstr>
  </property>
</Properties>
</file>