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8A30" w14:textId="674B4C88" w:rsidR="00534D20" w:rsidRPr="00A71C07" w:rsidRDefault="00AE1692" w:rsidP="00591FE3">
      <w:pPr>
        <w:pStyle w:val="Agency-title"/>
        <w:keepNext w:val="0"/>
        <w:spacing w:before="4000"/>
        <w:rPr>
          <w:rFonts w:cstheme="majorHAnsi"/>
          <w:sz w:val="60"/>
          <w:szCs w:val="60"/>
        </w:rPr>
      </w:pPr>
      <w:r w:rsidRPr="00A71C07">
        <w:rPr>
          <w:rFonts w:cstheme="majorHAnsi"/>
          <w:sz w:val="60"/>
          <w:lang w:bidi="sk-SK"/>
        </w:rPr>
        <w:t>Zmena roly špecialistov pri zabezpečovaní podpory inkluzívneho vzdelávania</w:t>
      </w:r>
    </w:p>
    <w:p w14:paraId="35EF330C" w14:textId="6DEC2449" w:rsidR="002E5B99" w:rsidRPr="00A71C07" w:rsidRDefault="00AE1692" w:rsidP="00591FE3">
      <w:pPr>
        <w:spacing w:before="900" w:after="120"/>
        <w:jc w:val="center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sz w:val="44"/>
          <w:lang w:bidi="sk-SK"/>
        </w:rPr>
        <w:t>Nástroj na samohodnotenie politiky</w:t>
      </w:r>
    </w:p>
    <w:p w14:paraId="1BBD00FA" w14:textId="2C3338D2" w:rsidR="00A4520C" w:rsidRPr="00A71C07" w:rsidRDefault="00BF13BA" w:rsidP="002012F7">
      <w:pPr>
        <w:pStyle w:val="Agency-body-text"/>
        <w:spacing w:before="5600"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A71C07">
        <w:rPr>
          <w:rFonts w:asciiTheme="majorHAnsi" w:hAnsiTheme="majorHAnsi" w:cstheme="majorHAnsi"/>
          <w:b/>
          <w:sz w:val="28"/>
          <w:lang w:bidi="sk-SK"/>
        </w:rPr>
        <w:t>Európska agentúra pre rozvoj špeciálneho a inkluzívneho vzdelávania</w:t>
      </w:r>
      <w:r w:rsidR="009E6E4D" w:rsidRPr="00A71C07">
        <w:rPr>
          <w:rFonts w:asciiTheme="majorHAnsi" w:hAnsiTheme="majorHAnsi" w:cstheme="majorHAnsi"/>
          <w:lang w:bidi="sk-SK"/>
        </w:rPr>
        <w:br w:type="page"/>
      </w:r>
    </w:p>
    <w:p w14:paraId="3CDB30E4" w14:textId="4950679B" w:rsidR="008F777A" w:rsidRPr="00A71C07" w:rsidRDefault="00993A74" w:rsidP="00591FE3">
      <w:pPr>
        <w:spacing w:before="360" w:after="360"/>
        <w:rPr>
          <w:rFonts w:asciiTheme="majorHAnsi" w:hAnsiTheme="majorHAnsi" w:cstheme="majorHAnsi"/>
          <w:color w:val="000000" w:themeColor="text1"/>
          <w:sz w:val="20"/>
        </w:rPr>
        <w:sectPr w:rsidR="008F777A" w:rsidRPr="00A71C07" w:rsidSect="00AE0DD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A71C07">
        <w:rPr>
          <w:rFonts w:asciiTheme="majorHAnsi" w:hAnsiTheme="majorHAnsi" w:cstheme="majorHAnsi"/>
          <w:sz w:val="20"/>
          <w:lang w:bidi="sk-SK"/>
        </w:rPr>
        <w:lastRenderedPageBreak/>
        <w:t>Európska agentúra pre rozvoj špeciálneho a inkluzívneho vzdelávania (agentúra) je nezávislou a samosprávnou organizáciou. Agentúru spolufinancujú ministerstvá školstva jej členských krajín a Európska komisia prostredníctvom operačného grantu v rámci vzdelávacieho programu Európskej únie (EÚ).</w:t>
      </w:r>
    </w:p>
    <w:p w14:paraId="3FEF6BE7" w14:textId="4FCEB695" w:rsidR="00AE0DDC" w:rsidRPr="00A71C07" w:rsidRDefault="00254399" w:rsidP="00591FE3">
      <w:pPr>
        <w:pStyle w:val="Agency-body-text"/>
        <w:spacing w:before="360" w:after="360"/>
        <w:rPr>
          <w:rFonts w:asciiTheme="majorHAnsi" w:hAnsiTheme="majorHAnsi" w:cstheme="majorHAnsi"/>
          <w:sz w:val="20"/>
        </w:rPr>
      </w:pPr>
      <w:r w:rsidRPr="00A71C07">
        <w:rPr>
          <w:rFonts w:asciiTheme="majorHAnsi" w:hAnsiTheme="majorHAnsi" w:cstheme="majorHAnsi"/>
          <w:noProof/>
          <w:lang w:bidi="sk-SK"/>
        </w:rPr>
        <w:drawing>
          <wp:inline distT="0" distB="0" distL="0" distR="0" wp14:anchorId="0C15F92C" wp14:editId="642FFBE2">
            <wp:extent cx="1573284" cy="353085"/>
            <wp:effectExtent l="0" t="0" r="1905" b="2540"/>
            <wp:docPr id="100" name="Picture 100" descr="Logo: Znak Európskej únie s textom: Spolufinancovaný Európskou úniou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Znak Európskej únie s textom: Spolufinancovaný Európskou úniou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4472" cy="3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7A" w:rsidRPr="00A71C07">
        <w:rPr>
          <w:rFonts w:asciiTheme="majorHAnsi" w:hAnsiTheme="majorHAnsi" w:cstheme="majorHAnsi"/>
          <w:sz w:val="20"/>
          <w:lang w:bidi="sk-SK"/>
        </w:rPr>
        <w:br w:type="column"/>
      </w:r>
      <w:r w:rsidR="006E7573" w:rsidRPr="00A71C07">
        <w:rPr>
          <w:rFonts w:asciiTheme="majorHAnsi" w:hAnsiTheme="majorHAnsi" w:cstheme="majorHAnsi"/>
          <w:sz w:val="20"/>
          <w:lang w:bidi="sk-SK"/>
        </w:rPr>
        <w:t>Financované Európskou úniou. Názory a stanoviská uvedené vyššie sú výlučne názormi autora (autorov) a nevyjadrujú nevyhnutne názory a stanoviská Európskej únie alebo Európskej komisie. Za tieto názory a stanoviská nenesie Európska únia ani Európska komisia zodpovednosť.</w:t>
      </w:r>
    </w:p>
    <w:p w14:paraId="5F0B44EC" w14:textId="77777777" w:rsidR="008F777A" w:rsidRPr="00A71C07" w:rsidRDefault="008F777A" w:rsidP="00591FE3">
      <w:pPr>
        <w:spacing w:before="360" w:after="360"/>
        <w:ind w:left="2693"/>
        <w:rPr>
          <w:rFonts w:asciiTheme="majorHAnsi" w:hAnsiTheme="majorHAnsi" w:cstheme="majorHAnsi"/>
          <w:sz w:val="20"/>
        </w:rPr>
        <w:sectPr w:rsidR="008F777A" w:rsidRPr="00A71C07" w:rsidSect="006E7573"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2121" w:space="567"/>
            <w:col w:w="6149"/>
          </w:cols>
          <w:titlePg/>
          <w:docGrid w:linePitch="360"/>
        </w:sectPr>
      </w:pPr>
    </w:p>
    <w:p w14:paraId="4E6000ED" w14:textId="77777777" w:rsidR="00311908" w:rsidRPr="00A71C07" w:rsidRDefault="00A4520C" w:rsidP="00591FE3">
      <w:pPr>
        <w:pStyle w:val="Agency-body-text"/>
        <w:spacing w:after="2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Názory vyjadrené akoukoľvek osobou v tomto dokumente nemusia nutne predstavovať oficiálne názory agentúry, jej členských krajín alebo Komisie.</w:t>
      </w:r>
    </w:p>
    <w:p w14:paraId="54107337" w14:textId="31AA93F1" w:rsidR="00993A74" w:rsidRPr="00A71C07" w:rsidRDefault="00993A74" w:rsidP="00591FE3">
      <w:pPr>
        <w:pStyle w:val="Agency-body-text"/>
        <w:spacing w:before="240" w:after="240"/>
        <w:rPr>
          <w:rFonts w:asciiTheme="majorHAnsi" w:hAnsiTheme="majorHAnsi" w:cstheme="majorHAnsi"/>
          <w:b/>
          <w:szCs w:val="24"/>
        </w:rPr>
      </w:pPr>
      <w:r w:rsidRPr="00A71C07">
        <w:rPr>
          <w:rFonts w:asciiTheme="majorHAnsi" w:hAnsiTheme="majorHAnsi" w:cstheme="majorHAnsi"/>
          <w:lang w:bidi="sk-SK"/>
        </w:rPr>
        <w:t xml:space="preserve">© </w:t>
      </w:r>
      <w:r w:rsidRPr="00A71C07">
        <w:rPr>
          <w:rFonts w:asciiTheme="majorHAnsi" w:hAnsiTheme="majorHAnsi" w:cstheme="majorHAnsi"/>
          <w:b/>
          <w:lang w:bidi="sk-SK"/>
        </w:rPr>
        <w:t>European Agency for Special Needs and Inclusive Education 2022</w:t>
      </w:r>
    </w:p>
    <w:p w14:paraId="1620ED22" w14:textId="3229FA57" w:rsidR="00A4520C" w:rsidRPr="00A71C07" w:rsidRDefault="00A4520C" w:rsidP="00591FE3">
      <w:pPr>
        <w:pStyle w:val="Agency-body-text"/>
        <w:spacing w:before="240" w:after="2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 xml:space="preserve">Redaktori: Mary Kyriazopoulou, Anthoula Kefallinou, Serge Ebersold, Per Skoglund, </w:t>
      </w:r>
      <w:r w:rsidR="001E23D3" w:rsidRPr="00A71C07">
        <w:rPr>
          <w:rFonts w:asciiTheme="majorHAnsi" w:hAnsiTheme="majorHAnsi" w:cstheme="majorHAnsi"/>
          <w:lang w:bidi="sk-SK"/>
        </w:rPr>
        <w:t>Eloy </w:t>
      </w:r>
      <w:r w:rsidRPr="00A71C07">
        <w:rPr>
          <w:rFonts w:asciiTheme="majorHAnsi" w:hAnsiTheme="majorHAnsi" w:cstheme="majorHAnsi"/>
          <w:lang w:bidi="sk-SK"/>
        </w:rPr>
        <w:t>Rebollo Píriz a Mikkel Lučić Wichmann</w:t>
      </w:r>
    </w:p>
    <w:p w14:paraId="0835F743" w14:textId="566F28C4" w:rsidR="00B96828" w:rsidRPr="00A71C07" w:rsidRDefault="00F84141" w:rsidP="00591FE3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Táto publikácia je dispozícii formou „open source“. To znamená, že k nej máte voľný prístup, môžete ju používať, upravovať a ďalej šíriť, ak náležitým spôsobom uvediete Európsku agentúru pre rozvoj špeciálneho a inkluzívneho vzdelávania ako jej autora. Viac informácií nájdete v politike otvoreného prístupu agentúry na stránke: </w:t>
      </w:r>
      <w:hyperlink r:id="rId16" w:history="1">
        <w:r w:rsidR="00165FE3" w:rsidRPr="00A71C07">
          <w:rPr>
            <w:rStyle w:val="Hyperlink"/>
            <w:rFonts w:asciiTheme="majorHAnsi" w:hAnsiTheme="majorHAnsi" w:cstheme="majorHAnsi"/>
            <w:lang w:bidi="sk-SK"/>
          </w:rPr>
          <w:t>www.european-agency.org/open-access-policy</w:t>
        </w:r>
      </w:hyperlink>
      <w:r w:rsidRPr="00A71C07">
        <w:rPr>
          <w:rFonts w:asciiTheme="majorHAnsi" w:hAnsiTheme="majorHAnsi" w:cstheme="majorHAnsi"/>
          <w:lang w:bidi="sk-SK"/>
        </w:rPr>
        <w:t>.</w:t>
      </w:r>
    </w:p>
    <w:p w14:paraId="195B8AE0" w14:textId="36360A99" w:rsidR="00705A86" w:rsidRPr="00A71C07" w:rsidRDefault="00E967BF" w:rsidP="00591FE3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Túto publikáciu môžete citovať týmto spôsobom: Európska agentúra pre rozvoj špeciálneho a inkluzívneho vzdelávania, 2022. </w:t>
      </w:r>
      <w:r w:rsidRPr="00A71C07">
        <w:rPr>
          <w:rFonts w:asciiTheme="majorHAnsi" w:hAnsiTheme="majorHAnsi" w:cstheme="majorHAnsi"/>
          <w:i/>
          <w:lang w:bidi="sk-SK"/>
        </w:rPr>
        <w:t>Zmena roly špecialistov pri zabezpečovaní podpory inkluzívneho vzdelávania: Nástroj na samohodnotenie politiky.</w:t>
      </w:r>
      <w:r w:rsidRPr="00A71C07">
        <w:rPr>
          <w:rFonts w:asciiTheme="majorHAnsi" w:hAnsiTheme="majorHAnsi" w:cstheme="majorHAnsi"/>
          <w:lang w:bidi="sk-SK"/>
        </w:rPr>
        <w:t xml:space="preserve"> (M. Kyriazopoulou, A. Kefallinou, S. Ebersold, P. Skoglund, E. Rebollo Píriz a M. Lučić Wichmann, red.). Odense, Dánsko</w:t>
      </w:r>
    </w:p>
    <w:p w14:paraId="67EB7C6E" w14:textId="77777777" w:rsidR="00B96828" w:rsidRPr="00A71C07" w:rsidRDefault="00B96828" w:rsidP="00591FE3">
      <w:pPr>
        <w:spacing w:before="360" w:after="360"/>
        <w:rPr>
          <w:rFonts w:asciiTheme="majorHAnsi" w:hAnsiTheme="majorHAnsi" w:cstheme="majorHAnsi"/>
          <w:szCs w:val="24"/>
        </w:rPr>
        <w:sectPr w:rsidR="00B96828" w:rsidRPr="00A71C07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4674608C" w14:textId="60A662DE" w:rsidR="008E05A8" w:rsidRPr="00A71C07" w:rsidRDefault="007405CA" w:rsidP="00591FE3">
      <w:pPr>
        <w:rPr>
          <w:rFonts w:asciiTheme="majorHAnsi" w:hAnsiTheme="majorHAnsi" w:cstheme="majorHAnsi"/>
          <w:color w:val="000000" w:themeColor="text1"/>
          <w:szCs w:val="24"/>
        </w:rPr>
        <w:sectPr w:rsidR="008E05A8" w:rsidRPr="00A71C07" w:rsidSect="00F87C7F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A71C07">
        <w:rPr>
          <w:rFonts w:asciiTheme="majorHAnsi" w:hAnsiTheme="majorHAnsi" w:cstheme="majorHAnsi"/>
          <w:noProof/>
          <w:lang w:eastAsia="el-GR"/>
        </w:rPr>
        <w:drawing>
          <wp:inline distT="0" distB="0" distL="0" distR="0" wp14:anchorId="47A30A7C" wp14:editId="1C940B34">
            <wp:extent cx="1260475" cy="452060"/>
            <wp:effectExtent l="0" t="0" r="0" b="5715"/>
            <wp:docPr id="6" name="Picture 6" descr="Logo: Creative Commons Uveďte pôvod – Nepoužívajte komerčne – Zachovajte licenciu 4.0 Medzinárod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: Creative Commons Uveďte pôvod – Nepoužívajte komerčne – Zachovajte licenciu 4.0 Medzinárodná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A71C07">
        <w:rPr>
          <w:rFonts w:asciiTheme="majorHAnsi" w:hAnsiTheme="majorHAnsi" w:cstheme="majorHAnsi"/>
          <w:lang w:bidi="sk-SK"/>
        </w:rPr>
        <w:br w:type="column"/>
      </w:r>
      <w:r w:rsidR="00651FD2" w:rsidRPr="00A71C07">
        <w:rPr>
          <w:rFonts w:asciiTheme="majorHAnsi" w:hAnsiTheme="majorHAnsi" w:cstheme="majorHAnsi"/>
          <w:sz w:val="20"/>
          <w:lang w:bidi="sk-SK"/>
        </w:rPr>
        <w:t xml:space="preserve">Toto dielo podlieha licencii </w:t>
      </w:r>
      <w:hyperlink r:id="rId18" w:history="1">
        <w:r w:rsidR="000B35DF" w:rsidRPr="00A71C07">
          <w:rPr>
            <w:rStyle w:val="Hyperlink"/>
            <w:rFonts w:asciiTheme="majorHAnsi" w:hAnsiTheme="majorHAnsi" w:cstheme="majorHAnsi"/>
            <w:sz w:val="20"/>
            <w:lang w:bidi="sk-SK"/>
          </w:rPr>
          <w:t>Creative Commons Attribution-NonCommercial-ShareAlike 4.0 International License (Uveďte pôvod – Nepoužívajte komerčne – Zachovajte licenciu 4.0 Medzinárodná)</w:t>
        </w:r>
      </w:hyperlink>
      <w:r w:rsidR="000B35DF" w:rsidRPr="00A71C07">
        <w:rPr>
          <w:rFonts w:asciiTheme="majorHAnsi" w:hAnsiTheme="majorHAnsi" w:cstheme="majorHAnsi"/>
          <w:sz w:val="20"/>
          <w:lang w:bidi="sk-SK"/>
        </w:rPr>
        <w:t>. Túto publikáciu môžete zdieľať a upravovať.</w:t>
      </w:r>
    </w:p>
    <w:p w14:paraId="79A8C840" w14:textId="1CDC2AEB" w:rsidR="00B96828" w:rsidRPr="00A71C07" w:rsidRDefault="00B96828" w:rsidP="00591FE3">
      <w:pPr>
        <w:pStyle w:val="Agency-body-text"/>
        <w:spacing w:before="360" w:after="360"/>
        <w:rPr>
          <w:rStyle w:val="Hyperlink"/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 xml:space="preserve">V záujme lepšej prístupnosti je táto správa k dispozícii v 25 jazykoch a v prístupnom elektronickom formáte na webových stránkach agentúry: </w:t>
      </w:r>
      <w:hyperlink r:id="rId19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www.european-agency.org</w:t>
        </w:r>
      </w:hyperlink>
    </w:p>
    <w:p w14:paraId="456741C0" w14:textId="051748F5" w:rsidR="0087477E" w:rsidRPr="00A71C07" w:rsidRDefault="0087477E" w:rsidP="00591FE3">
      <w:pPr>
        <w:pStyle w:val="Agency-body-text"/>
        <w:spacing w:before="240" w:after="240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Toto je preklad pôvodného textu v anglickom jazyku. V prípade pochybností o presnosti informácií v preklade si prečítajte pôvodný text v anglickom jazyku.</w:t>
      </w:r>
    </w:p>
    <w:p w14:paraId="5B1746F2" w14:textId="74F8585B" w:rsidR="00B96828" w:rsidRPr="00A71C07" w:rsidRDefault="00B96828" w:rsidP="00591FE3">
      <w:pPr>
        <w:tabs>
          <w:tab w:val="left" w:pos="4680"/>
        </w:tabs>
        <w:spacing w:before="480" w:after="480"/>
        <w:rPr>
          <w:rFonts w:asciiTheme="majorHAnsi" w:hAnsiTheme="majorHAnsi" w:cstheme="majorHAnsi"/>
          <w:b/>
          <w:szCs w:val="24"/>
        </w:rPr>
      </w:pPr>
      <w:r w:rsidRPr="00A71C07">
        <w:rPr>
          <w:rFonts w:asciiTheme="majorHAnsi" w:hAnsiTheme="majorHAnsi" w:cstheme="majorHAnsi"/>
          <w:lang w:bidi="sk-SK"/>
        </w:rPr>
        <w:t xml:space="preserve">ISBN: </w:t>
      </w:r>
      <w:r w:rsidR="003C142C" w:rsidRPr="00A71C07">
        <w:rPr>
          <w:rFonts w:ascii="Calibri" w:hAnsi="Calibri" w:cs="Calibri"/>
          <w:color w:val="000000"/>
        </w:rPr>
        <w:t>978-87-7599-052-8</w:t>
      </w:r>
      <w:r w:rsidR="003C142C" w:rsidRPr="00A71C07">
        <w:rPr>
          <w:rFonts w:asciiTheme="majorHAnsi" w:hAnsiTheme="majorHAnsi" w:cstheme="majorHAnsi"/>
          <w:lang w:bidi="sk-SK"/>
        </w:rPr>
        <w:t xml:space="preserve"> </w:t>
      </w:r>
      <w:r w:rsidRPr="00A71C07">
        <w:rPr>
          <w:rFonts w:asciiTheme="majorHAnsi" w:hAnsiTheme="majorHAnsi" w:cstheme="majorHAnsi"/>
          <w:lang w:bidi="sk-SK"/>
        </w:rPr>
        <w:t>(elektronická verzia)</w:t>
      </w:r>
    </w:p>
    <w:p w14:paraId="270989F5" w14:textId="77777777" w:rsidR="00B96828" w:rsidRPr="00A71C07" w:rsidRDefault="00B96828" w:rsidP="00591FE3">
      <w:pPr>
        <w:spacing w:before="240" w:after="240"/>
        <w:jc w:val="center"/>
        <w:rPr>
          <w:rFonts w:asciiTheme="majorHAnsi" w:hAnsiTheme="majorHAnsi" w:cstheme="majorHAnsi"/>
          <w:b/>
          <w:szCs w:val="24"/>
        </w:rPr>
        <w:sectPr w:rsidR="00B96828" w:rsidRPr="00A71C07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33FE3FE4" w14:textId="77777777" w:rsidR="00AE0DDC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</w:rPr>
      </w:pPr>
      <w:r w:rsidRPr="00A71C07">
        <w:rPr>
          <w:rFonts w:asciiTheme="majorHAnsi" w:hAnsiTheme="majorHAnsi" w:cstheme="majorHAnsi"/>
          <w:b/>
          <w:lang w:bidi="sk-SK"/>
        </w:rPr>
        <w:t>Sekretariát</w:t>
      </w:r>
    </w:p>
    <w:p w14:paraId="3BE5D709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Østre Stationsvej 33</w:t>
      </w:r>
    </w:p>
    <w:p w14:paraId="7B773980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DK-5000 Odense C Denmark</w:t>
      </w:r>
    </w:p>
    <w:p w14:paraId="27E5DD69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Tel.: +45 64 41 00 20</w:t>
      </w:r>
    </w:p>
    <w:p w14:paraId="386BCD00" w14:textId="77777777" w:rsidR="00077E1F" w:rsidRPr="00A71C07" w:rsidRDefault="00CF7514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0" w:history="1">
        <w:r w:rsidR="00765778" w:rsidRPr="00A71C07">
          <w:rPr>
            <w:rStyle w:val="Hyperlink"/>
            <w:rFonts w:asciiTheme="majorHAnsi" w:hAnsiTheme="majorHAnsi" w:cstheme="majorHAnsi"/>
            <w:lang w:bidi="sk-SK"/>
          </w:rPr>
          <w:t>secretariat@european-agency.org</w:t>
        </w:r>
      </w:hyperlink>
    </w:p>
    <w:p w14:paraId="1AA45A42" w14:textId="77777777" w:rsidR="00765778" w:rsidRPr="00A71C07" w:rsidRDefault="00077E1F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</w:rPr>
      </w:pPr>
      <w:r w:rsidRPr="00A71C07">
        <w:rPr>
          <w:rStyle w:val="Hyperlink"/>
          <w:rFonts w:asciiTheme="majorHAnsi" w:hAnsiTheme="majorHAnsi" w:cstheme="majorHAnsi"/>
          <w:lang w:bidi="sk-SK"/>
        </w:rPr>
        <w:br w:type="column"/>
      </w:r>
      <w:r w:rsidR="00765778" w:rsidRPr="00A71C07">
        <w:rPr>
          <w:rFonts w:asciiTheme="majorHAnsi" w:hAnsiTheme="majorHAnsi" w:cstheme="majorHAnsi"/>
          <w:b/>
          <w:lang w:bidi="sk-SK"/>
        </w:rPr>
        <w:t>Kancelária v Bruseli</w:t>
      </w:r>
    </w:p>
    <w:p w14:paraId="2E2766FA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Rue Montoyer 21</w:t>
      </w:r>
    </w:p>
    <w:p w14:paraId="38A645DC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BE-1000 Brussels Belgium</w:t>
      </w:r>
    </w:p>
    <w:p w14:paraId="5DD2D5DF" w14:textId="77777777" w:rsidR="00765778" w:rsidRPr="00A71C07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A71C07">
        <w:rPr>
          <w:rFonts w:asciiTheme="majorHAnsi" w:hAnsiTheme="majorHAnsi" w:cstheme="majorHAnsi"/>
          <w:lang w:bidi="sk-SK"/>
        </w:rPr>
        <w:t>Tel.: +32 2 213 62 80</w:t>
      </w:r>
    </w:p>
    <w:p w14:paraId="7C63BAC1" w14:textId="77777777" w:rsidR="00765778" w:rsidRPr="00A71C07" w:rsidRDefault="00CF7514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1" w:history="1">
        <w:r w:rsidR="00765778" w:rsidRPr="00A71C07">
          <w:rPr>
            <w:rStyle w:val="Hyperlink"/>
            <w:rFonts w:asciiTheme="majorHAnsi" w:hAnsiTheme="majorHAnsi" w:cstheme="majorHAnsi"/>
            <w:lang w:bidi="sk-SK"/>
          </w:rPr>
          <w:t>brussels.office@european-agency.org</w:t>
        </w:r>
      </w:hyperlink>
    </w:p>
    <w:p w14:paraId="190069CA" w14:textId="77777777" w:rsidR="00765778" w:rsidRPr="00A71C07" w:rsidRDefault="00765778" w:rsidP="00591FE3">
      <w:pPr>
        <w:spacing w:before="360"/>
        <w:jc w:val="center"/>
        <w:rPr>
          <w:rFonts w:asciiTheme="majorHAnsi" w:hAnsiTheme="majorHAnsi" w:cstheme="majorHAnsi"/>
          <w:sz w:val="20"/>
        </w:rPr>
        <w:sectPr w:rsidR="00765778" w:rsidRPr="00A71C07" w:rsidSect="00077E1F"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208E114D" w14:textId="77777777" w:rsidR="00DB7AB3" w:rsidRPr="00A71C07" w:rsidRDefault="00DB7AB3" w:rsidP="00591FE3">
      <w:pPr>
        <w:pStyle w:val="Agency-body-text"/>
        <w:keepNext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</w:rPr>
      </w:pPr>
      <w:r w:rsidRPr="00A71C07">
        <w:rPr>
          <w:rFonts w:asciiTheme="majorHAnsi" w:hAnsiTheme="majorHAnsi" w:cstheme="majorHAnsi"/>
          <w:b/>
          <w:sz w:val="40"/>
          <w:lang w:bidi="sk-SK"/>
        </w:rPr>
        <w:lastRenderedPageBreak/>
        <w:t>OBSAH</w:t>
      </w:r>
    </w:p>
    <w:p w14:paraId="09C9692A" w14:textId="689C5063" w:rsidR="00F449FF" w:rsidRDefault="00D2226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r w:rsidRPr="00A71C07">
        <w:rPr>
          <w:rFonts w:asciiTheme="majorHAnsi" w:hAnsiTheme="majorHAnsi" w:cstheme="majorHAnsi"/>
          <w:i/>
          <w:lang w:bidi="sk-SK"/>
        </w:rPr>
        <w:fldChar w:fldCharType="begin"/>
      </w:r>
      <w:r w:rsidRPr="00A71C07">
        <w:rPr>
          <w:rFonts w:asciiTheme="majorHAnsi" w:hAnsiTheme="majorHAnsi" w:cstheme="majorHAnsi"/>
          <w:i/>
          <w:lang w:bidi="sk-SK"/>
        </w:rPr>
        <w:instrText xml:space="preserve"> TOC \h \z \t "Heading 1,1,Heading 2,2,Agency-heading-1,1,Agency-heading-2,2" </w:instrText>
      </w:r>
      <w:r w:rsidRPr="00A71C07">
        <w:rPr>
          <w:rFonts w:asciiTheme="majorHAnsi" w:hAnsiTheme="majorHAnsi" w:cstheme="majorHAnsi"/>
          <w:i/>
          <w:lang w:bidi="sk-SK"/>
        </w:rPr>
        <w:fldChar w:fldCharType="separate"/>
      </w:r>
      <w:hyperlink w:anchor="_Toc128753118" w:history="1">
        <w:r w:rsidR="00F449FF" w:rsidRPr="00464441">
          <w:rPr>
            <w:rStyle w:val="Hyperlink"/>
            <w:rFonts w:asciiTheme="majorHAnsi" w:hAnsiTheme="majorHAnsi" w:cstheme="majorHAnsi"/>
            <w:noProof/>
            <w:lang w:bidi="sk-SK"/>
          </w:rPr>
          <w:t>Úvod</w:t>
        </w:r>
        <w:r w:rsidR="00F449FF">
          <w:rPr>
            <w:noProof/>
            <w:webHidden/>
          </w:rPr>
          <w:tab/>
        </w:r>
        <w:r w:rsidR="00F449FF">
          <w:rPr>
            <w:noProof/>
            <w:webHidden/>
          </w:rPr>
          <w:fldChar w:fldCharType="begin"/>
        </w:r>
        <w:r w:rsidR="00F449FF">
          <w:rPr>
            <w:noProof/>
            <w:webHidden/>
          </w:rPr>
          <w:instrText xml:space="preserve"> PAGEREF _Toc128753118 \h </w:instrText>
        </w:r>
        <w:r w:rsidR="00F449FF">
          <w:rPr>
            <w:noProof/>
            <w:webHidden/>
          </w:rPr>
        </w:r>
        <w:r w:rsidR="00F449FF">
          <w:rPr>
            <w:noProof/>
            <w:webHidden/>
          </w:rPr>
          <w:fldChar w:fldCharType="separate"/>
        </w:r>
        <w:r w:rsidR="00F449FF">
          <w:rPr>
            <w:noProof/>
            <w:webHidden/>
          </w:rPr>
          <w:t>5</w:t>
        </w:r>
        <w:r w:rsidR="00F449FF">
          <w:rPr>
            <w:noProof/>
            <w:webHidden/>
          </w:rPr>
          <w:fldChar w:fldCharType="end"/>
        </w:r>
      </w:hyperlink>
    </w:p>
    <w:p w14:paraId="0ED43831" w14:textId="5513C4D9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19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Účel nástroja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7C71A9" w14:textId="4E67EB0A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20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Ako sa nástroj používa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2153A3" w14:textId="01ECF8E5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1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Prípravy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9255C7" w14:textId="1CB55040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2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Vypĺňanie nástroja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F18AA9" w14:textId="4F076A22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3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Reflexia nad odpoveďami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61474A" w14:textId="04ACC247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24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Nástroj na samohodnotenie politiky CROSP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3F8D02E" w14:textId="0BB4EDC5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5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1: Vytváranie spoločného záväzku k inkluzívnemu vzdelávaniu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B573693" w14:textId="4A35C3ED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6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2: Presadzovanie výmeny poznatkov a získavania inkluzívnych kompetencií prostredníctvom spolupráce a vytvárania sietí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D57247" w14:textId="7BB92360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7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3: Zabezpečenie kontinuálneho profesijného vzdelávania v oblasti inklúzie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8DF592" w14:textId="757213D8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8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4: Podpora inkluzívneho vedenia a riadenia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F12AB8B" w14:textId="504379DB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29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5: Podpora aktívneho zapojenia zainteresovaných strán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A4BD49B" w14:textId="31F1BF41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30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Hlavná zásada č. 6: Podpora priebežného monitorovania a hodnotenia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A28015E" w14:textId="7F95264C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31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Príloha 1: Slovník pojmov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BC962CB" w14:textId="4BE0E5D0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32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Príloha 2: Rámec nástroja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7DFD1F3" w14:textId="32FCA979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33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Hlavné zásady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08626B5" w14:textId="6580AB77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34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Priority politík a stratégie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5878F8C" w14:textId="009BFA2B" w:rsidR="00F449FF" w:rsidRDefault="00F449FF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28753135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Kľúčové opatrenia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C9AC4A1" w14:textId="3638D15C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36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 xml:space="preserve">Príloha 3: Validácia nástroja na samohodnotenie na vnútroštátnej </w:t>
        </w:r>
        <w:r w:rsidR="00CF7514">
          <w:rPr>
            <w:rStyle w:val="Hyperlink"/>
            <w:rFonts w:asciiTheme="majorHAnsi" w:hAnsiTheme="majorHAnsi" w:cstheme="majorHAnsi"/>
            <w:noProof/>
            <w:lang w:bidi="sk-SK"/>
          </w:rPr>
          <w:br/>
        </w:r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úrovni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8762077" w14:textId="24979EDB" w:rsidR="00F449FF" w:rsidRDefault="00F449FF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val="en-IE" w:eastAsia="en-GB"/>
        </w:rPr>
      </w:pPr>
      <w:hyperlink w:anchor="_Toc128753137" w:history="1">
        <w:r w:rsidRPr="00464441">
          <w:rPr>
            <w:rStyle w:val="Hyperlink"/>
            <w:rFonts w:asciiTheme="majorHAnsi" w:hAnsiTheme="majorHAnsi" w:cstheme="majorHAnsi"/>
            <w:noProof/>
            <w:lang w:bidi="sk-SK"/>
          </w:rPr>
          <w:t>Literatúra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_Toc128753137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3C33446" w14:textId="76C8561C" w:rsidR="001A3B70" w:rsidRPr="00A71C07" w:rsidRDefault="00D22260" w:rsidP="00591FE3">
      <w:pPr>
        <w:pStyle w:val="Agency-body-text"/>
        <w:rPr>
          <w:rFonts w:asciiTheme="majorHAnsi" w:hAnsiTheme="majorHAnsi" w:cstheme="majorHAnsi"/>
          <w:iCs/>
        </w:rPr>
      </w:pPr>
      <w:r w:rsidRPr="00A71C07">
        <w:rPr>
          <w:rFonts w:asciiTheme="majorHAnsi" w:hAnsiTheme="majorHAnsi" w:cstheme="majorHAnsi"/>
          <w:i/>
          <w:lang w:bidi="sk-SK"/>
        </w:rPr>
        <w:fldChar w:fldCharType="end"/>
      </w:r>
    </w:p>
    <w:p w14:paraId="02B945B0" w14:textId="77777777" w:rsidR="001A3B70" w:rsidRPr="00A71C07" w:rsidRDefault="001A3B70" w:rsidP="00591FE3">
      <w:pPr>
        <w:pStyle w:val="Agency-body-text"/>
        <w:rPr>
          <w:rFonts w:asciiTheme="majorHAnsi" w:hAnsiTheme="majorHAnsi" w:cstheme="majorHAnsi"/>
          <w:iCs/>
        </w:rPr>
        <w:sectPr w:rsidR="001A3B70" w:rsidRPr="00A71C07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18B325C4" w14:textId="77777777" w:rsidR="008B36F5" w:rsidRPr="00A71C07" w:rsidRDefault="008B36F5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br w:type="page"/>
      </w:r>
    </w:p>
    <w:p w14:paraId="0554919A" w14:textId="557171B4" w:rsidR="00B84EAB" w:rsidRPr="00A71C07" w:rsidRDefault="00B84EAB" w:rsidP="00591FE3">
      <w:pPr>
        <w:pStyle w:val="Agency-heading-1"/>
        <w:rPr>
          <w:rFonts w:asciiTheme="majorHAnsi" w:hAnsiTheme="majorHAnsi" w:cstheme="majorHAnsi"/>
        </w:rPr>
      </w:pPr>
      <w:bookmarkStart w:id="0" w:name="_Toc128753118"/>
      <w:r w:rsidRPr="00A71C07">
        <w:rPr>
          <w:rFonts w:asciiTheme="majorHAnsi" w:hAnsiTheme="majorHAnsi" w:cstheme="majorHAnsi"/>
          <w:lang w:bidi="sk-SK"/>
        </w:rPr>
        <w:lastRenderedPageBreak/>
        <w:t>Úvod</w:t>
      </w:r>
      <w:bookmarkEnd w:id="0"/>
    </w:p>
    <w:p w14:paraId="34354436" w14:textId="2FED5E86" w:rsidR="00AC0A3B" w:rsidRPr="00A71C07" w:rsidRDefault="00AC0A3B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Projekt s názvom </w:t>
      </w:r>
      <w:hyperlink r:id="rId22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Zmena roly špecialistov pri zabezpečovaní podpory inkluzívneho vzdelávania</w:t>
        </w:r>
      </w:hyperlink>
      <w:r w:rsidRPr="00A71C07">
        <w:rPr>
          <w:rFonts w:asciiTheme="majorHAnsi" w:hAnsiTheme="majorHAnsi" w:cstheme="majorHAnsi"/>
          <w:lang w:bidi="sk-SK"/>
        </w:rPr>
        <w:t xml:space="preserve"> (CROSP), ktorý realizovala Európska agentúra pre rozvoj špeciálneho a inkluzívneho vzdelávania (agentúra), sa zameriaval na reorganizáciu zabezpečenia špecialistov v záujme presadzovania práva všetkých žiakov na inkluzívne vzdelávanie. Jeho cieľom bolo v rámci jednotlivých krajín identifikovať a analyzovať výzvy a príležitosti v oblasti politiky a praxe, ktoré majú vplyv na reorganizáciu a reformu zabezpečovania špecialistov smerom k dosiahnutiu inkluzívneho vzdelávania pre všetkých žiakov.</w:t>
      </w:r>
    </w:p>
    <w:p w14:paraId="16D495BA" w14:textId="5872A38B" w:rsidR="00AC0A3B" w:rsidRPr="00A71C07" w:rsidRDefault="00AC0A3B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Formou prístupu vzájomného učenia sa do tematických seminárov zapojilo 18 členských krajín agentúry, ktoré si vymieňali svoje skúsenosti a názory na danú tému. Zo zistení tematických workshopov vyplynulo šesť hlavných zásad, ktoré sa vzájomne dopĺňajú a sú základom zmeny orientácie roly špecialistov pri zabezpečovaní podpory inkluzívneho vzdelávania.</w:t>
      </w:r>
    </w:p>
    <w:p w14:paraId="58FDD457" w14:textId="6C7EDAF6" w:rsidR="00EF75CD" w:rsidRPr="00A71C07" w:rsidRDefault="00AC0A3B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Každá hlavná zásada je prepojená s niekoľkými prioritami politík a stratégiami, ktoré krajiny prezentovali počas seminárov ako účinné. Následne je každá priorita politiky a stratégia rozdelená na kľúčové opatrenia, ktoré slúžia ako príklady účinnej implementácie príslušných politík a stratégií.</w:t>
      </w:r>
    </w:p>
    <w:p w14:paraId="4FEB624E" w14:textId="7BA09CB5" w:rsidR="00AC0A3B" w:rsidRPr="00A71C07" w:rsidRDefault="00AC0A3B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Tento proces analýzy slúžil ako základ pre vypracovanie </w:t>
      </w:r>
      <w:r w:rsidRPr="00A71C07">
        <w:rPr>
          <w:rFonts w:asciiTheme="majorHAnsi" w:hAnsiTheme="majorHAnsi" w:cstheme="majorHAnsi"/>
          <w:b/>
          <w:lang w:bidi="sk-SK"/>
        </w:rPr>
        <w:t>plánu pre zmenu roly zabezpečenia špecialistov</w:t>
      </w:r>
      <w:r w:rsidRPr="00A71C07">
        <w:rPr>
          <w:rFonts w:asciiTheme="majorHAnsi" w:hAnsiTheme="majorHAnsi" w:cstheme="majorHAnsi"/>
          <w:lang w:bidi="sk-SK"/>
        </w:rPr>
        <w:t>. Celkovo tento plán prepája 6 hlavných zásad so 17 politickými prioritami a stratégiami, vrátane niektorých príkladov krokov alebo míľnikov smerom k účinnej implementácii (Európska agentúra, 2022).</w:t>
      </w:r>
    </w:p>
    <w:p w14:paraId="18B09ABF" w14:textId="5B661627" w:rsidR="00B84EAB" w:rsidRPr="00A71C07" w:rsidRDefault="00AC0A3B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Tento nástroj na samohodnotenie v rámci projektu CROSP obsahuje všetky hlavné zásady, politické priority/stratégie a orientačné kľúčové opatrenia vo forme otázok pre sebareflexiu.</w:t>
      </w:r>
    </w:p>
    <w:p w14:paraId="499839E1" w14:textId="5BEF45C6" w:rsidR="00776FBF" w:rsidRPr="00A71C07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1" w:name="_Toc128753119"/>
      <w:r w:rsidRPr="00A71C07">
        <w:rPr>
          <w:rFonts w:asciiTheme="majorHAnsi" w:hAnsiTheme="majorHAnsi" w:cstheme="majorHAnsi"/>
          <w:lang w:bidi="sk-SK"/>
        </w:rPr>
        <w:t>Účel nástroja</w:t>
      </w:r>
      <w:bookmarkEnd w:id="1"/>
    </w:p>
    <w:p w14:paraId="6FF14693" w14:textId="46FE1153" w:rsidR="00776FBF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Celkovým účelom nástroja CROSP je zlepšiť rozvoj inkluzívnych vzdelávacích systémov prostredníctvom reorganizácie zabezpečenia špecialistov. Jeho cieľom je umožniť krajinám zohľadniť a rozvíjať kontinuitu podpory pre inkluzívne vzdelávanie prostredníctvom:</w:t>
      </w:r>
    </w:p>
    <w:p w14:paraId="162D6D71" w14:textId="77777777" w:rsidR="00776FBF" w:rsidRPr="00A71C07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podpory pri mapovaní ich napredovania smerom k zmene roly zabezpečenia špecialistov, a to prostredníctvom hĺbkových otázok pre sebareflexiu;</w:t>
      </w:r>
    </w:p>
    <w:p w14:paraId="67CC3B3A" w14:textId="78B0F85C" w:rsidR="00776FBF" w:rsidRPr="00A71C07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identifikovania ďalších krokov smerom k zmene roly zabezpečenia špecialistov</w:t>
      </w:r>
    </w:p>
    <w:p w14:paraId="1C883D99" w14:textId="231F005A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Nástroj je určený najmä tvorcom politík na národnej, regionálnej a miestnej úrovni, ako aj činiteľom s rozhodovacími právomocami a odborníkom na úrovni škôl.</w:t>
      </w:r>
    </w:p>
    <w:p w14:paraId="70C14D4E" w14:textId="21462F10" w:rsidR="00776FBF" w:rsidRPr="00A71C07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2" w:name="_Toc128753120"/>
      <w:r w:rsidRPr="00A71C07">
        <w:rPr>
          <w:rFonts w:asciiTheme="majorHAnsi" w:hAnsiTheme="majorHAnsi" w:cstheme="majorHAnsi"/>
          <w:lang w:bidi="sk-SK"/>
        </w:rPr>
        <w:lastRenderedPageBreak/>
        <w:t>Ako sa nástroj používa</w:t>
      </w:r>
      <w:bookmarkEnd w:id="2"/>
    </w:p>
    <w:p w14:paraId="42BF9C6D" w14:textId="7E4DBAFF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Nástroj pozostáva zo súboru otázok, na ktoré môže odpovedať multidisciplinárny tím. Tento tím môžu tvoriť činitelia s rozhodovacími právomocami zo všetkých úrovní vzdelávania resp. ďalší účastníci vrátane odborníkov z hlavného prúdu vzdelávania a zo špeciálneho školstva.</w:t>
      </w:r>
    </w:p>
    <w:p w14:paraId="4BE0DB70" w14:textId="3A4B28BC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Tento nástroj je </w:t>
      </w:r>
      <w:r w:rsidRPr="00A71C07">
        <w:rPr>
          <w:rFonts w:asciiTheme="majorHAnsi" w:hAnsiTheme="majorHAnsi" w:cstheme="majorHAnsi"/>
          <w:b/>
          <w:lang w:bidi="sk-SK"/>
        </w:rPr>
        <w:t xml:space="preserve">verejne dostupný </w:t>
      </w:r>
      <w:r w:rsidRPr="00A71C07">
        <w:rPr>
          <w:rFonts w:asciiTheme="majorHAnsi" w:hAnsiTheme="majorHAnsi" w:cstheme="majorHAnsi"/>
          <w:lang w:bidi="sk-SK"/>
        </w:rPr>
        <w:t>dokument (open</w:t>
      </w:r>
      <w:r w:rsidR="00002EDE" w:rsidRPr="00A71C07">
        <w:rPr>
          <w:rFonts w:asciiTheme="majorHAnsi" w:hAnsiTheme="majorHAnsi" w:cstheme="majorHAnsi"/>
          <w:lang w:bidi="sk-SK"/>
        </w:rPr>
        <w:t xml:space="preserve"> </w:t>
      </w:r>
      <w:r w:rsidRPr="00A71C07">
        <w:rPr>
          <w:rFonts w:asciiTheme="majorHAnsi" w:hAnsiTheme="majorHAnsi" w:cstheme="majorHAnsi"/>
          <w:lang w:bidi="sk-SK"/>
        </w:rPr>
        <w:t xml:space="preserve">source). Bude k dispozícii vo všetkých jazykoch agentúry. Krajinám odporúčame, aby nástroj používali a ďalej vyvíjali po jeho validácii a prispôsobení pojmov a terminológie svojim vnútroštátnym podmienkam (viac informácií možno nájsť v </w:t>
      </w:r>
      <w:hyperlink w:anchor="annex3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prílohe 3</w:t>
        </w:r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57C3DB43" w14:textId="26066D51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Krajiny sa môžu na základe svojich vnútroštátnych priorít rozhodnúť, či na sebahodnotenie použijú celý nástroj alebo jeho časti (t.</w:t>
      </w:r>
      <w:r w:rsidR="00BA608A" w:rsidRPr="00A71C07">
        <w:rPr>
          <w:rFonts w:asciiTheme="majorHAnsi" w:hAnsiTheme="majorHAnsi" w:cstheme="majorHAnsi"/>
          <w:lang w:bidi="sk-SK"/>
        </w:rPr>
        <w:t> </w:t>
      </w:r>
      <w:r w:rsidRPr="00A71C07">
        <w:rPr>
          <w:rFonts w:asciiTheme="majorHAnsi" w:hAnsiTheme="majorHAnsi" w:cstheme="majorHAnsi"/>
          <w:lang w:bidi="sk-SK"/>
        </w:rPr>
        <w:t>j.</w:t>
      </w:r>
      <w:r w:rsidR="00BA608A" w:rsidRPr="00A71C07">
        <w:rPr>
          <w:rFonts w:asciiTheme="majorHAnsi" w:hAnsiTheme="majorHAnsi" w:cstheme="majorHAnsi"/>
          <w:lang w:bidi="sk-SK"/>
        </w:rPr>
        <w:t> </w:t>
      </w:r>
      <w:r w:rsidRPr="00A71C07">
        <w:rPr>
          <w:rFonts w:asciiTheme="majorHAnsi" w:hAnsiTheme="majorHAnsi" w:cstheme="majorHAnsi"/>
          <w:lang w:bidi="sk-SK"/>
        </w:rPr>
        <w:t>zamerajú sa konkrétne hlavné zásady resp. konkrétne otázky).</w:t>
      </w:r>
    </w:p>
    <w:p w14:paraId="53F287CF" w14:textId="031EC639" w:rsidR="00776FBF" w:rsidRPr="00A71C07" w:rsidRDefault="00776FBF" w:rsidP="00591FE3">
      <w:pPr>
        <w:pStyle w:val="Agency-body-text"/>
        <w:rPr>
          <w:rFonts w:asciiTheme="majorHAnsi" w:eastAsia="Calibr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Tento nástroj by sa mohol distribuovať rôznym zainteresovaným stranám na účely jeho uplatňovania a výmeny názorov. Podotýkame, že niektoré oblasti môžu byť relevantnejšie pre tvorcov politík, zatiaľ čo iné môžu byť užitočnejšie pre pracovníkov z praxe. Preto môžu na najrelevantnejšie otázky odpovedať príslušní účastníci a pri každom stretnutí sa môžu zamerať na vybrané témy. Používatelia sa môžu stretnúť aj viackrát a využiť túto príležitosť na nadviazanie kontaktov.</w:t>
      </w:r>
    </w:p>
    <w:p w14:paraId="08437630" w14:textId="5B90AD95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3" w:name="_Toc128753121"/>
      <w:r w:rsidRPr="00A71C07">
        <w:rPr>
          <w:rFonts w:asciiTheme="majorHAnsi" w:hAnsiTheme="majorHAnsi" w:cstheme="majorHAnsi"/>
          <w:lang w:bidi="sk-SK"/>
        </w:rPr>
        <w:t>Prípravy</w:t>
      </w:r>
      <w:bookmarkEnd w:id="3"/>
    </w:p>
    <w:p w14:paraId="1F19BD98" w14:textId="66F4F021" w:rsidR="00776FBF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Predtým, ako používatelia začnú odpovedať na otázky uvedené v nástroji, musia rozhodnúť o tom:</w:t>
      </w:r>
    </w:p>
    <w:p w14:paraId="398B45DD" w14:textId="77777777" w:rsidR="00776FBF" w:rsidRPr="00A71C07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Kto sa bude podieľať na vypĺňaní nástroja?</w:t>
      </w:r>
    </w:p>
    <w:p w14:paraId="2F03FA5D" w14:textId="5DAD1F44" w:rsidR="00776FBF" w:rsidRPr="00A71C07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Aké ďalšie informácie sú potrebné?</w:t>
      </w:r>
    </w:p>
    <w:p w14:paraId="46A89BC6" w14:textId="61566E34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4" w:name="_Toc128753122"/>
      <w:r w:rsidRPr="00A71C07">
        <w:rPr>
          <w:rFonts w:asciiTheme="majorHAnsi" w:hAnsiTheme="majorHAnsi" w:cstheme="majorHAnsi"/>
          <w:lang w:bidi="sk-SK"/>
        </w:rPr>
        <w:t>Vypĺňanie nástroja</w:t>
      </w:r>
      <w:bookmarkEnd w:id="4"/>
    </w:p>
    <w:p w14:paraId="4D6CDA8A" w14:textId="148F31CC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Používateľov by mali odpovedať na súbor reflektívnych otázok, ktoré vychádzajú z konkrétnych politických priorít/stratégií, ako aj kľúčových opatrení potrebných na podporu zmeny roly zabezpečenia špecialistov.</w:t>
      </w:r>
    </w:p>
    <w:p w14:paraId="6408B147" w14:textId="77777777" w:rsidR="00776FBF" w:rsidRPr="00A71C07" w:rsidRDefault="00776FBF" w:rsidP="000034CB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Každú otázku možno zaradiť do štvorstupňovej škály implementácie:</w:t>
      </w:r>
    </w:p>
    <w:p w14:paraId="3C85E622" w14:textId="77777777" w:rsidR="00776FBF" w:rsidRPr="00A71C07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Zatiaľ nie</w:t>
      </w:r>
      <w:r w:rsidRPr="00A71C07">
        <w:rPr>
          <w:rFonts w:asciiTheme="majorHAnsi" w:hAnsiTheme="majorHAnsi" w:cstheme="majorHAnsi"/>
          <w:lang w:bidi="sk-SK"/>
        </w:rPr>
        <w:t xml:space="preserve"> – o kľúčových politikách a opatreniach sa zatiaľ neuvažuje</w:t>
      </w:r>
    </w:p>
    <w:p w14:paraId="77DA6B0F" w14:textId="77777777" w:rsidR="00776FBF" w:rsidRPr="00A71C07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Plánované</w:t>
      </w:r>
      <w:r w:rsidRPr="00A71C07">
        <w:rPr>
          <w:rFonts w:asciiTheme="majorHAnsi" w:hAnsiTheme="majorHAnsi" w:cstheme="majorHAnsi"/>
          <w:lang w:bidi="sk-SK"/>
        </w:rPr>
        <w:t xml:space="preserve"> – existuje plán/vízia, ale implementácia sa ešte nezačala</w:t>
      </w:r>
    </w:p>
    <w:p w14:paraId="114A0DF2" w14:textId="77777777" w:rsidR="00776FBF" w:rsidRPr="00A71C07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Čiastočne zavedené</w:t>
      </w:r>
      <w:r w:rsidRPr="00A71C07">
        <w:rPr>
          <w:rFonts w:asciiTheme="majorHAnsi" w:hAnsiTheme="majorHAnsi" w:cstheme="majorHAnsi"/>
          <w:lang w:bidi="sk-SK"/>
        </w:rPr>
        <w:t xml:space="preserve"> – implementácia sa začala, ale vyžaduje väčšie pokrytie a vyššiu kvalitu</w:t>
      </w:r>
    </w:p>
    <w:p w14:paraId="6105BB2E" w14:textId="77777777" w:rsidR="00776FBF" w:rsidRPr="00A71C07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Zavedené</w:t>
      </w:r>
      <w:r w:rsidRPr="00A71C07">
        <w:rPr>
          <w:rFonts w:asciiTheme="majorHAnsi" w:hAnsiTheme="majorHAnsi" w:cstheme="majorHAnsi"/>
          <w:lang w:bidi="sk-SK"/>
        </w:rPr>
        <w:t xml:space="preserve"> – implementácia je kvalitná, rozšírená a dôsledná.</w:t>
      </w:r>
    </w:p>
    <w:p w14:paraId="33EAAB61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Stĺpec </w:t>
      </w:r>
      <w:r w:rsidRPr="00A71C07">
        <w:rPr>
          <w:rFonts w:asciiTheme="majorHAnsi" w:hAnsiTheme="majorHAnsi" w:cstheme="majorHAnsi"/>
          <w:b/>
          <w:lang w:bidi="sk-SK"/>
        </w:rPr>
        <w:t>Poznámky</w:t>
      </w:r>
      <w:r w:rsidRPr="00A71C07">
        <w:rPr>
          <w:rFonts w:asciiTheme="majorHAnsi" w:hAnsiTheme="majorHAnsi" w:cstheme="majorHAnsi"/>
          <w:lang w:bidi="sk-SK"/>
        </w:rPr>
        <w:t xml:space="preserve"> je určený pre akékoľvek hodnotiace pripomienky, ktoré sa týkajú kvality implementácie kľúčových politík a opatrení alebo akýchkoľvek iných dostupných dôkazov (vrátane informácií o monitorovaní a hodnotení, údajov založených na dôkazoch, atď.).</w:t>
      </w:r>
    </w:p>
    <w:p w14:paraId="4CBD6FA5" w14:textId="1DC21991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5" w:name="_Toc128753123"/>
      <w:r w:rsidRPr="00A71C07">
        <w:rPr>
          <w:rFonts w:asciiTheme="majorHAnsi" w:hAnsiTheme="majorHAnsi" w:cstheme="majorHAnsi"/>
          <w:lang w:bidi="sk-SK"/>
        </w:rPr>
        <w:t>Reflexia nad odpoveďami</w:t>
      </w:r>
      <w:bookmarkEnd w:id="5"/>
    </w:p>
    <w:p w14:paraId="29876F85" w14:textId="77777777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Po spoločnom zodpovedaní súboru otázok sa používatelia zapoja do diskusie s cieľom identifikovať potrebné priority politík/stratégie/kľúčové opatrenia, ktoré sú zavedené, prípadne chýbajú a/alebo si vyžadujú zlepšenie a ďalší vývoj.</w:t>
      </w:r>
    </w:p>
    <w:p w14:paraId="78EAB178" w14:textId="15BDB2F7" w:rsidR="00776FBF" w:rsidRPr="00A71C07" w:rsidRDefault="00776FBF" w:rsidP="00EE2C04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Konkrétne sa používatelia môžu zamyslieť nad týmito otázkami pre každú hlavnú zásadu:</w:t>
      </w:r>
    </w:p>
    <w:p w14:paraId="5EA7541C" w14:textId="77777777" w:rsidR="00776FBF" w:rsidRPr="00A71C07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 akom štádiu pokroku sa nachádzame pri zabezpečení každej z hlavných zásad?</w:t>
      </w:r>
    </w:p>
    <w:p w14:paraId="54529867" w14:textId="77777777" w:rsidR="00776FBF" w:rsidRPr="00A71C07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Aké sú naše silné stránky v tomto smere?</w:t>
      </w:r>
    </w:p>
    <w:p w14:paraId="7FAD8646" w14:textId="77777777" w:rsidR="00776FBF" w:rsidRPr="00A71C07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Ktoré oblasti potrebujeme zlepšiť/ďalej rozvíjať?</w:t>
      </w:r>
    </w:p>
    <w:p w14:paraId="3F0529FC" w14:textId="77777777" w:rsidR="00776FBF" w:rsidRPr="00A71C07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Aké by boli naše tri priority/ďalšie kroky, ktoré by sme mali zvážiť?</w:t>
      </w:r>
    </w:p>
    <w:p w14:paraId="44287A72" w14:textId="77777777" w:rsidR="00776FBF" w:rsidRPr="00A71C07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S kým musíme tieto priority prediskutovať?</w:t>
      </w:r>
    </w:p>
    <w:p w14:paraId="4F9B2B32" w14:textId="08A89B21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Reflexiou nad týmito otázkami môžu používatelia identifikovať možné nedostatky a dohodnúť sa na konkrétnych kľúčových opatreniach, ktoré sú potrebné na podporu implementácie inkluzívneho vzdelávania. Týmto procesom možno určiť smer budúceho vývoja na národnej, regionálnej a miestnej úrovni.</w:t>
      </w:r>
    </w:p>
    <w:p w14:paraId="0ED4EA0B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A71C07" w:rsidSect="008B24CF">
          <w:headerReference w:type="even" r:id="rId23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19236969" w14:textId="074BA305" w:rsidR="00776FBF" w:rsidRPr="00A71C07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6" w:name="_Toc128753124"/>
      <w:r w:rsidRPr="00A71C07">
        <w:rPr>
          <w:rFonts w:asciiTheme="majorHAnsi" w:hAnsiTheme="majorHAnsi" w:cstheme="majorHAnsi"/>
          <w:lang w:bidi="sk-SK"/>
        </w:rPr>
        <w:lastRenderedPageBreak/>
        <w:t>Nástroj na samohodnotenie politiky CROSP</w:t>
      </w:r>
      <w:bookmarkEnd w:id="6"/>
    </w:p>
    <w:p w14:paraId="7E8FAA92" w14:textId="3F8ABE67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7" w:name="_Toc128753125"/>
      <w:r w:rsidRPr="00A71C07">
        <w:rPr>
          <w:rFonts w:asciiTheme="majorHAnsi" w:hAnsiTheme="majorHAnsi" w:cstheme="majorHAnsi"/>
          <w:lang w:bidi="sk-SK"/>
        </w:rPr>
        <w:t>Hlavná zásada č. 1: Vytváranie spoločného záväzku k inkluzívnemu vzdelávaniu</w:t>
      </w:r>
      <w:bookmarkEnd w:id="7"/>
    </w:p>
    <w:p w14:paraId="688FA38A" w14:textId="216E9F12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1.1: Existuje spoločný záväzok k inkluzívnemu vzdelávaniu, ktorý je podporený politickou vôľou presadzovať </w:t>
      </w:r>
      <w:r w:rsidRPr="00A71C07">
        <w:rPr>
          <w:rFonts w:asciiTheme="majorHAnsi" w:hAnsiTheme="majorHAnsi" w:cstheme="majorHAnsi"/>
          <w:i/>
          <w:lang w:bidi="sk-SK"/>
        </w:rPr>
        <w:t>dlhodobé zmeny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756C2756" w14:textId="77777777" w:rsidTr="008B24CF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981D2C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47F05F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815868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CD633F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095806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26B9CD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534E189C" w14:textId="77777777" w:rsidTr="008B24CF">
        <w:trPr>
          <w:cantSplit/>
        </w:trPr>
        <w:tc>
          <w:tcPr>
            <w:tcW w:w="2250" w:type="pct"/>
          </w:tcPr>
          <w:p w14:paraId="512E0E0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nejaké medzirezortné orgány pre podporu dlhodobej zmeny smerom k inkluzívnemu vzdelávaniu?</w:t>
            </w:r>
          </w:p>
        </w:tc>
        <w:tc>
          <w:tcPr>
            <w:tcW w:w="500" w:type="pct"/>
          </w:tcPr>
          <w:p w14:paraId="6EDD16E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2C49F7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277D1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1F7A14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F3995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B7BFAD8" w14:textId="77777777" w:rsidTr="008B24CF">
        <w:trPr>
          <w:cantSplit/>
        </w:trPr>
        <w:tc>
          <w:tcPr>
            <w:tcW w:w="2250" w:type="pct"/>
          </w:tcPr>
          <w:p w14:paraId="7613047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nejaké opatrenia v oblasti správy a riadenia resp. financovania, ktoré podporujú odborníkov z hlavného vzdelávacieho prúdu a zo špeciálneho vzdelávania v účasti na dlhodobej zmene?</w:t>
            </w:r>
          </w:p>
        </w:tc>
        <w:tc>
          <w:tcPr>
            <w:tcW w:w="500" w:type="pct"/>
          </w:tcPr>
          <w:p w14:paraId="52A03E3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7FF2A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8C409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295BCF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80063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355531BD" w14:textId="77777777" w:rsidTr="008B24CF">
        <w:trPr>
          <w:cantSplit/>
        </w:trPr>
        <w:tc>
          <w:tcPr>
            <w:tcW w:w="2250" w:type="pct"/>
          </w:tcPr>
          <w:p w14:paraId="0E53228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Umožňujú podporné štruktúry odborníkom zo špeciálneho vzdelávania, aby prevzali zodpovednosť za všetkých žiakov?</w:t>
            </w:r>
          </w:p>
        </w:tc>
        <w:tc>
          <w:tcPr>
            <w:tcW w:w="500" w:type="pct"/>
          </w:tcPr>
          <w:p w14:paraId="265FC0C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72525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6CD2C6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2DDEC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89DA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8035CC2" w14:textId="77777777" w:rsidTr="008B24CF">
        <w:trPr>
          <w:cantSplit/>
        </w:trPr>
        <w:tc>
          <w:tcPr>
            <w:tcW w:w="2250" w:type="pct"/>
          </w:tcPr>
          <w:p w14:paraId="2061F53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69099C8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C75E9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853F8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E38C2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1850AF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0A57F1" w14:textId="7A6A96C9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Priorita politiky/stratégia 1.2: Súčasťou národných politík je spoločný záväzok k inkluzívnemu vzdelávaniu, ktorý je podporený </w:t>
      </w:r>
      <w:r w:rsidRPr="00A71C07">
        <w:rPr>
          <w:rFonts w:asciiTheme="majorHAnsi" w:hAnsiTheme="majorHAnsi" w:cstheme="majorHAnsi"/>
          <w:i/>
          <w:lang w:bidi="sk-SK"/>
        </w:rPr>
        <w:t>prístupom založeným na ľudských právach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2A3C0A70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BDC8DB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736A00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5A5AC2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CACAF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1D9E57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44B76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3683E2F1" w14:textId="77777777" w:rsidTr="00C01411">
        <w:trPr>
          <w:cantSplit/>
        </w:trPr>
        <w:tc>
          <w:tcPr>
            <w:tcW w:w="2250" w:type="pct"/>
          </w:tcPr>
          <w:p w14:paraId="5C69416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Existuje jednoznačný a dlhodobý politický záväzok k podporovaniu ľudskoprávneho prístupu v legislatíve a politike?</w:t>
            </w:r>
          </w:p>
        </w:tc>
        <w:tc>
          <w:tcPr>
            <w:tcW w:w="500" w:type="pct"/>
          </w:tcPr>
          <w:p w14:paraId="4CFE062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EA67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84E1B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D43C6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31E8FE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884FD38" w14:textId="77777777" w:rsidTr="00C01411">
        <w:trPr>
          <w:cantSplit/>
        </w:trPr>
        <w:tc>
          <w:tcPr>
            <w:tcW w:w="2250" w:type="pct"/>
          </w:tcPr>
          <w:p w14:paraId="7CA616B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Nastáva v súlade s ľudskoprávnym prístupom jednoznačný posun od medicínskeho prístupu k sociálno-pedagogickému prístupu?</w:t>
            </w:r>
          </w:p>
        </w:tc>
        <w:tc>
          <w:tcPr>
            <w:tcW w:w="500" w:type="pct"/>
          </w:tcPr>
          <w:p w14:paraId="0AC211D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3266B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9AD0D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9E26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5805D3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35F94245" w14:textId="77777777" w:rsidTr="00C01411">
        <w:trPr>
          <w:cantSplit/>
        </w:trPr>
        <w:tc>
          <w:tcPr>
            <w:tcW w:w="2250" w:type="pct"/>
          </w:tcPr>
          <w:p w14:paraId="10F318F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nejaké ukazovatele, ktoré by preukazovali implementáciu sociálno-pedagogického prístupu?</w:t>
            </w:r>
          </w:p>
        </w:tc>
        <w:tc>
          <w:tcPr>
            <w:tcW w:w="500" w:type="pct"/>
          </w:tcPr>
          <w:p w14:paraId="5910E05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7A6C8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A330F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9B5D1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44FD70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7E64001" w14:textId="77777777" w:rsidTr="00C01411">
        <w:trPr>
          <w:cantSplit/>
        </w:trPr>
        <w:tc>
          <w:tcPr>
            <w:tcW w:w="2250" w:type="pct"/>
          </w:tcPr>
          <w:p w14:paraId="36702E5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8AF120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528C0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D1BB7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11611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C6137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7325CE7" w14:textId="6CCDC847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1.3: Uplatňujú sa politiky a stratégie, ktoré podporujú </w:t>
      </w:r>
      <w:r w:rsidRPr="00A71C07">
        <w:rPr>
          <w:rFonts w:asciiTheme="majorHAnsi" w:hAnsiTheme="majorHAnsi" w:cstheme="majorHAnsi"/>
          <w:i/>
          <w:lang w:bidi="sk-SK"/>
        </w:rPr>
        <w:t>spoločné chápanie</w:t>
      </w:r>
      <w:r w:rsidRPr="00A71C07">
        <w:rPr>
          <w:rFonts w:asciiTheme="majorHAnsi" w:hAnsiTheme="majorHAnsi" w:cstheme="majorHAnsi"/>
          <w:lang w:bidi="sk-SK"/>
        </w:rPr>
        <w:t xml:space="preserve"> inkluzívneho vzdelávania medzi hlavným prúdom vzdelávania a špeciálnym školstvom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309F836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222CB0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BD3C5D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591A4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351DB8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608E3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13B726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2AF89578" w14:textId="77777777" w:rsidTr="00C01411">
        <w:trPr>
          <w:cantSplit/>
        </w:trPr>
        <w:tc>
          <w:tcPr>
            <w:tcW w:w="2250" w:type="pct"/>
          </w:tcPr>
          <w:p w14:paraId="7281A91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1.3.1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Je vytvorený priestor na spoluprácu a dialóg pre účastníkov z hlavného vzdelávacieho prúdu a zo špeciálneho vzdelávania?</w:t>
            </w:r>
          </w:p>
        </w:tc>
        <w:tc>
          <w:tcPr>
            <w:tcW w:w="500" w:type="pct"/>
          </w:tcPr>
          <w:p w14:paraId="733FBB0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EF7E5D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388C1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644B3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A6618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4678BFE" w14:textId="77777777" w:rsidTr="00C01411">
        <w:trPr>
          <w:cantSplit/>
        </w:trPr>
        <w:tc>
          <w:tcPr>
            <w:tcW w:w="2250" w:type="pct"/>
          </w:tcPr>
          <w:p w14:paraId="1D8AE82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1.3.2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Existuje súbor opatrení, ktoré umožňujú vytváranie spoločného jazyka medzi hlavným prúdom vzdelávania a špeciálnym školstvom?</w:t>
            </w:r>
          </w:p>
        </w:tc>
        <w:tc>
          <w:tcPr>
            <w:tcW w:w="500" w:type="pct"/>
          </w:tcPr>
          <w:p w14:paraId="74F7CAB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27FBE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F7ED3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53389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E866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43BA82E" w14:textId="77777777" w:rsidTr="00C01411">
        <w:trPr>
          <w:cantSplit/>
        </w:trPr>
        <w:tc>
          <w:tcPr>
            <w:tcW w:w="2250" w:type="pct"/>
          </w:tcPr>
          <w:p w14:paraId="33724FF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lastRenderedPageBreak/>
              <w:t>1.3.3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k dispozícii ukazovatele na posúdenie úrovne chápania pojmu „inkluzívne vzdelávanie“ medzi odborníkmi z hlavného vzdelávacieho prúdu a zo špeciálneho vzdelávania?</w:t>
            </w:r>
          </w:p>
        </w:tc>
        <w:tc>
          <w:tcPr>
            <w:tcW w:w="500" w:type="pct"/>
          </w:tcPr>
          <w:p w14:paraId="43717AA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7B826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45AD0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0C1E6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BF6C04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D2A2C3D" w14:textId="77777777" w:rsidTr="00C01411">
        <w:trPr>
          <w:cantSplit/>
        </w:trPr>
        <w:tc>
          <w:tcPr>
            <w:tcW w:w="2250" w:type="pct"/>
          </w:tcPr>
          <w:p w14:paraId="0FAFC9A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65D6BB9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E7801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2A1CA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79AA10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21FE89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5EFFC06" w14:textId="17DBA046" w:rsidR="00776FBF" w:rsidRPr="00A71C07" w:rsidRDefault="00776FBF" w:rsidP="00591FE3">
      <w:pPr>
        <w:pStyle w:val="Agency-heading-2"/>
        <w:rPr>
          <w:rFonts w:asciiTheme="majorHAnsi" w:eastAsiaTheme="minorHAnsi" w:hAnsiTheme="majorHAnsi" w:cstheme="majorHAnsi"/>
        </w:rPr>
      </w:pPr>
      <w:bookmarkStart w:id="8" w:name="_Toc128753126"/>
      <w:r w:rsidRPr="00A71C07">
        <w:rPr>
          <w:rFonts w:asciiTheme="majorHAnsi" w:hAnsiTheme="majorHAnsi" w:cstheme="majorHAnsi"/>
          <w:lang w:bidi="sk-SK"/>
        </w:rPr>
        <w:t>Hlavná zásada č. 2: Presadzovanie výmeny poznatkov a získavania inkluzívnych kompetencií prostredníctvom spolupráce a vytvárania sietí</w:t>
      </w:r>
      <w:bookmarkEnd w:id="8"/>
    </w:p>
    <w:p w14:paraId="22A4402F" w14:textId="3327FD4A" w:rsidR="00776FBF" w:rsidRPr="00A71C07" w:rsidRDefault="00776FBF" w:rsidP="00591FE3">
      <w:pPr>
        <w:pStyle w:val="Agency-heading-3"/>
        <w:rPr>
          <w:rFonts w:asciiTheme="majorHAnsi" w:hAnsiTheme="majorHAnsi" w:cstheme="majorHAnsi"/>
          <w:bCs/>
          <w:i/>
          <w:iCs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2.1: Politiky a stratégie podporujú výmenu poznatkov prostredníctvom rozvoja </w:t>
      </w:r>
      <w:r w:rsidRPr="00A71C07">
        <w:rPr>
          <w:rFonts w:asciiTheme="majorHAnsi" w:hAnsiTheme="majorHAnsi" w:cstheme="majorHAnsi"/>
          <w:i/>
          <w:lang w:bidi="sk-SK"/>
        </w:rPr>
        <w:t>profesijných vzdelávacích komunít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60B33AF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23F01E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39931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CC1FA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E7757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92B66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F6CEC5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00C67DC0" w14:textId="77777777" w:rsidTr="00C01411">
        <w:trPr>
          <w:cantSplit/>
        </w:trPr>
        <w:tc>
          <w:tcPr>
            <w:tcW w:w="2250" w:type="pct"/>
          </w:tcPr>
          <w:p w14:paraId="56E9F78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kolaboratívne platformy na podporu spolupráce medzi odborníkmi z hlavného vzdelávacieho prúdu a zo špeciálneho vzdelávania?</w:t>
            </w:r>
          </w:p>
        </w:tc>
        <w:tc>
          <w:tcPr>
            <w:tcW w:w="500" w:type="pct"/>
          </w:tcPr>
          <w:p w14:paraId="68C9380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7648E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D82EF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8DD00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171AB5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3528B7D" w14:textId="77777777" w:rsidTr="00C01411">
        <w:trPr>
          <w:cantSplit/>
        </w:trPr>
        <w:tc>
          <w:tcPr>
            <w:tcW w:w="2250" w:type="pct"/>
          </w:tcPr>
          <w:p w14:paraId="59D2E61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Prebieha výmena poznatkov v záujme podporovania škôl vo vytváraní inkluzívneho a kvalitného vzdelávacieho prostredia?</w:t>
            </w:r>
          </w:p>
        </w:tc>
        <w:tc>
          <w:tcPr>
            <w:tcW w:w="500" w:type="pct"/>
          </w:tcPr>
          <w:p w14:paraId="0AD3218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9A5E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1EB72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6464E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C7EB0D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B6C5B1D" w14:textId="77777777" w:rsidTr="00C01411">
        <w:trPr>
          <w:cantSplit/>
        </w:trPr>
        <w:tc>
          <w:tcPr>
            <w:tcW w:w="2250" w:type="pct"/>
          </w:tcPr>
          <w:p w14:paraId="10BDDF0E" w14:textId="014D9D05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úlohy a roly všetkých účastníkov jednoznačne definované?</w:t>
            </w:r>
          </w:p>
        </w:tc>
        <w:tc>
          <w:tcPr>
            <w:tcW w:w="500" w:type="pct"/>
          </w:tcPr>
          <w:p w14:paraId="5F22C8B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47C1BC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1A92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A04436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09A52E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4F7BE71" w14:textId="77777777" w:rsidTr="00C01411">
        <w:trPr>
          <w:cantSplit/>
        </w:trPr>
        <w:tc>
          <w:tcPr>
            <w:tcW w:w="2250" w:type="pct"/>
          </w:tcPr>
          <w:p w14:paraId="66F03B8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29289BA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E77DC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D112A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C5AF4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9E2984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F51E42C" w14:textId="7CCF1ED5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Priorita politiky/stratégia 2.2: Transformáciou špeciálnych škôl na zdrojové centrá sa zabezpečí </w:t>
      </w:r>
      <w:r w:rsidRPr="00A71C07">
        <w:rPr>
          <w:rFonts w:asciiTheme="majorHAnsi" w:hAnsiTheme="majorHAnsi" w:cstheme="majorHAnsi"/>
          <w:i/>
          <w:lang w:bidi="sk-SK"/>
        </w:rPr>
        <w:t>výmena poznatkov</w:t>
      </w:r>
      <w:r w:rsidRPr="00A71C07">
        <w:rPr>
          <w:rFonts w:asciiTheme="majorHAnsi" w:hAnsiTheme="majorHAnsi" w:cstheme="majorHAnsi"/>
          <w:lang w:bidi="sk-SK"/>
        </w:rPr>
        <w:t xml:space="preserve"> medzi odborníkmi v oblasti špeciálneho vzdelávania a hlavného vzdelávacieho prúdu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0428C25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3AB2DC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907CAD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AFD5FA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54ADFA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72279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A65883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5274066E" w14:textId="77777777" w:rsidTr="00C01411">
        <w:trPr>
          <w:cantSplit/>
        </w:trPr>
        <w:tc>
          <w:tcPr>
            <w:tcW w:w="2250" w:type="pct"/>
          </w:tcPr>
          <w:p w14:paraId="2AB3405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opatrenia, ktoré podporujú odborníkov zo špeciálneho vzdelávania v zdieľaní svojich znalostí a kompetencií v prostredí hlavného prúdu vzdelávania?</w:t>
            </w:r>
          </w:p>
        </w:tc>
        <w:tc>
          <w:tcPr>
            <w:tcW w:w="500" w:type="pct"/>
          </w:tcPr>
          <w:p w14:paraId="39B83C2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E9336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660B4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CC5FD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849C7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F17DACE" w14:textId="77777777" w:rsidTr="00C01411">
        <w:trPr>
          <w:cantSplit/>
        </w:trPr>
        <w:tc>
          <w:tcPr>
            <w:tcW w:w="2250" w:type="pct"/>
          </w:tcPr>
          <w:p w14:paraId="48278B7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k dispozícii ukazovatele, ktoré umožňujú posúdiť rozsah takéhoto transferu znalostí a kompetencií?</w:t>
            </w:r>
          </w:p>
        </w:tc>
        <w:tc>
          <w:tcPr>
            <w:tcW w:w="500" w:type="pct"/>
          </w:tcPr>
          <w:p w14:paraId="301D53F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2A92A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49EB4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AD433D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D5EDF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746CF927" w14:textId="77777777" w:rsidTr="00C01411">
        <w:trPr>
          <w:cantSplit/>
        </w:trPr>
        <w:tc>
          <w:tcPr>
            <w:tcW w:w="2250" w:type="pct"/>
          </w:tcPr>
          <w:p w14:paraId="2131C6C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nejaké opatrenia v oblasti financovania, ako aj správy a riadenia s cieľom zabezpečiť jednoznačné vymedzenie úloh a rolí všetkých účastníkov?</w:t>
            </w:r>
          </w:p>
        </w:tc>
        <w:tc>
          <w:tcPr>
            <w:tcW w:w="500" w:type="pct"/>
          </w:tcPr>
          <w:p w14:paraId="0DA3DE7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9A661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4AE7D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CAD873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2812F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23032A0" w14:textId="77777777" w:rsidTr="00C01411">
        <w:trPr>
          <w:cantSplit/>
        </w:trPr>
        <w:tc>
          <w:tcPr>
            <w:tcW w:w="2250" w:type="pct"/>
          </w:tcPr>
          <w:p w14:paraId="139F426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5FC45A2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C2EB4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C9A2B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752E9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689092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E12CC84" w14:textId="3645B0D7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2.3: </w:t>
      </w:r>
      <w:r w:rsidRPr="00A71C07">
        <w:rPr>
          <w:rFonts w:asciiTheme="majorHAnsi" w:hAnsiTheme="majorHAnsi" w:cstheme="majorHAnsi"/>
          <w:i/>
          <w:lang w:bidi="sk-SK"/>
        </w:rPr>
        <w:t>Poskytovanie kontinuity podpory</w:t>
      </w:r>
      <w:r w:rsidRPr="00A71C07">
        <w:rPr>
          <w:rFonts w:asciiTheme="majorHAnsi" w:hAnsiTheme="majorHAnsi" w:cstheme="majorHAnsi"/>
          <w:lang w:bidi="sk-SK"/>
        </w:rPr>
        <w:t xml:space="preserve"> zo strany odborníkov umožňuje pracovníkom v hlavnom prúde vzdelávania, rodinám a žiakom získať inkluzívne kompetencie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2B1AD506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23C93C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8FD65F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C3DDBE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29DA4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CA69EF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2D622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05655DB0" w14:textId="77777777" w:rsidTr="00C01411">
        <w:trPr>
          <w:cantSplit/>
        </w:trPr>
        <w:tc>
          <w:tcPr>
            <w:tcW w:w="2250" w:type="pct"/>
          </w:tcPr>
          <w:p w14:paraId="3F6B07C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2.3.1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nejaké opatrenia na zabezpečenie kontinuity podpory?</w:t>
            </w:r>
          </w:p>
        </w:tc>
        <w:tc>
          <w:tcPr>
            <w:tcW w:w="500" w:type="pct"/>
          </w:tcPr>
          <w:p w14:paraId="0815DA1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5BC5A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A345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77C3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7911F2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25E8A25" w14:textId="77777777" w:rsidTr="00C01411">
        <w:trPr>
          <w:cantSplit/>
        </w:trPr>
        <w:tc>
          <w:tcPr>
            <w:tcW w:w="2250" w:type="pct"/>
          </w:tcPr>
          <w:p w14:paraId="1CC7CAB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2.3.2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k dispozícii alternatívy a príležitosti v oblasti podpory pre odborníkov z hlavného prúdu vzdelávania, rodiny a žiakov?</w:t>
            </w:r>
          </w:p>
        </w:tc>
        <w:tc>
          <w:tcPr>
            <w:tcW w:w="500" w:type="pct"/>
          </w:tcPr>
          <w:p w14:paraId="37B93EB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A73FE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4B69D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275C2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4072D3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36328CA4" w14:textId="77777777" w:rsidTr="00C01411">
        <w:trPr>
          <w:cantSplit/>
        </w:trPr>
        <w:tc>
          <w:tcPr>
            <w:tcW w:w="2250" w:type="pct"/>
          </w:tcPr>
          <w:p w14:paraId="5FE68E3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lastRenderedPageBreak/>
              <w:t>2.3.3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ukazovatele na posúdenie kvality zabezpečovanej kontinuity podpory?</w:t>
            </w:r>
          </w:p>
        </w:tc>
        <w:tc>
          <w:tcPr>
            <w:tcW w:w="500" w:type="pct"/>
          </w:tcPr>
          <w:p w14:paraId="2AEBFAC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A01643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6F42D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64F5C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93660F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1EC731E8" w14:textId="77777777" w:rsidTr="00C01411">
        <w:trPr>
          <w:cantSplit/>
        </w:trPr>
        <w:tc>
          <w:tcPr>
            <w:tcW w:w="2250" w:type="pct"/>
          </w:tcPr>
          <w:p w14:paraId="4C4A504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59F7D3A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7F3ED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9A155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931B20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868C7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D25D1B" w14:textId="297B2A3A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9" w:name="_Toc128753127"/>
      <w:r w:rsidRPr="00A71C07">
        <w:rPr>
          <w:rFonts w:asciiTheme="majorHAnsi" w:hAnsiTheme="majorHAnsi" w:cstheme="majorHAnsi"/>
          <w:lang w:bidi="sk-SK"/>
        </w:rPr>
        <w:t>Hlavná zásada č. 3: Zabezpečenie kontinuálneho profesijného vzdelávania v oblasti inklúzie</w:t>
      </w:r>
      <w:bookmarkEnd w:id="9"/>
    </w:p>
    <w:p w14:paraId="534ACE1E" w14:textId="0B71EA9C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3.1: V rámci príležitostí na profesijné vzdelávanie sa podporuje </w:t>
      </w:r>
      <w:r w:rsidRPr="00A71C07">
        <w:rPr>
          <w:rFonts w:asciiTheme="majorHAnsi" w:hAnsiTheme="majorHAnsi" w:cstheme="majorHAnsi"/>
          <w:i/>
          <w:lang w:bidi="sk-SK"/>
        </w:rPr>
        <w:t>spoločný jazyk</w:t>
      </w:r>
      <w:r w:rsidRPr="00A71C07">
        <w:rPr>
          <w:rFonts w:asciiTheme="majorHAnsi" w:hAnsiTheme="majorHAnsi" w:cstheme="majorHAnsi"/>
          <w:lang w:bidi="sk-SK"/>
        </w:rPr>
        <w:t>, ktoré je zaužívaný v rámci inklúzie pre všetkých žiakov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504E461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7D231A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5C7F54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9EA1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435E51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2A1BB4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19A878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36D0D7D4" w14:textId="77777777" w:rsidTr="00C01411">
        <w:trPr>
          <w:cantSplit/>
        </w:trPr>
        <w:tc>
          <w:tcPr>
            <w:tcW w:w="2250" w:type="pct"/>
          </w:tcPr>
          <w:p w14:paraId="65E3F0E4" w14:textId="027CA73D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Je inklúzia ako kľúčový pojem zakotvená spolu so zásadami inklúzie v príležitostiach na kontinuálne profesijné vzdelávanie?</w:t>
            </w:r>
          </w:p>
        </w:tc>
        <w:tc>
          <w:tcPr>
            <w:tcW w:w="500" w:type="pct"/>
          </w:tcPr>
          <w:p w14:paraId="749D43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0309C5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E9A2A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51272C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FC9410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69876C9" w14:textId="77777777" w:rsidTr="00C01411">
        <w:trPr>
          <w:cantSplit/>
        </w:trPr>
        <w:tc>
          <w:tcPr>
            <w:tcW w:w="2250" w:type="pct"/>
          </w:tcPr>
          <w:p w14:paraId="04F4A687" w14:textId="77777777" w:rsidR="00776FBF" w:rsidRPr="00A71C07" w:rsidRDefault="00776FBF" w:rsidP="00591FE3">
            <w:pPr>
              <w:rPr>
                <w:rFonts w:asciiTheme="majorHAnsi" w:hAnsiTheme="majorHAnsi" w:cstheme="majorHAnsi"/>
                <w:sz w:val="22"/>
                <w:szCs w:val="22"/>
                <w:lang w:eastAsia="en-GB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 xml:space="preserve">: </w:t>
            </w:r>
            <w:r w:rsidRPr="00A71C07">
              <w:rPr>
                <w:rStyle w:val="Agency-body-textChar"/>
                <w:rFonts w:asciiTheme="majorHAnsi" w:hAnsiTheme="majorHAnsi" w:cstheme="majorHAnsi"/>
                <w:sz w:val="22"/>
                <w:lang w:bidi="sk-SK"/>
              </w:rPr>
              <w:t>Existujú opatrenia na zabezpečenie spoločných školení/kurzov pre odborníkov z hlavného vzdelávacieho prúdu a zo špeciálneho vzdelávania?</w:t>
            </w:r>
          </w:p>
        </w:tc>
        <w:tc>
          <w:tcPr>
            <w:tcW w:w="500" w:type="pct"/>
          </w:tcPr>
          <w:p w14:paraId="38A5399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9F710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0209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5AE1A4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336AE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586CAD0" w14:textId="77777777" w:rsidTr="00C01411">
        <w:trPr>
          <w:cantSplit/>
        </w:trPr>
        <w:tc>
          <w:tcPr>
            <w:tcW w:w="2250" w:type="pct"/>
          </w:tcPr>
          <w:p w14:paraId="2211BB36" w14:textId="41205BCF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k dispozícii opatrenia s cieľom zabezpečiť, aby príležitosti na profesijné vzdelávanie zahŕňali príspevky a skúsenosti pracovníkov z praxe, ktorí pracujú s rôznymi žiakmi?</w:t>
            </w:r>
          </w:p>
        </w:tc>
        <w:tc>
          <w:tcPr>
            <w:tcW w:w="500" w:type="pct"/>
          </w:tcPr>
          <w:p w14:paraId="1D47D75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1C09F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B6B31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00CD2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CAFE3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8DB6281" w14:textId="77777777" w:rsidTr="00C01411">
        <w:trPr>
          <w:cantSplit/>
        </w:trPr>
        <w:tc>
          <w:tcPr>
            <w:tcW w:w="2250" w:type="pct"/>
          </w:tcPr>
          <w:p w14:paraId="1F1F50B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F67B34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5572E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24CB2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9341F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5722B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35EC64D" w14:textId="55CFA5AA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Priorita politiky/stratégia 3.2: Odborníci z hlavného vzdelávacieho prúdu a z oblasti špeciálneho vzdelávania disponujú náležitými </w:t>
      </w:r>
      <w:r w:rsidRPr="00A71C07">
        <w:rPr>
          <w:rFonts w:asciiTheme="majorHAnsi" w:hAnsiTheme="majorHAnsi" w:cstheme="majorHAnsi"/>
          <w:i/>
          <w:lang w:bidi="sk-SK"/>
        </w:rPr>
        <w:t>kompetenciami/zručnosťami, odbornou kvalifikáciou a nástrojmi</w:t>
      </w:r>
      <w:r w:rsidRPr="00A71C07">
        <w:rPr>
          <w:rFonts w:asciiTheme="majorHAnsi" w:hAnsiTheme="majorHAnsi" w:cstheme="majorHAnsi"/>
          <w:lang w:bidi="sk-SK"/>
        </w:rPr>
        <w:t xml:space="preserve"> na prácu s rozmanitými skupinami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6D7D187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5EA773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EBC9D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AB805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687DA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A8370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3548B9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5C86C226" w14:textId="77777777" w:rsidTr="00C01411">
        <w:trPr>
          <w:cantSplit/>
        </w:trPr>
        <w:tc>
          <w:tcPr>
            <w:tcW w:w="2250" w:type="pct"/>
          </w:tcPr>
          <w:p w14:paraId="731FA467" w14:textId="61927A3E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opatrenia, ktorými sa zabezpečí, aby učebné osnovy pre pregraduálne vzdelávanie učiteľov obsahovali koncepciu a zásady inkluzívneho vzdelávania?</w:t>
            </w:r>
          </w:p>
        </w:tc>
        <w:tc>
          <w:tcPr>
            <w:tcW w:w="500" w:type="pct"/>
          </w:tcPr>
          <w:p w14:paraId="1FF2FF4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8040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EA9E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FC9C3D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A6AC14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81DF36A" w14:textId="77777777" w:rsidTr="00C01411">
        <w:trPr>
          <w:cantSplit/>
        </w:trPr>
        <w:tc>
          <w:tcPr>
            <w:tcW w:w="2250" w:type="pct"/>
          </w:tcPr>
          <w:p w14:paraId="38D30C77" w14:textId="05A4CFD0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Je inkluzívna pedagogika zakotvená v profesijnom vzdelávaní začínajúcich aj skúsených učiteľov v hlavnom vzdelávacom prúde a špeciálnom školstve?</w:t>
            </w:r>
          </w:p>
        </w:tc>
        <w:tc>
          <w:tcPr>
            <w:tcW w:w="500" w:type="pct"/>
          </w:tcPr>
          <w:p w14:paraId="1391F0D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D1707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D4C24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62DDBF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85D233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7D3CB359" w14:textId="77777777" w:rsidTr="00C01411">
        <w:trPr>
          <w:cantSplit/>
        </w:trPr>
        <w:tc>
          <w:tcPr>
            <w:tcW w:w="2250" w:type="pct"/>
          </w:tcPr>
          <w:p w14:paraId="101006F2" w14:textId="0CBC6FB4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opatrenia na vytváranie príležitostí na vzdelávanie popri zamestnaní pre všetkých odborníkov z hlavného vzdelávacieho prúdu, ako aj zo špeciálneho vzdelávania?</w:t>
            </w:r>
          </w:p>
        </w:tc>
        <w:tc>
          <w:tcPr>
            <w:tcW w:w="500" w:type="pct"/>
          </w:tcPr>
          <w:p w14:paraId="51E738C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7ABD8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C4DE1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883B1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14EF5E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4987303F" w14:textId="77777777" w:rsidTr="00C01411">
        <w:trPr>
          <w:cantSplit/>
        </w:trPr>
        <w:tc>
          <w:tcPr>
            <w:tcW w:w="2250" w:type="pct"/>
          </w:tcPr>
          <w:p w14:paraId="1CB9571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D4EEDA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F6FB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D6D8FB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2FC10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60C864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252C969" w14:textId="1B5CA6FF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3.3: </w:t>
      </w:r>
      <w:r w:rsidRPr="00A71C07">
        <w:rPr>
          <w:rFonts w:asciiTheme="majorHAnsi" w:hAnsiTheme="majorHAnsi" w:cstheme="majorHAnsi"/>
          <w:i/>
          <w:lang w:bidi="sk-SK"/>
        </w:rPr>
        <w:t xml:space="preserve">Prepájanie </w:t>
      </w:r>
      <w:r w:rsidRPr="00A71C07">
        <w:rPr>
          <w:rFonts w:asciiTheme="majorHAnsi" w:hAnsiTheme="majorHAnsi" w:cstheme="majorHAnsi"/>
          <w:lang w:bidi="sk-SK"/>
        </w:rPr>
        <w:t>príležitostí na profesijné vzdelávanie pre učiteľov z hlavného vzdelávacieho prúdu a zo špeciálneho vzdelávania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1159499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D05A9E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538D7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96798F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647AD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CAA4D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42382A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1007CA07" w14:textId="77777777" w:rsidTr="00C01411">
        <w:trPr>
          <w:cantSplit/>
        </w:trPr>
        <w:tc>
          <w:tcPr>
            <w:tcW w:w="2250" w:type="pct"/>
          </w:tcPr>
          <w:p w14:paraId="296913C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3.3.1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štruktúry, ktoré by umožňovali spoluprácu medzi odborníkmi?</w:t>
            </w:r>
          </w:p>
        </w:tc>
        <w:tc>
          <w:tcPr>
            <w:tcW w:w="500" w:type="pct"/>
          </w:tcPr>
          <w:p w14:paraId="3F287EA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90945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97406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8F23E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7616FB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3AD1F26" w14:textId="77777777" w:rsidTr="00C01411">
        <w:trPr>
          <w:cantSplit/>
        </w:trPr>
        <w:tc>
          <w:tcPr>
            <w:tcW w:w="2250" w:type="pct"/>
          </w:tcPr>
          <w:p w14:paraId="15DE1C67" w14:textId="4B688041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lastRenderedPageBreak/>
              <w:t>3.3.2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Poskytujú zamestnanci v oblasti špeciálneho vzdelávania poradenstvo a podporu učiteľom v hlavnom prúde vzdelávania pri práci s rozmanitými skupinami?</w:t>
            </w:r>
          </w:p>
        </w:tc>
        <w:tc>
          <w:tcPr>
            <w:tcW w:w="500" w:type="pct"/>
          </w:tcPr>
          <w:p w14:paraId="04F4553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74EE0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DB4E7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5EFF1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B6D85A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C983D17" w14:textId="77777777" w:rsidTr="00C01411">
        <w:trPr>
          <w:cantSplit/>
        </w:trPr>
        <w:tc>
          <w:tcPr>
            <w:tcW w:w="2250" w:type="pct"/>
          </w:tcPr>
          <w:p w14:paraId="0390D9B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3.3.3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programy, ktoré by mohli budovať mosty medzi špeciálnym školstvom a hlavným prúdom vzdelávania?</w:t>
            </w:r>
          </w:p>
        </w:tc>
        <w:tc>
          <w:tcPr>
            <w:tcW w:w="500" w:type="pct"/>
          </w:tcPr>
          <w:p w14:paraId="66FDCE7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1E6D53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F8F8AD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DE90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711DF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A518C3A" w14:textId="77777777" w:rsidTr="00C01411">
        <w:trPr>
          <w:cantSplit/>
        </w:trPr>
        <w:tc>
          <w:tcPr>
            <w:tcW w:w="2250" w:type="pct"/>
          </w:tcPr>
          <w:p w14:paraId="676C6E7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45D61C7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0F40F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3C635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BB634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8DDA6B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7D6D6F" w14:textId="5FDE2992" w:rsidR="00776FBF" w:rsidRPr="00A71C07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10" w:name="_Toc128753128"/>
      <w:r w:rsidRPr="00A71C07">
        <w:rPr>
          <w:rFonts w:asciiTheme="majorHAnsi" w:hAnsiTheme="majorHAnsi" w:cstheme="majorHAnsi"/>
          <w:lang w:bidi="sk-SK"/>
        </w:rPr>
        <w:t>Hlavná zásada č. 4: Podpora inkluzívneho vedenia a riadenia školy</w:t>
      </w:r>
      <w:bookmarkEnd w:id="10"/>
    </w:p>
    <w:p w14:paraId="37DBDF11" w14:textId="32820686" w:rsidR="00776FBF" w:rsidRPr="00A71C07" w:rsidRDefault="00776FBF" w:rsidP="00591FE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4.1: Riadiaci zamestnanci školy podporujú </w:t>
      </w:r>
      <w:r w:rsidRPr="00A71C07">
        <w:rPr>
          <w:rFonts w:asciiTheme="majorHAnsi" w:hAnsiTheme="majorHAnsi" w:cstheme="majorHAnsi"/>
          <w:i/>
          <w:lang w:bidi="sk-SK"/>
        </w:rPr>
        <w:t>inkluzívnu víziu</w:t>
      </w:r>
      <w:r w:rsidRPr="00A71C07">
        <w:rPr>
          <w:rFonts w:asciiTheme="majorHAnsi" w:hAnsiTheme="majorHAnsi" w:cstheme="majorHAnsi"/>
          <w:lang w:bidi="sk-SK"/>
        </w:rPr>
        <w:t xml:space="preserve"> vrátane spoločných hodnôt, spoločného jazyka a porozumenia, ako aj holistický prístup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64969742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9095B4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70087C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A66430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026139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FC9B28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7D229B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1238DA0E" w14:textId="77777777" w:rsidTr="00C01411">
        <w:trPr>
          <w:cantSplit/>
        </w:trPr>
        <w:tc>
          <w:tcPr>
            <w:tcW w:w="2250" w:type="pct"/>
          </w:tcPr>
          <w:p w14:paraId="0035BA0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Obsahuje legislatíva jednoznačnú definíciu inklúzie, ktorú by mali prijať riadiaci zamestnanci škôl?</w:t>
            </w:r>
          </w:p>
        </w:tc>
        <w:tc>
          <w:tcPr>
            <w:tcW w:w="500" w:type="pct"/>
          </w:tcPr>
          <w:p w14:paraId="282DC24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E84138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EE57E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AEC00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809FCE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1617A44A" w14:textId="77777777" w:rsidTr="00C01411">
        <w:trPr>
          <w:cantSplit/>
        </w:trPr>
        <w:tc>
          <w:tcPr>
            <w:tcW w:w="2250" w:type="pct"/>
          </w:tcPr>
          <w:p w14:paraId="2A12094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Vychádza odborná príprava riadiacich pracovníkov z celoškolského prístupu?</w:t>
            </w:r>
          </w:p>
        </w:tc>
        <w:tc>
          <w:tcPr>
            <w:tcW w:w="500" w:type="pct"/>
          </w:tcPr>
          <w:p w14:paraId="10FAB97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AAE24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B8816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49601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89FD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FB7D1EB" w14:textId="77777777" w:rsidTr="00C01411">
        <w:trPr>
          <w:cantSplit/>
        </w:trPr>
        <w:tc>
          <w:tcPr>
            <w:tcW w:w="2250" w:type="pct"/>
          </w:tcPr>
          <w:p w14:paraId="240667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riadiaci pracovníci z hlavného prúdu vzdelávania zodpovední za zohľadňovanie rozmanitosti (pôsobia ako „sprostredkovatelia“)?</w:t>
            </w:r>
          </w:p>
        </w:tc>
        <w:tc>
          <w:tcPr>
            <w:tcW w:w="500" w:type="pct"/>
          </w:tcPr>
          <w:p w14:paraId="24BA917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6A9BE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EADBE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04277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B6A7FD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40E2B0FA" w14:textId="77777777" w:rsidTr="00C01411">
        <w:trPr>
          <w:cantSplit/>
        </w:trPr>
        <w:tc>
          <w:tcPr>
            <w:tcW w:w="2250" w:type="pct"/>
          </w:tcPr>
          <w:p w14:paraId="29FD0AA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6B8E59D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F18AD1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B6646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3619E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68CC15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3AC3665" w14:textId="6178B34E" w:rsidR="00776FBF" w:rsidRPr="00A71C07" w:rsidRDefault="00776FBF" w:rsidP="00581BFC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Priorita politiky/stratégia 4.2: Zabezpečenie </w:t>
      </w:r>
      <w:r w:rsidRPr="00A71C07">
        <w:rPr>
          <w:rFonts w:asciiTheme="majorHAnsi" w:hAnsiTheme="majorHAnsi" w:cstheme="majorHAnsi"/>
          <w:i/>
          <w:lang w:bidi="sk-SK"/>
        </w:rPr>
        <w:t>schopností a dôvery</w:t>
      </w:r>
      <w:r w:rsidRPr="00A71C07">
        <w:rPr>
          <w:rFonts w:asciiTheme="majorHAnsi" w:hAnsiTheme="majorHAnsi" w:cstheme="majorHAnsi"/>
          <w:lang w:bidi="sk-SK"/>
        </w:rPr>
        <w:t xml:space="preserve"> vedenia školy v hlavnom vzdelávacom prúde, ako aj v špeciálnom vzdelávaní v záujme podpory inkluzívneho vzdelávania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75B1CB8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0AF96C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386B8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E829B1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85D61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0741F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1E6936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5870DEF0" w14:textId="77777777" w:rsidTr="00C01411">
        <w:trPr>
          <w:cantSplit/>
        </w:trPr>
        <w:tc>
          <w:tcPr>
            <w:tcW w:w="2250" w:type="pct"/>
          </w:tcPr>
          <w:p w14:paraId="40D9F69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štruktúry pre tvorbu stratégií vedenia v oblasti inkluzívneho vzdelávania?</w:t>
            </w:r>
          </w:p>
        </w:tc>
        <w:tc>
          <w:tcPr>
            <w:tcW w:w="500" w:type="pct"/>
          </w:tcPr>
          <w:p w14:paraId="04D53B0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47067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CED0A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285C7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26FDCA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8708CD2" w14:textId="77777777" w:rsidTr="00C01411">
        <w:trPr>
          <w:cantSplit/>
        </w:trPr>
        <w:tc>
          <w:tcPr>
            <w:tcW w:w="2250" w:type="pct"/>
          </w:tcPr>
          <w:p w14:paraId="7D25891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podporné štruktúry, vďaka ktorým sa tímy riadiacich pracovníkov môžu cítiť istejšie pri implementácii inkluzívneho vzdelávania?</w:t>
            </w:r>
          </w:p>
        </w:tc>
        <w:tc>
          <w:tcPr>
            <w:tcW w:w="500" w:type="pct"/>
          </w:tcPr>
          <w:p w14:paraId="2408DA0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A1DC1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85677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DF763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C7AE2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7291D11" w14:textId="77777777" w:rsidTr="00C01411">
        <w:trPr>
          <w:cantSplit/>
        </w:trPr>
        <w:tc>
          <w:tcPr>
            <w:tcW w:w="2250" w:type="pct"/>
          </w:tcPr>
          <w:p w14:paraId="00D723C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Majú tímy riadiacich pracovníkov potrebnú mieru autonómie pri implementácii inkluzívneho vzdelávania?</w:t>
            </w:r>
          </w:p>
        </w:tc>
        <w:tc>
          <w:tcPr>
            <w:tcW w:w="500" w:type="pct"/>
          </w:tcPr>
          <w:p w14:paraId="5884CB8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800CD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7AB9B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33F20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6D7FD9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7816CC5" w14:textId="77777777" w:rsidTr="00C01411">
        <w:trPr>
          <w:cantSplit/>
        </w:trPr>
        <w:tc>
          <w:tcPr>
            <w:tcW w:w="2250" w:type="pct"/>
          </w:tcPr>
          <w:p w14:paraId="2F4CF56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366E932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B0F53B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0BA7E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358F5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C862C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B366F34" w14:textId="60D8F940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4.3: Vedenie a riadenie školy podporujú inkluzívne vzdelávanie prostredníctvom </w:t>
      </w:r>
      <w:r w:rsidRPr="00A71C07">
        <w:rPr>
          <w:rFonts w:asciiTheme="majorHAnsi" w:hAnsiTheme="majorHAnsi" w:cstheme="majorHAnsi"/>
          <w:i/>
          <w:lang w:bidi="sk-SK"/>
        </w:rPr>
        <w:t>spolupráce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7D3F7C4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4254C2C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8C04E0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47EAD0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ABFAAE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0C017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5A1DA4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79D12246" w14:textId="77777777" w:rsidTr="00C01411">
        <w:trPr>
          <w:cantSplit/>
        </w:trPr>
        <w:tc>
          <w:tcPr>
            <w:tcW w:w="2250" w:type="pct"/>
          </w:tcPr>
          <w:p w14:paraId="0790A41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4.3.1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Zabezpečuje vedenie a riadenie školy efektívnu spoluprácu medzi multiprofesionálnymi tímami?</w:t>
            </w:r>
          </w:p>
        </w:tc>
        <w:tc>
          <w:tcPr>
            <w:tcW w:w="500" w:type="pct"/>
          </w:tcPr>
          <w:p w14:paraId="52F4B60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F87EB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23021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13CF4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D037CA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B8D3F6A" w14:textId="77777777" w:rsidTr="00C01411">
        <w:trPr>
          <w:cantSplit/>
        </w:trPr>
        <w:tc>
          <w:tcPr>
            <w:tcW w:w="2250" w:type="pct"/>
          </w:tcPr>
          <w:p w14:paraId="671CC5F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4.3.2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 xml:space="preserve">: Podporuje vedenie a riadenie školy transfer know-how zo špeciálneho vzdelávania do hlavného vzdelávacieho prúdu? </w:t>
            </w:r>
          </w:p>
        </w:tc>
        <w:tc>
          <w:tcPr>
            <w:tcW w:w="500" w:type="pct"/>
          </w:tcPr>
          <w:p w14:paraId="55E2D21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A3B6B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A67BC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E84D2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E4974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E7AAC01" w14:textId="77777777" w:rsidTr="00C01411">
        <w:trPr>
          <w:cantSplit/>
        </w:trPr>
        <w:tc>
          <w:tcPr>
            <w:tcW w:w="2250" w:type="pct"/>
          </w:tcPr>
          <w:p w14:paraId="44C6824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lastRenderedPageBreak/>
              <w:t>4.3.3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Podporuje vedenie a riadenie školy nepretržitú spoluprácu a komunikáciu medzi školami, komunitnými službami, poskytovateľmi odbornej prípravy, atď.?</w:t>
            </w:r>
          </w:p>
        </w:tc>
        <w:tc>
          <w:tcPr>
            <w:tcW w:w="500" w:type="pct"/>
          </w:tcPr>
          <w:p w14:paraId="0E809D3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1AE12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3D51A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472CA3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36EB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B5E2B7B" w14:textId="77777777" w:rsidTr="00C01411">
        <w:trPr>
          <w:cantSplit/>
        </w:trPr>
        <w:tc>
          <w:tcPr>
            <w:tcW w:w="2250" w:type="pct"/>
          </w:tcPr>
          <w:p w14:paraId="7325A08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58CC9D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2812C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D641AD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466110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7330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6B6B22D" w14:textId="09B08E30" w:rsidR="00776FBF" w:rsidRPr="00A71C07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1" w:name="_Toc128753129"/>
      <w:r w:rsidRPr="00A71C07">
        <w:rPr>
          <w:rFonts w:asciiTheme="majorHAnsi" w:hAnsiTheme="majorHAnsi" w:cstheme="majorHAnsi"/>
          <w:lang w:bidi="sk-SK"/>
        </w:rPr>
        <w:t>Hlavná zásada č. 5: Podpora aktívneho zapojenia zainteresovaných strán</w:t>
      </w:r>
      <w:bookmarkEnd w:id="11"/>
    </w:p>
    <w:p w14:paraId="19DE2D6F" w14:textId="056A8938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5.1: Uplatňujú sa komplexné národné politiky a stratégie, ktoré boli vypracované na základe </w:t>
      </w:r>
      <w:r w:rsidRPr="00A71C07">
        <w:rPr>
          <w:rFonts w:asciiTheme="majorHAnsi" w:hAnsiTheme="majorHAnsi" w:cstheme="majorHAnsi"/>
          <w:i/>
          <w:lang w:bidi="sk-SK"/>
        </w:rPr>
        <w:t xml:space="preserve">širokých konzultácií </w:t>
      </w:r>
      <w:r w:rsidRPr="00A71C07">
        <w:rPr>
          <w:rFonts w:asciiTheme="majorHAnsi" w:hAnsiTheme="majorHAnsi" w:cstheme="majorHAnsi"/>
          <w:lang w:bidi="sk-SK"/>
        </w:rPr>
        <w:t>so všetkými zainteresovanými stranami, vrátane jasnej politickej vízie a vôle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1FA24FA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B81C0E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D360D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373E5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D609EA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B4165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DCA942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4854AC68" w14:textId="77777777" w:rsidTr="00C01411">
        <w:trPr>
          <w:cantSplit/>
        </w:trPr>
        <w:tc>
          <w:tcPr>
            <w:tcW w:w="2250" w:type="pct"/>
          </w:tcPr>
          <w:p w14:paraId="30D63E9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Obsahuje vnútroštátna legislatíva opatrenia/procesy, ktoré podporujú zapájanie účastníkov?</w:t>
            </w:r>
          </w:p>
        </w:tc>
        <w:tc>
          <w:tcPr>
            <w:tcW w:w="500" w:type="pct"/>
          </w:tcPr>
          <w:p w14:paraId="262CE6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90B1D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102B76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42DCC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01BDF5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308E701" w14:textId="77777777" w:rsidTr="00C01411">
        <w:trPr>
          <w:cantSplit/>
        </w:trPr>
        <w:tc>
          <w:tcPr>
            <w:tcW w:w="2250" w:type="pct"/>
          </w:tcPr>
          <w:p w14:paraId="7366DF6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zavedené postupy na zabezpečenie rovnakej úrovne zapojenia účastníkov do vzdelávania v ranom detstve a na základných a stredných školách?</w:t>
            </w:r>
          </w:p>
        </w:tc>
        <w:tc>
          <w:tcPr>
            <w:tcW w:w="500" w:type="pct"/>
          </w:tcPr>
          <w:p w14:paraId="4C9587E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8B6AC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8C478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AA1142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90188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532119AE" w14:textId="77777777" w:rsidTr="00C01411">
        <w:trPr>
          <w:cantSplit/>
        </w:trPr>
        <w:tc>
          <w:tcPr>
            <w:tcW w:w="2250" w:type="pct"/>
          </w:tcPr>
          <w:p w14:paraId="2792D88C" w14:textId="631ECB5C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Je zapájanie účastníkov v rámci jednotlivých regiónov/obcí konzistentné?</w:t>
            </w:r>
          </w:p>
        </w:tc>
        <w:tc>
          <w:tcPr>
            <w:tcW w:w="500" w:type="pct"/>
          </w:tcPr>
          <w:p w14:paraId="478A3BC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239DE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6E712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F6C54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AFAD09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0A48CEC" w14:textId="77777777" w:rsidTr="00C01411">
        <w:trPr>
          <w:cantSplit/>
        </w:trPr>
        <w:tc>
          <w:tcPr>
            <w:tcW w:w="2250" w:type="pct"/>
          </w:tcPr>
          <w:p w14:paraId="37E3067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1B7C16C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8229A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83E9D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ADD91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16DE98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3BF325F" w14:textId="1F1E2DA0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Priorita politiky/stratégia 5.2: Politikou sa zabezpečuje, aby žiaci a rodiny boli hlavnými aktérmi a považovali sa za </w:t>
      </w:r>
      <w:r w:rsidRPr="00A71C07">
        <w:rPr>
          <w:rFonts w:asciiTheme="majorHAnsi" w:hAnsiTheme="majorHAnsi" w:cstheme="majorHAnsi"/>
          <w:i/>
          <w:lang w:bidi="sk-SK"/>
        </w:rPr>
        <w:t>kľúčový zdroj</w:t>
      </w:r>
      <w:r w:rsidRPr="00A71C07">
        <w:rPr>
          <w:rFonts w:asciiTheme="majorHAnsi" w:hAnsiTheme="majorHAnsi" w:cstheme="majorHAnsi"/>
          <w:lang w:bidi="sk-SK"/>
        </w:rPr>
        <w:t xml:space="preserve"> v procese učenia a výučby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199E151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8FC2AE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07735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1E138C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4D337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4BB528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1594AF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59DF8B83" w14:textId="77777777" w:rsidTr="00C01411">
        <w:trPr>
          <w:cantSplit/>
        </w:trPr>
        <w:tc>
          <w:tcPr>
            <w:tcW w:w="2250" w:type="pct"/>
          </w:tcPr>
          <w:p w14:paraId="609AE226" w14:textId="66BEBEA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spravodlivé príležitosti pre účasť všetkých rodín/žiakov z rôznych prostredí v sektoroch hlavného vzdelávacieho prúdu a špeciálneho vzdelávania (napr. účasť rodín a žiakov na príprave individuálnych vzdelávacích plánov)?</w:t>
            </w:r>
          </w:p>
        </w:tc>
        <w:tc>
          <w:tcPr>
            <w:tcW w:w="500" w:type="pct"/>
          </w:tcPr>
          <w:p w14:paraId="30E2B5C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6380D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515AE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19BB6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37CDD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100B5E2F" w14:textId="77777777" w:rsidTr="00C01411">
        <w:trPr>
          <w:cantSplit/>
        </w:trPr>
        <w:tc>
          <w:tcPr>
            <w:tcW w:w="2250" w:type="pct"/>
          </w:tcPr>
          <w:p w14:paraId="6FF81075" w14:textId="5BDA84F8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participatívne kanály, štruktúry a/alebo orgány (napr. žiacke a školské rady, združenia rodín/osôb so zdravotným postihnutím), ktoré sa zapájajú do činností školy?</w:t>
            </w:r>
          </w:p>
        </w:tc>
        <w:tc>
          <w:tcPr>
            <w:tcW w:w="500" w:type="pct"/>
          </w:tcPr>
          <w:p w14:paraId="1A9C399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5AFF1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F92B5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015B2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C122B1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0A87554" w14:textId="77777777" w:rsidTr="00C01411">
        <w:trPr>
          <w:cantSplit/>
        </w:trPr>
        <w:tc>
          <w:tcPr>
            <w:tcW w:w="2250" w:type="pct"/>
          </w:tcPr>
          <w:p w14:paraId="1F28E24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5.2.3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Majú rodiny a žiaci možnosť ovplyvňovať rozhodnutia týkajúce sa procesu výučby a učenia?</w:t>
            </w:r>
          </w:p>
        </w:tc>
        <w:tc>
          <w:tcPr>
            <w:tcW w:w="500" w:type="pct"/>
          </w:tcPr>
          <w:p w14:paraId="7E7E8AC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9EAFD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CD745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F5439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52FAA6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2FC0D4B1" w14:textId="77777777" w:rsidTr="00C01411">
        <w:trPr>
          <w:cantSplit/>
        </w:trPr>
        <w:tc>
          <w:tcPr>
            <w:tcW w:w="2250" w:type="pct"/>
          </w:tcPr>
          <w:p w14:paraId="79A9D76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3BA6E7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2D1E2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EAA43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AAE15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92CCA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AC577B" w14:textId="627C77F0" w:rsidR="00776FBF" w:rsidRPr="00A71C07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2" w:name="_Toc128753130"/>
      <w:r w:rsidRPr="00A71C07">
        <w:rPr>
          <w:rFonts w:asciiTheme="majorHAnsi" w:hAnsiTheme="majorHAnsi" w:cstheme="majorHAnsi"/>
          <w:lang w:bidi="sk-SK"/>
        </w:rPr>
        <w:lastRenderedPageBreak/>
        <w:t>Hlavná zásada č. 6: Podpora priebežného monitorovania a hodnotenia</w:t>
      </w:r>
      <w:bookmarkEnd w:id="12"/>
    </w:p>
    <w:p w14:paraId="55A4C09B" w14:textId="692BFF59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6.1: Na </w:t>
      </w:r>
      <w:r w:rsidRPr="00A71C07">
        <w:rPr>
          <w:rFonts w:asciiTheme="majorHAnsi" w:hAnsiTheme="majorHAnsi" w:cstheme="majorHAnsi"/>
          <w:i/>
          <w:lang w:bidi="sk-SK"/>
        </w:rPr>
        <w:t>národnej úrovni sa uplatňujú ukazovatele</w:t>
      </w:r>
      <w:r w:rsidRPr="00A71C07">
        <w:rPr>
          <w:rFonts w:asciiTheme="majorHAnsi" w:hAnsiTheme="majorHAnsi" w:cstheme="majorHAnsi"/>
          <w:lang w:bidi="sk-SK"/>
        </w:rPr>
        <w:t xml:space="preserve"> kvality inkluzívneho vzdelávania, ktoré zohľadňujú miestne rozdiely, rozmanitosť potrieb žiakov a rolu zabezpečenia špecialistov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5FBD0BA3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2C7DD99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25E0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2AE5EB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74EF4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F0CF56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F2F2C2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2D5895E9" w14:textId="77777777" w:rsidTr="00C01411">
        <w:trPr>
          <w:cantSplit/>
        </w:trPr>
        <w:tc>
          <w:tcPr>
            <w:tcW w:w="2250" w:type="pct"/>
          </w:tcPr>
          <w:p w14:paraId="72744CA5" w14:textId="57EFF0B1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6.1.1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Odrážajú ukazovatele spoločné chápanie kvalitnej inkluzívnej praxe jednak v sektore hlavného prúdu vzdelávania, ako aj v špeciálnom školstve?</w:t>
            </w:r>
          </w:p>
        </w:tc>
        <w:tc>
          <w:tcPr>
            <w:tcW w:w="500" w:type="pct"/>
          </w:tcPr>
          <w:p w14:paraId="72AD4D6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7E4A6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F8DB8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0ADE5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A0001F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3F715410" w14:textId="77777777" w:rsidTr="00C01411">
        <w:trPr>
          <w:cantSplit/>
        </w:trPr>
        <w:tc>
          <w:tcPr>
            <w:tcW w:w="2250" w:type="pct"/>
          </w:tcPr>
          <w:p w14:paraId="3A7BC71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6.1.2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Existuje systematický spôsob zberu dát na účely inkluzívneho vzdelávania?</w:t>
            </w:r>
          </w:p>
        </w:tc>
        <w:tc>
          <w:tcPr>
            <w:tcW w:w="500" w:type="pct"/>
          </w:tcPr>
          <w:p w14:paraId="39908C3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60579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0E64B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339FD4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B61C8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3A8E01A1" w14:textId="77777777" w:rsidTr="00C01411">
        <w:trPr>
          <w:cantSplit/>
        </w:trPr>
        <w:tc>
          <w:tcPr>
            <w:tcW w:w="2250" w:type="pct"/>
          </w:tcPr>
          <w:p w14:paraId="79B2CEAA" w14:textId="1B8E2B5A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6.1.3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Vychádzajú rozhodnutia z platného systému zberu dát, ktorý pokrýva sektor hlavného prúdu vzdelávania, ako aj špeciálneho školstva?</w:t>
            </w:r>
          </w:p>
        </w:tc>
        <w:tc>
          <w:tcPr>
            <w:tcW w:w="500" w:type="pct"/>
          </w:tcPr>
          <w:p w14:paraId="5BAF3C5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AA43F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AFF738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00502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810760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1FB0C18F" w14:textId="77777777" w:rsidTr="00C01411">
        <w:trPr>
          <w:cantSplit/>
        </w:trPr>
        <w:tc>
          <w:tcPr>
            <w:tcW w:w="2250" w:type="pct"/>
          </w:tcPr>
          <w:p w14:paraId="74E151B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3086CE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461C1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B0F0E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16CE9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F8C2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FE5B6C" w14:textId="55E78912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Priorita politiky/stratégia 6.2: Uplatňujú sa </w:t>
      </w:r>
      <w:r w:rsidRPr="00A71C07">
        <w:rPr>
          <w:rFonts w:asciiTheme="majorHAnsi" w:hAnsiTheme="majorHAnsi" w:cstheme="majorHAnsi"/>
          <w:i/>
          <w:lang w:bidi="sk-SK"/>
        </w:rPr>
        <w:t>kooperatívne štruktúry/procesy</w:t>
      </w:r>
      <w:r w:rsidRPr="00A71C07">
        <w:rPr>
          <w:rFonts w:asciiTheme="majorHAnsi" w:hAnsiTheme="majorHAnsi" w:cstheme="majorHAnsi"/>
          <w:lang w:bidi="sk-SK"/>
        </w:rPr>
        <w:t xml:space="preserve"> v oblasti monitorovania a hodnotenia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6A44387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B061B3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44F1D2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A1DDA3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648B47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40F0B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C5F2CB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4E11E087" w14:textId="77777777" w:rsidTr="00C01411">
        <w:trPr>
          <w:cantSplit/>
        </w:trPr>
        <w:tc>
          <w:tcPr>
            <w:tcW w:w="2250" w:type="pct"/>
          </w:tcPr>
          <w:p w14:paraId="5636CCA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6.2.1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ukazovatele monitorovania a sebahodnotenia vytvárané na základe spolupráce medzi odborníkmi na hlavný vzdelávací prúd a na špeciálne vzdelávanie v záujme spoločného chápania a s cieľom zabrániť ich odmietaniu?</w:t>
            </w:r>
          </w:p>
        </w:tc>
        <w:tc>
          <w:tcPr>
            <w:tcW w:w="500" w:type="pct"/>
          </w:tcPr>
          <w:p w14:paraId="0F54F41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24C14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1810C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491E94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026DDA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031685F" w14:textId="77777777" w:rsidTr="00C01411">
        <w:trPr>
          <w:cantSplit/>
        </w:trPr>
        <w:tc>
          <w:tcPr>
            <w:tcW w:w="2250" w:type="pct"/>
          </w:tcPr>
          <w:p w14:paraId="1EDF6FDD" w14:textId="43BA0AAF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lastRenderedPageBreak/>
              <w:t>6.2.2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Existujú iniciatívy/programy na prehĺbenie vedomostí a zručností kľúčových účastníkov zo sektorov hlavného prúdu vzdelávania a špeciálneho školstva v oblasti analýzy a využívania dát?</w:t>
            </w:r>
          </w:p>
        </w:tc>
        <w:tc>
          <w:tcPr>
            <w:tcW w:w="500" w:type="pct"/>
          </w:tcPr>
          <w:p w14:paraId="7CD33C6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C275A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28169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DF70B3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976734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115E0105" w14:textId="77777777" w:rsidTr="00C01411">
        <w:trPr>
          <w:cantSplit/>
        </w:trPr>
        <w:tc>
          <w:tcPr>
            <w:tcW w:w="2250" w:type="pct"/>
          </w:tcPr>
          <w:p w14:paraId="627DEED5" w14:textId="75FE8330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6.2.3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Existuje účinná spolupráca medzi školou, školskými úradmi a univerzitami na účely monitorovania a využívania dát?</w:t>
            </w:r>
          </w:p>
        </w:tc>
        <w:tc>
          <w:tcPr>
            <w:tcW w:w="500" w:type="pct"/>
          </w:tcPr>
          <w:p w14:paraId="144057E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79937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A1BCFF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06215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E3A65B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79040687" w14:textId="77777777" w:rsidTr="00C01411">
        <w:trPr>
          <w:cantSplit/>
        </w:trPr>
        <w:tc>
          <w:tcPr>
            <w:tcW w:w="2250" w:type="pct"/>
          </w:tcPr>
          <w:p w14:paraId="5E59CBD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35EF068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DDB0F3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E3691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43E62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E172F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A7B6DF8" w14:textId="10B287CF" w:rsidR="00776FBF" w:rsidRPr="00A71C07" w:rsidRDefault="00776FBF" w:rsidP="00F30963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Priorita politiky/stratégia 6.3: Existuje</w:t>
      </w:r>
      <w:r w:rsidRPr="00A71C07">
        <w:rPr>
          <w:rFonts w:asciiTheme="majorHAnsi" w:hAnsiTheme="majorHAnsi" w:cstheme="majorHAnsi"/>
          <w:i/>
          <w:lang w:bidi="sk-SK"/>
        </w:rPr>
        <w:t xml:space="preserve"> komplexný systém</w:t>
      </w:r>
      <w:r w:rsidRPr="00A71C07">
        <w:rPr>
          <w:rFonts w:asciiTheme="majorHAnsi" w:hAnsiTheme="majorHAnsi" w:cstheme="majorHAnsi"/>
          <w:lang w:bidi="sk-SK"/>
        </w:rPr>
        <w:t xml:space="preserve"> </w:t>
      </w:r>
      <w:r w:rsidRPr="00A71C07">
        <w:rPr>
          <w:rFonts w:asciiTheme="majorHAnsi" w:hAnsiTheme="majorHAnsi" w:cstheme="majorHAnsi"/>
          <w:i/>
          <w:lang w:bidi="sk-SK"/>
        </w:rPr>
        <w:t xml:space="preserve">monitorovania </w:t>
      </w:r>
      <w:r w:rsidRPr="00A71C07">
        <w:rPr>
          <w:rFonts w:asciiTheme="majorHAnsi" w:hAnsiTheme="majorHAnsi" w:cstheme="majorHAnsi"/>
          <w:lang w:bidi="sk-SK"/>
        </w:rPr>
        <w:t>spôsobu, akým zabezpečenie špecialistov podporuje hlavný prúd vzdelávania pri implementácii inkluzívneho vzdelávania (ktorý obsahuje podsystémy interného a externého hodnotenia)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A71C07" w14:paraId="110F4F0B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C367F8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Kľúčové opatrenie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1C8813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0 – Zatiaľ nie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111262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1 – Plánované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DFB34C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2 – Čiastočne zavedené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24CE2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3 – Zavedené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4064EF1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Poznámky</w:t>
            </w:r>
          </w:p>
        </w:tc>
      </w:tr>
      <w:tr w:rsidR="00776FBF" w:rsidRPr="00A71C07" w14:paraId="226C3EEB" w14:textId="77777777" w:rsidTr="00C01411">
        <w:trPr>
          <w:cantSplit/>
        </w:trPr>
        <w:tc>
          <w:tcPr>
            <w:tcW w:w="2250" w:type="pct"/>
          </w:tcPr>
          <w:p w14:paraId="1358042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6.3.1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Monitoruje systém zberu dát spôsob, akým zabezpečenie špecialistov podporuje hlavný prúd vzdelávania pri implementácii inkluzívneho vzdelávania?</w:t>
            </w:r>
          </w:p>
        </w:tc>
        <w:tc>
          <w:tcPr>
            <w:tcW w:w="500" w:type="pct"/>
          </w:tcPr>
          <w:p w14:paraId="32A43DF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EAC30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6483B7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1DCA87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DEF5A6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76A01D61" w14:textId="77777777" w:rsidTr="00C01411">
        <w:trPr>
          <w:cantSplit/>
        </w:trPr>
        <w:tc>
          <w:tcPr>
            <w:tcW w:w="2250" w:type="pct"/>
          </w:tcPr>
          <w:p w14:paraId="2DB68FDE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6.3.2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Odzrkadľujú mechanizmy monitorovania a hodnotenia celoškolský prístup, ktorý sa zameriava na prekážky vo vyučovaní a v učení, ako aj faktory, ktoré ich uľahčujú?</w:t>
            </w:r>
          </w:p>
        </w:tc>
        <w:tc>
          <w:tcPr>
            <w:tcW w:w="500" w:type="pct"/>
          </w:tcPr>
          <w:p w14:paraId="4FBA10F6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299AFD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2BABC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6A099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FFFD2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6ED635F3" w14:textId="77777777" w:rsidTr="00C01411">
        <w:trPr>
          <w:cantSplit/>
        </w:trPr>
        <w:tc>
          <w:tcPr>
            <w:tcW w:w="2250" w:type="pct"/>
          </w:tcPr>
          <w:p w14:paraId="77940C5E" w14:textId="519E2466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b/>
                <w:sz w:val="22"/>
                <w:lang w:bidi="sk-SK"/>
              </w:rPr>
              <w:t>6.3.3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: Sú otázky ochrany súkromia, etiky a zmierňovania rizík súčasťou monitorovania spolupráce medzi hlavným prúdom vzdelávania a špeciálnym školstvom?</w:t>
            </w:r>
          </w:p>
        </w:tc>
        <w:tc>
          <w:tcPr>
            <w:tcW w:w="500" w:type="pct"/>
          </w:tcPr>
          <w:p w14:paraId="05AB755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C1B34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073309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3DB95C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FCD723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A71C07" w14:paraId="032D5D7C" w14:textId="77777777" w:rsidTr="00C01411">
        <w:trPr>
          <w:cantSplit/>
        </w:trPr>
        <w:tc>
          <w:tcPr>
            <w:tcW w:w="2250" w:type="pct"/>
          </w:tcPr>
          <w:p w14:paraId="2AE09C1F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Iné</w:t>
            </w:r>
            <w:r w:rsidRPr="00A71C07">
              <w:rPr>
                <w:rFonts w:asciiTheme="majorHAnsi" w:hAnsiTheme="majorHAnsi" w:cstheme="majorHAnsi"/>
                <w:i/>
                <w:sz w:val="22"/>
                <w:lang w:bidi="sk-SK"/>
              </w:rPr>
              <w:t xml:space="preserve"> (uveďte</w:t>
            </w:r>
            <w:r w:rsidRPr="00A71C07">
              <w:rPr>
                <w:rFonts w:asciiTheme="majorHAnsi" w:hAnsiTheme="majorHAnsi" w:cstheme="majorHAnsi"/>
                <w:sz w:val="22"/>
                <w:lang w:bidi="sk-SK"/>
              </w:rPr>
              <w:t>)</w:t>
            </w:r>
          </w:p>
        </w:tc>
        <w:tc>
          <w:tcPr>
            <w:tcW w:w="500" w:type="pct"/>
          </w:tcPr>
          <w:p w14:paraId="05D21A05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3CF39A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5A4738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6AF4E0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94124CB" w14:textId="77777777" w:rsidR="00776FBF" w:rsidRPr="00A71C07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ACB23F6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A71C07" w:rsidSect="002E592F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6840" w:h="11900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5E2F8D13" w14:textId="0B833F43" w:rsidR="00776FBF" w:rsidRPr="00A71C07" w:rsidRDefault="00776FBF" w:rsidP="00907466">
      <w:pPr>
        <w:pStyle w:val="Agency-heading-1"/>
        <w:rPr>
          <w:rFonts w:asciiTheme="majorHAnsi" w:hAnsiTheme="majorHAnsi" w:cstheme="majorHAnsi"/>
        </w:rPr>
      </w:pPr>
      <w:bookmarkStart w:id="13" w:name="_Toc128753131"/>
      <w:r w:rsidRPr="00A71C07">
        <w:rPr>
          <w:rFonts w:asciiTheme="majorHAnsi" w:hAnsiTheme="majorHAnsi" w:cstheme="majorHAnsi"/>
          <w:lang w:bidi="sk-SK"/>
        </w:rPr>
        <w:lastRenderedPageBreak/>
        <w:t>Príloha 1: Slovník pojmov</w:t>
      </w:r>
      <w:bookmarkEnd w:id="13"/>
    </w:p>
    <w:p w14:paraId="1E0FB097" w14:textId="71C7C216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Táto príloha obsahuje definície a vysvetlenia ku kľúčovým pojmom uvedeným v nástroji. Obsahuje pojmy z online </w:t>
      </w:r>
      <w:hyperlink r:id="rId29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slovníka</w:t>
        </w:r>
      </w:hyperlink>
      <w:r w:rsidRPr="00A71C07">
        <w:rPr>
          <w:rFonts w:asciiTheme="majorHAnsi" w:hAnsiTheme="majorHAnsi" w:cstheme="majorHAnsi"/>
          <w:lang w:bidi="sk-SK"/>
        </w:rPr>
        <w:t xml:space="preserve"> agentúry, ako aj terminológiu, ktorá sa špecificky týka projektu CROSP.</w:t>
      </w:r>
    </w:p>
    <w:p w14:paraId="7E6A7C7F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14" w:name="_Hlk127282409"/>
      <w:bookmarkStart w:id="15" w:name="_Hlk127282405"/>
      <w:r w:rsidRPr="00A71C07">
        <w:rPr>
          <w:rFonts w:asciiTheme="majorHAnsi" w:hAnsiTheme="majorHAnsi" w:cstheme="majorHAnsi"/>
          <w:b/>
          <w:lang w:bidi="sk-SK"/>
        </w:rPr>
        <w:t>Budovanie kapacít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14"/>
      <w:r w:rsidRPr="00A71C07">
        <w:rPr>
          <w:rFonts w:asciiTheme="majorHAnsi" w:hAnsiTheme="majorHAnsi" w:cstheme="majorHAnsi"/>
          <w:lang w:bidi="sk-SK"/>
        </w:rPr>
        <w:t>Procesy pre rozvoj a posilňovanie postojov, zručností a schopností odborníkov. Zohľadňuje tiež podporu a zdroje, ktoré vzdelávacie organizácie a komunity potrebujú na vytváranie potrebných pracovných postupov pre inkluzívne vzdelávanie.</w:t>
      </w:r>
    </w:p>
    <w:p w14:paraId="7BB4800F" w14:textId="5F9C7C57" w:rsidR="00AB71EF" w:rsidRPr="00A71C07" w:rsidRDefault="00AB71EF" w:rsidP="00AB71EF">
      <w:pPr>
        <w:pStyle w:val="Agency-body-text"/>
        <w:rPr>
          <w:rFonts w:asciiTheme="majorHAnsi" w:hAnsiTheme="majorHAnsi" w:cstheme="majorHAnsi"/>
          <w:lang w:bidi="sk-SK"/>
        </w:rPr>
      </w:pPr>
      <w:bookmarkStart w:id="16" w:name="_Hlk127282509"/>
      <w:r w:rsidRPr="00A71C07">
        <w:rPr>
          <w:rFonts w:asciiTheme="majorHAnsi" w:hAnsiTheme="majorHAnsi" w:cstheme="majorHAnsi"/>
          <w:b/>
          <w:lang w:bidi="sk-SK"/>
        </w:rPr>
        <w:t>Celoškolský prístup</w:t>
      </w:r>
      <w:r w:rsidRPr="00A71C07">
        <w:rPr>
          <w:rFonts w:asciiTheme="majorHAnsi" w:hAnsiTheme="majorHAnsi" w:cstheme="majorHAnsi"/>
          <w:bCs/>
          <w:lang w:bidi="sk-SK"/>
        </w:rPr>
        <w:t>:</w:t>
      </w:r>
      <w:r w:rsidRPr="00A71C07">
        <w:rPr>
          <w:rFonts w:asciiTheme="majorHAnsi" w:hAnsiTheme="majorHAnsi" w:cstheme="majorHAnsi"/>
          <w:lang w:bidi="sk-SK"/>
        </w:rPr>
        <w:t xml:space="preserve"> </w:t>
      </w:r>
      <w:bookmarkEnd w:id="16"/>
      <w:r w:rsidRPr="00A71C07">
        <w:rPr>
          <w:rFonts w:asciiTheme="majorHAnsi" w:hAnsiTheme="majorHAnsi" w:cstheme="majorHAnsi"/>
          <w:lang w:bidi="sk-SK"/>
        </w:rPr>
        <w:t>Patria sem všetci členovia školskej komunity (</w:t>
      </w:r>
      <w:r w:rsidR="00BA608A" w:rsidRPr="00A71C07">
        <w:rPr>
          <w:rFonts w:asciiTheme="majorHAnsi" w:hAnsiTheme="majorHAnsi" w:cstheme="majorHAnsi"/>
          <w:lang w:bidi="sk-SK"/>
        </w:rPr>
        <w:t>t. j. </w:t>
      </w:r>
      <w:r w:rsidRPr="00A71C07">
        <w:rPr>
          <w:rFonts w:asciiTheme="majorHAnsi" w:hAnsiTheme="majorHAnsi" w:cstheme="majorHAnsi"/>
          <w:lang w:bidi="sk-SK"/>
        </w:rPr>
        <w:t>žiaci, zamestnanci, rodiny a opatrovatelia, členovia komunity), pričom sa snaží zahrnúť všetky oblasti života školy. Uznáva, že skutočné učenie prebieha jednak na základe „formálnych“ osnov, ako aj „skrytých“ osnov a skúseností žiakov zo života v škole a v komunite.</w:t>
      </w:r>
    </w:p>
    <w:p w14:paraId="0FC58FFA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17" w:name="_Hlk127282424"/>
      <w:r w:rsidRPr="00A71C07">
        <w:rPr>
          <w:rFonts w:asciiTheme="majorHAnsi" w:hAnsiTheme="majorHAnsi" w:cstheme="majorHAnsi"/>
          <w:b/>
          <w:lang w:bidi="sk-SK"/>
        </w:rPr>
        <w:t>Financovanie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17"/>
      <w:r w:rsidRPr="00A71C07">
        <w:rPr>
          <w:rFonts w:asciiTheme="majorHAnsi" w:hAnsiTheme="majorHAnsi" w:cstheme="majorHAnsi"/>
          <w:lang w:bidi="sk-SK"/>
        </w:rPr>
        <w:t>Mechanizmy alokácie zdrojov (finančných, ľudských, technických, atď.), ktoré podporujú inklúziu.</w:t>
      </w:r>
    </w:p>
    <w:p w14:paraId="62D696DE" w14:textId="1E88E4C6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18" w:name="_Hlk127282446"/>
      <w:r w:rsidRPr="00A71C07">
        <w:rPr>
          <w:rFonts w:asciiTheme="majorHAnsi" w:hAnsiTheme="majorHAnsi" w:cstheme="majorHAnsi"/>
          <w:b/>
          <w:lang w:bidi="sk-SK"/>
        </w:rPr>
        <w:t>Individuálny vzdelávací plán/program (IEP</w:t>
      </w:r>
      <w:r w:rsidRPr="00A71C07">
        <w:rPr>
          <w:rFonts w:asciiTheme="majorHAnsi" w:hAnsiTheme="majorHAnsi" w:cstheme="majorHAnsi"/>
          <w:lang w:bidi="sk-SK"/>
        </w:rPr>
        <w:t xml:space="preserve">): </w:t>
      </w:r>
      <w:bookmarkEnd w:id="18"/>
      <w:r w:rsidRPr="00A71C07">
        <w:rPr>
          <w:rFonts w:asciiTheme="majorHAnsi" w:hAnsiTheme="majorHAnsi" w:cstheme="majorHAnsi"/>
          <w:lang w:bidi="sk-SK"/>
        </w:rPr>
        <w:t>„Písomný plán, ktorý stanovuje súčasnú úroveň výsledkov žiaka spolu s cieľmi a zámermi, ako aj službami a časovým harmonogramom na dosiahnutie týchto cieľov a zámerov“</w:t>
      </w:r>
      <w:r w:rsidR="00A86EFF" w:rsidRPr="00A71C07">
        <w:rPr>
          <w:rFonts w:asciiTheme="majorHAnsi" w:hAnsiTheme="majorHAnsi" w:cstheme="majorHAnsi"/>
          <w:lang w:bidi="sk-SK"/>
        </w:rPr>
        <w:t xml:space="preserve"> (</w:t>
      </w:r>
      <w:hyperlink r:id="rId30" w:history="1">
        <w:r w:rsidR="00A86EFF" w:rsidRPr="00A71C07">
          <w:rPr>
            <w:rStyle w:val="Hyperlink"/>
            <w:rFonts w:asciiTheme="majorHAnsi" w:hAnsiTheme="majorHAnsi" w:cstheme="majorHAnsi"/>
            <w:lang w:bidi="sk-SK"/>
          </w:rPr>
          <w:t>UNESCO, 2020</w:t>
        </w:r>
      </w:hyperlink>
      <w:r w:rsidRPr="00A71C07">
        <w:rPr>
          <w:rFonts w:asciiTheme="majorHAnsi" w:hAnsiTheme="majorHAnsi" w:cstheme="majorHAnsi"/>
          <w:lang w:bidi="sk-SK"/>
        </w:rPr>
        <w:t>, s.</w:t>
      </w:r>
      <w:r w:rsidR="00AF08AE" w:rsidRPr="00A71C07">
        <w:rPr>
          <w:rFonts w:asciiTheme="majorHAnsi" w:hAnsiTheme="majorHAnsi" w:cstheme="majorHAnsi"/>
          <w:lang w:bidi="sk-SK"/>
        </w:rPr>
        <w:t> </w:t>
      </w:r>
      <w:r w:rsidRPr="00A71C07">
        <w:rPr>
          <w:rFonts w:asciiTheme="majorHAnsi" w:hAnsiTheme="majorHAnsi" w:cstheme="majorHAnsi"/>
          <w:lang w:bidi="sk-SK"/>
        </w:rPr>
        <w:t>420).</w:t>
      </w:r>
    </w:p>
    <w:p w14:paraId="5D669F8F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Do tvorby individuálnych vzdelávacích plánov môžu byť zapojení rodičia, žiaci a ďalší odborníci/špecialisti.</w:t>
      </w:r>
    </w:p>
    <w:p w14:paraId="4877A989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19" w:name="_Hlk127282435"/>
      <w:r w:rsidRPr="00A71C07">
        <w:rPr>
          <w:rFonts w:asciiTheme="majorHAnsi" w:hAnsiTheme="majorHAnsi" w:cstheme="majorHAnsi"/>
          <w:b/>
          <w:lang w:bidi="sk-SK"/>
        </w:rPr>
        <w:t>Inkluzívne vzdelávanie</w:t>
      </w:r>
      <w:bookmarkEnd w:id="19"/>
      <w:r w:rsidRPr="00A71C07">
        <w:rPr>
          <w:rFonts w:asciiTheme="majorHAnsi" w:hAnsiTheme="majorHAnsi" w:cstheme="majorHAnsi"/>
          <w:lang w:bidi="sk-SK"/>
        </w:rPr>
        <w:t xml:space="preserve"> predpokladá skutočnú zmenu v oblasti vzdelávania jednak na úrovni politík, ako aj praxe. Žiaci sú stredobodom systému, ktorý musí byť schopný rozpoznať, akceptovať a reagovať na rozmanitosť žiakov. Cieľom inkluzívneho vzdelávania je odpovedať na zásady efektívnosti, rovnosti a spravodlivosti, pričom rozmanitosť je vnímaná ako prínos. Žiaci musia byť takisto pripravení začleniť sa do spoločnosti, musia mať prístup k zmysluplnému občianstvu a uznávať hodnoty z hľadiska ľudských práv, slobody, tolerancie a nediskriminácie.</w:t>
      </w:r>
    </w:p>
    <w:p w14:paraId="3FF2D9E1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0" w:name="_Hlk127282414"/>
      <w:r w:rsidRPr="00A71C07">
        <w:rPr>
          <w:rFonts w:asciiTheme="majorHAnsi" w:hAnsiTheme="majorHAnsi" w:cstheme="majorHAnsi"/>
          <w:b/>
          <w:lang w:bidi="sk-SK"/>
        </w:rPr>
        <w:t>Kontinuita podpory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20"/>
      <w:r w:rsidRPr="00A71C07">
        <w:rPr>
          <w:rFonts w:asciiTheme="majorHAnsi" w:hAnsiTheme="majorHAnsi" w:cstheme="majorHAnsi"/>
          <w:lang w:bidi="sk-SK"/>
        </w:rPr>
        <w:t>Kontinuita podpory a služby zodpovedajú celej škále ďalších potrieb, ktoré sa vyskytujú v každej škole. Siaha od minimálnej pomoci v bežných triedach až po programy doplnkovej podpory pri vzdelávaní v rámci školy. V prípade potreby zahŕňa aj pomoc špeciálnych pedagógov a externého podporného personálu. Kontinuita podpory umožňuje koherentný prechod medzi systémami vzdelávania, ako aj zo vzdelávania do pracovného procesu. Zabezpečuje tiež spoluprácu medzi rôznymi zapojenými účastníkmi.</w:t>
      </w:r>
    </w:p>
    <w:p w14:paraId="4941A6C9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1" w:name="_Hlk127282473"/>
      <w:r w:rsidRPr="00A71C07">
        <w:rPr>
          <w:rFonts w:asciiTheme="majorHAnsi" w:hAnsiTheme="majorHAnsi" w:cstheme="majorHAnsi"/>
          <w:b/>
          <w:lang w:bidi="sk-SK"/>
        </w:rPr>
        <w:t>Odborníci na špeciálne vzdelávanie</w:t>
      </w:r>
      <w:r w:rsidRPr="00A71C07">
        <w:rPr>
          <w:rFonts w:asciiTheme="majorHAnsi" w:hAnsiTheme="majorHAnsi" w:cstheme="majorHAnsi"/>
          <w:bCs/>
          <w:lang w:bidi="sk-SK"/>
        </w:rPr>
        <w:t>:</w:t>
      </w:r>
      <w:r w:rsidRPr="00A71C07">
        <w:rPr>
          <w:rFonts w:asciiTheme="majorHAnsi" w:hAnsiTheme="majorHAnsi" w:cstheme="majorHAnsi"/>
          <w:lang w:bidi="sk-SK"/>
        </w:rPr>
        <w:t xml:space="preserve"> </w:t>
      </w:r>
      <w:bookmarkEnd w:id="21"/>
      <w:r w:rsidRPr="00A71C07">
        <w:rPr>
          <w:rFonts w:asciiTheme="majorHAnsi" w:hAnsiTheme="majorHAnsi" w:cstheme="majorHAnsi"/>
          <w:lang w:bidi="sk-SK"/>
        </w:rPr>
        <w:t>Špeciálne vyškolený personál, ktorý pracuje na identifikácii/hodnotení, vzdelávaní a efektívnej starostlivosti o žiakov s potrebou zvýšenej podpory. Môžu sem patriť: koordinátori špeciálneho vzdelávania, špeciálni pedagógovia (učitelia špeciálnych škôl), podporní asistenti (asistenti učiteľa), pedagogickí psychológovia, ergoterapeuti, logopédi, školskí asistenti (opatrovatelia/školský sprievod), sociálni pracovníci atď.</w:t>
      </w:r>
    </w:p>
    <w:p w14:paraId="0E3D0A45" w14:textId="05436EE7" w:rsidR="0085303A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 xml:space="preserve">Prekážky </w:t>
      </w:r>
      <w:bookmarkEnd w:id="15"/>
      <w:r w:rsidRPr="00A71C07">
        <w:rPr>
          <w:rFonts w:asciiTheme="majorHAnsi" w:hAnsiTheme="majorHAnsi" w:cstheme="majorHAnsi"/>
          <w:lang w:bidi="sk-SK"/>
        </w:rPr>
        <w:t>(vo vzdelávaní): Prekážka znamená „problém, pravidlo alebo situácia, ktorá niekomu bráni niečo urobiť alebo niečo znemožňuje“</w:t>
      </w:r>
      <w:hyperlink r:id="rId31" w:history="1">
        <w:r w:rsidR="00173A68" w:rsidRPr="00A71C07">
          <w:t xml:space="preserve"> (</w:t>
        </w:r>
        <w:hyperlink r:id="rId32" w:history="1">
          <w:r w:rsidR="00173A68" w:rsidRPr="00A71C07">
            <w:rPr>
              <w:rStyle w:val="Hyperlink"/>
              <w:rFonts w:asciiTheme="majorHAnsi" w:hAnsiTheme="majorHAnsi" w:cstheme="majorHAnsi"/>
              <w:lang w:bidi="sk-SK"/>
            </w:rPr>
            <w:t>Oxford Learner’s Dictionaries</w:t>
          </w:r>
        </w:hyperlink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56BFAD4A" w14:textId="77777777" w:rsidR="0085303A" w:rsidRPr="00A71C07" w:rsidRDefault="0085303A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>Postihnutie je často vnímané ako dôsledok „prekážok znemožňujúcich samostatné fungovanie“. Tieto bariéry možno odstrániť vytváraním priaznivých a prístupných prostredí.</w:t>
      </w:r>
    </w:p>
    <w:p w14:paraId="1267E0E1" w14:textId="77777777" w:rsidR="0085303A" w:rsidRPr="00A71C07" w:rsidRDefault="0085303A" w:rsidP="00591FE3">
      <w:pPr>
        <w:pStyle w:val="Agency-quotation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Vo vzdelávaní, ako aj v rámci procesu učenia, môže existovať mnoho prekážok alebo okolností, ktoré obmedzujú účasť žiakov v plnej miere. Množstvo žiakov bude mať rôzne požiadavky (krátkodobé a dlhodobé), ktoré by sa mali zvážiť v záujme umožnenia ich účasti na všetkých aktivitách a z hľadiska plného využitia ponúkaných možností.</w:t>
      </w:r>
    </w:p>
    <w:p w14:paraId="21AB8733" w14:textId="1931B49A" w:rsidR="00776FBF" w:rsidRPr="00A71C07" w:rsidRDefault="0085303A" w:rsidP="00591FE3">
      <w:pPr>
        <w:pStyle w:val="Agency-quotation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Plnohodnotnú a aktívnu účasť môžu ovplyvniť negatívne postoje a myslenie zamerané na nedostatky, fyzické prekážky, horší prístup ku komunikačným pomôckam a k príslušným informáciám v dostupných formátoch alebo nedostatok sebadôvery resp. prípravy z hľadiska zručností potrebných na účasť (</w:t>
      </w:r>
      <w:hyperlink r:id="rId33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Európska agentúra, bez dátumu</w:t>
        </w:r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30F274C0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2" w:name="_Hlk127282503"/>
      <w:bookmarkStart w:id="23" w:name="_Hlk127282419"/>
      <w:r w:rsidRPr="00A71C07">
        <w:rPr>
          <w:rFonts w:asciiTheme="majorHAnsi" w:hAnsiTheme="majorHAnsi" w:cstheme="majorHAnsi"/>
          <w:b/>
          <w:lang w:bidi="sk-SK"/>
        </w:rPr>
        <w:t>Prístup univerzálneho dizajnu</w:t>
      </w:r>
      <w:r w:rsidRPr="00A71C07">
        <w:rPr>
          <w:rFonts w:asciiTheme="majorHAnsi" w:hAnsiTheme="majorHAnsi" w:cstheme="majorHAnsi"/>
          <w:lang w:bidi="sk-SK"/>
        </w:rPr>
        <w:t>:</w:t>
      </w:r>
      <w:bookmarkEnd w:id="22"/>
      <w:r w:rsidRPr="00A71C07">
        <w:rPr>
          <w:rFonts w:asciiTheme="majorHAnsi" w:hAnsiTheme="majorHAnsi" w:cstheme="majorHAnsi"/>
          <w:lang w:bidi="sk-SK"/>
        </w:rPr>
        <w:t xml:space="preserve"> Univerzálny dizajn pre vzdelávanie (UDL) je prístup, ktorý zohľadňuje rozmanitosť potrieb žiakov navrhovaním flexibilných cieľov, metód, materiálov a procesov hodnotenia, ktoré pomáhajú pedagógom napĺňať rôzne potreby. Učebné osnovy vytvorené pomocou UDL sú od začiatku navrhované tak, aby napĺňali potreby všetkých žiakov. Rámec UDL zahŕňa pružný dizajn kontextov vzdelávania s nastaviteľnými možnosťami, ktoré všetkým žiakom umožňujú napredovať z individuálneho východiskového bodu (pozri </w:t>
      </w:r>
      <w:hyperlink r:id="rId34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Centre for Applied Special Technology, bez dátumu</w:t>
        </w:r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32BF5B2F" w14:textId="3443669F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4" w:name="_Hlk127282455"/>
      <w:r w:rsidRPr="00A71C07">
        <w:rPr>
          <w:rFonts w:asciiTheme="majorHAnsi" w:hAnsiTheme="majorHAnsi" w:cstheme="majorHAnsi"/>
          <w:b/>
          <w:lang w:bidi="sk-SK"/>
        </w:rPr>
        <w:t>Profesijná vzdelávacia komunita (PLC)</w:t>
      </w:r>
      <w:r w:rsidRPr="00A71C07">
        <w:rPr>
          <w:rFonts w:asciiTheme="majorHAnsi" w:hAnsiTheme="majorHAnsi" w:cstheme="majorHAnsi"/>
          <w:bCs/>
          <w:lang w:bidi="sk-SK"/>
        </w:rPr>
        <w:t>:</w:t>
      </w:r>
      <w:r w:rsidRPr="00A71C07">
        <w:rPr>
          <w:rFonts w:asciiTheme="majorHAnsi" w:hAnsiTheme="majorHAnsi" w:cstheme="majorHAnsi"/>
          <w:lang w:bidi="sk-SK"/>
        </w:rPr>
        <w:t xml:space="preserve"> </w:t>
      </w:r>
      <w:bookmarkEnd w:id="24"/>
      <w:r w:rsidRPr="00A71C07">
        <w:rPr>
          <w:rFonts w:asciiTheme="majorHAnsi" w:hAnsiTheme="majorHAnsi" w:cstheme="majorHAnsi"/>
          <w:lang w:bidi="sk-SK"/>
        </w:rPr>
        <w:t xml:space="preserve">Profesijná vzdelávacia komunita znamená spoluprácu zainteresovaných strán v oblasti vzdelávania „pri zoskupeniach škôl, medzi ktoré patria </w:t>
      </w:r>
      <w:r w:rsidR="003225C5" w:rsidRPr="00A71C07">
        <w:rPr>
          <w:rFonts w:asciiTheme="majorHAnsi" w:hAnsiTheme="majorHAnsi" w:cstheme="majorHAnsi"/>
          <w:lang w:bidi="sk-SK"/>
        </w:rPr>
        <w:t>…</w:t>
      </w:r>
      <w:r w:rsidRPr="00A71C07">
        <w:rPr>
          <w:rFonts w:asciiTheme="majorHAnsi" w:hAnsiTheme="majorHAnsi" w:cstheme="majorHAnsi"/>
          <w:lang w:bidi="sk-SK"/>
        </w:rPr>
        <w:t xml:space="preserve"> zamestnanci škôl a komunít, spolu s výskumnými pracovníkmi, miestnymi lídrami a tvorcami politík“</w:t>
      </w:r>
      <w:r w:rsidR="00B51A3D" w:rsidRPr="00A71C07">
        <w:rPr>
          <w:rFonts w:asciiTheme="majorHAnsi" w:hAnsiTheme="majorHAnsi" w:cstheme="majorHAnsi"/>
          <w:lang w:bidi="sk-SK"/>
        </w:rPr>
        <w:t xml:space="preserve"> (</w:t>
      </w:r>
      <w:hyperlink r:id="rId35" w:history="1">
        <w:r w:rsidR="00B51A3D" w:rsidRPr="00A71C07">
          <w:rPr>
            <w:rStyle w:val="Hyperlink"/>
            <w:rFonts w:asciiTheme="majorHAnsi" w:hAnsiTheme="majorHAnsi" w:cstheme="majorHAnsi"/>
            <w:lang w:bidi="sk-SK"/>
          </w:rPr>
          <w:t>Európska agentúra, 2015</w:t>
        </w:r>
      </w:hyperlink>
      <w:r w:rsidRPr="00A71C07">
        <w:rPr>
          <w:rFonts w:asciiTheme="majorHAnsi" w:hAnsiTheme="majorHAnsi" w:cstheme="majorHAnsi"/>
          <w:lang w:bidi="sk-SK"/>
        </w:rPr>
        <w:t>, s.</w:t>
      </w:r>
      <w:r w:rsidR="00AF08AE" w:rsidRPr="00A71C07">
        <w:rPr>
          <w:rFonts w:asciiTheme="majorHAnsi" w:hAnsiTheme="majorHAnsi" w:cstheme="majorHAnsi"/>
          <w:lang w:bidi="sk-SK"/>
        </w:rPr>
        <w:t> </w:t>
      </w:r>
      <w:r w:rsidRPr="00A71C07">
        <w:rPr>
          <w:rFonts w:asciiTheme="majorHAnsi" w:hAnsiTheme="majorHAnsi" w:cstheme="majorHAnsi"/>
          <w:lang w:bidi="sk-SK"/>
        </w:rPr>
        <w:t>7).</w:t>
      </w:r>
    </w:p>
    <w:p w14:paraId="7219F08A" w14:textId="77777777" w:rsidR="00AB71EF" w:rsidRPr="00A71C07" w:rsidRDefault="00AB71EF" w:rsidP="00AB71EF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Profesijné vzdelávacie komunity môžu podporovať dva širšie účely:</w:t>
      </w:r>
    </w:p>
    <w:p w14:paraId="682DCF7F" w14:textId="6B4A49A8" w:rsidR="00AB71EF" w:rsidRPr="00A71C07" w:rsidRDefault="00AB71EF" w:rsidP="00AB71EF">
      <w:pPr>
        <w:pStyle w:val="Agency-quotation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(1) zlepšovanie zručností a vedomostí pedagógov prostredníctvom spolupráce v rámci štúdia, výmeny skúseností a odborného dialógu a (2)</w:t>
      </w:r>
      <w:r w:rsidR="004C2D8E" w:rsidRPr="00A71C07">
        <w:rPr>
          <w:rFonts w:asciiTheme="majorHAnsi" w:hAnsiTheme="majorHAnsi" w:cstheme="majorHAnsi"/>
          <w:lang w:bidi="sk-SK"/>
        </w:rPr>
        <w:t> </w:t>
      </w:r>
      <w:r w:rsidRPr="00A71C07">
        <w:rPr>
          <w:rFonts w:asciiTheme="majorHAnsi" w:hAnsiTheme="majorHAnsi" w:cstheme="majorHAnsi"/>
          <w:lang w:bidi="sk-SK"/>
        </w:rPr>
        <w:t xml:space="preserve">zlepšovanie ambícií, výsledkov a úspechov študentov vo vzdelávaní prostredníctvom silnejšieho vedenia a výučby. Profesijné vzdelávacie komunity často fungujú formou </w:t>
      </w:r>
      <w:hyperlink r:id="rId36" w:tooltip="Akčný výskum" w:history="1">
        <w:r w:rsidRPr="00A71C07">
          <w:rPr>
            <w:rStyle w:val="Hyperlink"/>
            <w:rFonts w:asciiTheme="majorHAnsi" w:hAnsiTheme="majorHAnsi" w:cstheme="majorHAnsi"/>
            <w:i/>
            <w:lang w:bidi="sk-SK"/>
          </w:rPr>
          <w:t>akčného výskumu</w:t>
        </w:r>
      </w:hyperlink>
      <w:r w:rsidRPr="00A71C07">
        <w:rPr>
          <w:rFonts w:asciiTheme="majorHAnsi" w:hAnsiTheme="majorHAnsi" w:cstheme="majorHAnsi"/>
          <w:lang w:bidi="sk-SK"/>
        </w:rPr>
        <w:t xml:space="preserve">, </w:t>
      </w:r>
      <w:r w:rsidR="00BA608A" w:rsidRPr="00A71C07">
        <w:rPr>
          <w:rFonts w:asciiTheme="majorHAnsi" w:hAnsiTheme="majorHAnsi" w:cstheme="majorHAnsi"/>
          <w:lang w:bidi="sk-SK"/>
        </w:rPr>
        <w:t>t. j. </w:t>
      </w:r>
      <w:r w:rsidRPr="00A71C07">
        <w:rPr>
          <w:rFonts w:asciiTheme="majorHAnsi" w:hAnsiTheme="majorHAnsi" w:cstheme="majorHAnsi"/>
          <w:lang w:bidi="sk-SK"/>
        </w:rPr>
        <w:t>neustálym spochybňovaním, prehodnocovaním, zdokonaľovaním a zlepšovaním stratégií výučby a vedomostí (</w:t>
      </w:r>
      <w:hyperlink r:id="rId37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Great </w:t>
        </w:r>
        <w:r w:rsidR="00B51A3D" w:rsidRPr="00A71C07">
          <w:rPr>
            <w:rStyle w:val="Hyperlink"/>
            <w:rFonts w:asciiTheme="majorHAnsi" w:hAnsiTheme="majorHAnsi" w:cstheme="majorHAnsi"/>
            <w:lang w:bidi="sk-SK"/>
          </w:rPr>
          <w:t>Schools </w:t>
        </w:r>
        <w:r w:rsidRPr="00A71C07">
          <w:rPr>
            <w:rStyle w:val="Hyperlink"/>
            <w:rFonts w:asciiTheme="majorHAnsi" w:hAnsiTheme="majorHAnsi" w:cstheme="majorHAnsi"/>
            <w:lang w:bidi="sk-SK"/>
          </w:rPr>
          <w:t>Partnership, 2014</w:t>
        </w:r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151F2840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5" w:name="_Hlk127282451"/>
      <w:r w:rsidRPr="00A71C07">
        <w:rPr>
          <w:rFonts w:asciiTheme="majorHAnsi" w:hAnsiTheme="majorHAnsi" w:cstheme="majorHAnsi"/>
          <w:b/>
          <w:lang w:bidi="sk-SK"/>
        </w:rPr>
        <w:t>Profesijné vzdelávan</w:t>
      </w:r>
      <w:bookmarkEnd w:id="25"/>
      <w:r w:rsidRPr="00A71C07">
        <w:rPr>
          <w:rFonts w:asciiTheme="majorHAnsi" w:hAnsiTheme="majorHAnsi" w:cstheme="majorHAnsi"/>
          <w:b/>
          <w:lang w:bidi="sk-SK"/>
        </w:rPr>
        <w:t>ie</w:t>
      </w:r>
      <w:r w:rsidRPr="00A71C07">
        <w:rPr>
          <w:rFonts w:asciiTheme="majorHAnsi" w:hAnsiTheme="majorHAnsi" w:cstheme="majorHAnsi"/>
          <w:lang w:bidi="sk-SK"/>
        </w:rPr>
        <w:t xml:space="preserve"> označuje akúkoľvek činnosť, ktorú vykonávajú pracovníci v oblasti vzdelávania a ktorej cieľom je podporiť myslenie a odborné znalosti a zvyšovať prax, a zároveň zabezpečuje, aby táto činnosť bola aktuálna a založená na dôkazoch. Profesijné vzdelávanie zahŕňa aktivity, ktoré prebiehajú počas celej profesionálnej kariéry jednotlivca.</w:t>
      </w:r>
    </w:p>
    <w:p w14:paraId="498E8A49" w14:textId="3F7EDF6C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Rozmanitosť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23"/>
      <w:r w:rsidRPr="00A71C07">
        <w:rPr>
          <w:rFonts w:asciiTheme="majorHAnsi" w:hAnsiTheme="majorHAnsi" w:cstheme="majorHAnsi"/>
          <w:lang w:bidi="sk-SK"/>
        </w:rPr>
        <w:t>Mnohostranný pojem, ktorý môže obsahovať množstvo prvkov a úrovní rozlišovania, napr. vek, etnicita, spoločenská trieda, pohlavie, fyzické schopnosti, rasa, sexuálna orientácia, náboženský status, vzdelanie, geografická poloha, príjem, manželský stav, postavenie v rodine a pracovné skúsenosti.</w:t>
      </w:r>
    </w:p>
    <w:p w14:paraId="4C21D92B" w14:textId="42BCF4CE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bookmarkStart w:id="26" w:name="_Hlk127282429"/>
      <w:r w:rsidRPr="00A71C07">
        <w:rPr>
          <w:rFonts w:asciiTheme="majorHAnsi" w:hAnsiTheme="majorHAnsi" w:cstheme="majorHAnsi"/>
          <w:b/>
          <w:lang w:bidi="sk-SK"/>
        </w:rPr>
        <w:lastRenderedPageBreak/>
        <w:t>Správa a riadenie</w:t>
      </w:r>
      <w:r w:rsidRPr="00A71C07">
        <w:rPr>
          <w:rFonts w:asciiTheme="majorHAnsi" w:hAnsiTheme="majorHAnsi" w:cstheme="majorHAnsi"/>
          <w:bCs/>
          <w:lang w:bidi="sk-SK"/>
        </w:rPr>
        <w:t xml:space="preserve">: </w:t>
      </w:r>
      <w:bookmarkEnd w:id="26"/>
      <w:r w:rsidRPr="00A71C07">
        <w:rPr>
          <w:rFonts w:asciiTheme="majorHAnsi" w:hAnsiTheme="majorHAnsi" w:cstheme="majorHAnsi"/>
          <w:lang w:bidi="sk-SK"/>
        </w:rPr>
        <w:t>Štruktúry a procesy, ktorých cieľom je zabezpečiť zodpovednosť a transparentnosť vzdelávacieho systému, ako aj jeho schopnosť reagovať na potreby. Môžu zahŕňať napríklad vytváranie sietí v rámci a mimo škôl, mechanizmy monitoringu a zodpovednosti, prístupy k hodnoteniu (pedagogický verzus diagnostický model hodnotenia), atď.</w:t>
      </w:r>
    </w:p>
    <w:p w14:paraId="2EEE5EBC" w14:textId="77777777" w:rsidR="00AB71EF" w:rsidRPr="00A71C07" w:rsidRDefault="00AB71EF" w:rsidP="00AB71EF">
      <w:pPr>
        <w:pStyle w:val="Agency-body-text"/>
        <w:rPr>
          <w:rFonts w:asciiTheme="majorHAnsi" w:hAnsiTheme="majorHAnsi" w:cstheme="majorHAnsi"/>
        </w:rPr>
      </w:pPr>
      <w:bookmarkStart w:id="27" w:name="_Hlk127282498"/>
      <w:bookmarkStart w:id="28" w:name="_Hlk127282441"/>
      <w:r w:rsidRPr="00A71C07">
        <w:rPr>
          <w:rFonts w:asciiTheme="majorHAnsi" w:hAnsiTheme="majorHAnsi" w:cstheme="majorHAnsi"/>
          <w:b/>
          <w:lang w:bidi="sk-SK"/>
        </w:rPr>
        <w:t>Účastník</w:t>
      </w:r>
      <w:r w:rsidRPr="00A71C07">
        <w:rPr>
          <w:rFonts w:asciiTheme="majorHAnsi" w:hAnsiTheme="majorHAnsi" w:cstheme="majorHAnsi"/>
          <w:bCs/>
          <w:lang w:bidi="sk-SK"/>
        </w:rPr>
        <w:t>:</w:t>
      </w:r>
      <w:bookmarkEnd w:id="27"/>
      <w:r w:rsidRPr="00A71C07">
        <w:rPr>
          <w:rFonts w:asciiTheme="majorHAnsi" w:hAnsiTheme="majorHAnsi" w:cstheme="majorHAnsi"/>
          <w:bCs/>
          <w:lang w:bidi="sk-SK"/>
        </w:rPr>
        <w:t xml:space="preserve"> </w:t>
      </w:r>
      <w:r w:rsidRPr="00A71C07">
        <w:rPr>
          <w:rFonts w:asciiTheme="majorHAnsi" w:hAnsiTheme="majorHAnsi" w:cstheme="majorHAnsi"/>
          <w:lang w:bidi="sk-SK"/>
        </w:rPr>
        <w:t>Patria sem tvorcovia politiky, odborníci v oblasti vzdelávania, riadiaci zamestnanci škôl, žiaci/rovesníci, rodiny a členovia komunity.</w:t>
      </w:r>
    </w:p>
    <w:p w14:paraId="22DD6A17" w14:textId="0F736989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Ukazovatele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28"/>
      <w:r w:rsidRPr="00A71C07">
        <w:rPr>
          <w:rFonts w:asciiTheme="majorHAnsi" w:hAnsiTheme="majorHAnsi" w:cstheme="majorHAnsi"/>
          <w:lang w:bidi="sk-SK"/>
        </w:rPr>
        <w:t>Opatrenia založené na dôkazoch (kvalitatívne a kvantitatívne), ktoré umožňujú monitorovať kvalitu a implementáciu inkluzívneho vzdelávania.</w:t>
      </w:r>
    </w:p>
    <w:p w14:paraId="390324A3" w14:textId="11220DCF" w:rsidR="00B5358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bookmarkStart w:id="29" w:name="_Hlk127282460"/>
      <w:r w:rsidRPr="00A71C07">
        <w:rPr>
          <w:rFonts w:asciiTheme="majorHAnsi" w:hAnsiTheme="majorHAnsi" w:cstheme="majorHAnsi"/>
          <w:b/>
          <w:lang w:bidi="sk-SK"/>
        </w:rPr>
        <w:t>Zabezpečenie kvality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29"/>
      <w:r w:rsidRPr="00A71C07">
        <w:rPr>
          <w:rFonts w:asciiTheme="majorHAnsi" w:hAnsiTheme="majorHAnsi" w:cstheme="majorHAnsi"/>
          <w:lang w:bidi="sk-SK"/>
        </w:rPr>
        <w:t xml:space="preserve">„Postupy, pri ktorých dochádza k riadeniu spôsobu, akým sa vyrába tovar alebo poskytujú služby s cieľom zachovať vysoký štandard“ </w:t>
      </w:r>
      <w:r w:rsidR="00B51A3D" w:rsidRPr="00A71C07">
        <w:rPr>
          <w:rFonts w:asciiTheme="majorHAnsi" w:hAnsiTheme="majorHAnsi" w:cstheme="majorHAnsi"/>
          <w:lang w:bidi="sk-SK"/>
        </w:rPr>
        <w:br/>
      </w:r>
      <w:r w:rsidRPr="00A71C07">
        <w:rPr>
          <w:rFonts w:asciiTheme="majorHAnsi" w:hAnsiTheme="majorHAnsi" w:cstheme="majorHAnsi"/>
          <w:lang w:bidi="sk-SK"/>
        </w:rPr>
        <w:t>(</w:t>
      </w:r>
      <w:hyperlink r:id="rId38" w:history="1">
        <w:r w:rsidR="00B5358C" w:rsidRPr="00A71C07">
          <w:rPr>
            <w:rStyle w:val="Hyperlink"/>
            <w:rFonts w:asciiTheme="majorHAnsi" w:hAnsiTheme="majorHAnsi" w:cstheme="majorHAnsi"/>
            <w:lang w:bidi="sk-SK"/>
          </w:rPr>
          <w:t>Oxford Learner’s Dictionaries</w:t>
        </w:r>
      </w:hyperlink>
      <w:r w:rsidRPr="00A71C07">
        <w:rPr>
          <w:rFonts w:asciiTheme="majorHAnsi" w:hAnsiTheme="majorHAnsi" w:cstheme="majorHAnsi"/>
          <w:lang w:bidi="sk-SK"/>
        </w:rPr>
        <w:t>).</w:t>
      </w:r>
    </w:p>
    <w:p w14:paraId="4056A1DB" w14:textId="44B95FEF" w:rsidR="00776FBF" w:rsidRPr="00A71C07" w:rsidRDefault="00B5358C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Zabezpečením kvality sa rozumejú „politiky, postupy a praktiky zamerané dosiahnutie, udržanie a zvýšenie kvality v oblasti inkluzívneho vzdelávania“. K tomu patrí aj „spôsob, akým vzdelávacie organizácie zodpovedajú za svoje aktivity, prijímajú za ne zodpovednosť a otvorene a transparentne zdieľajú informácie o svojich výsledkoch“ </w:t>
      </w:r>
      <w:r w:rsidR="00B51A3D" w:rsidRPr="00A71C07">
        <w:rPr>
          <w:rFonts w:asciiTheme="majorHAnsi" w:hAnsiTheme="majorHAnsi" w:cstheme="majorHAnsi"/>
          <w:lang w:bidi="sk-SK"/>
        </w:rPr>
        <w:br/>
      </w:r>
      <w:r w:rsidRPr="00A71C07">
        <w:rPr>
          <w:rFonts w:asciiTheme="majorHAnsi" w:hAnsiTheme="majorHAnsi" w:cstheme="majorHAnsi"/>
          <w:lang w:bidi="sk-SK"/>
        </w:rPr>
        <w:t>(</w:t>
      </w:r>
      <w:hyperlink r:id="rId39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Európska agentúra, 2018</w:t>
        </w:r>
      </w:hyperlink>
      <w:r w:rsidRPr="00A71C07">
        <w:rPr>
          <w:rFonts w:asciiTheme="majorHAnsi" w:hAnsiTheme="majorHAnsi" w:cstheme="majorHAnsi"/>
          <w:lang w:bidi="sk-SK"/>
        </w:rPr>
        <w:t>, s. 17).</w:t>
      </w:r>
    </w:p>
    <w:p w14:paraId="172C521B" w14:textId="3C8FF63D" w:rsidR="00776FBF" w:rsidRPr="00A71C07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bookmarkStart w:id="30" w:name="_Hlk127282493"/>
      <w:r w:rsidRPr="00A71C07">
        <w:rPr>
          <w:rFonts w:asciiTheme="majorHAnsi" w:hAnsiTheme="majorHAnsi" w:cstheme="majorHAnsi"/>
          <w:b/>
          <w:lang w:bidi="sk-SK"/>
        </w:rPr>
        <w:t>Zabezpečenie špecialistov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30"/>
      <w:r w:rsidRPr="00A71C07">
        <w:rPr>
          <w:rFonts w:asciiTheme="majorHAnsi" w:hAnsiTheme="majorHAnsi" w:cstheme="majorHAnsi"/>
          <w:lang w:bidi="sk-SK"/>
        </w:rPr>
        <w:t>Pojem „zabezpečenie“ zahŕňa všetky formy podpory, ktoré môžu pomôcť procesu účasti na vzdelávaní v prípade žiakov s potrebou zvýšenej podpory: osnovy, postupy hodnotenia, formy pedagogiky, organizácia a riadenie, ako aj zdroje. Pojem „zabezpečenie špecialistov“ zahŕňa rôzne typy špeciálnych služieb, konkrétne:</w:t>
      </w:r>
    </w:p>
    <w:p w14:paraId="1A569F3E" w14:textId="2748BD58" w:rsidR="00776FBF" w:rsidRPr="00A71C07" w:rsidRDefault="00776FBF" w:rsidP="00591FE3">
      <w:pPr>
        <w:pStyle w:val="Agency-body-text"/>
        <w:numPr>
          <w:ilvl w:val="0"/>
          <w:numId w:val="48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zabezpečenie v rámci škôl na účely pomoci žiakom, ktorí sú v triedach hlavného prúdu vzdelávania alebo čiastočne mimo takýchto tried (špeciálne triedy, oddelenia, programy, inkluzívne triedy a paralelná podpora, </w:t>
      </w:r>
      <w:r w:rsidR="00BA608A" w:rsidRPr="00A71C07">
        <w:rPr>
          <w:rFonts w:asciiTheme="majorHAnsi" w:hAnsiTheme="majorHAnsi" w:cstheme="majorHAnsi"/>
          <w:lang w:bidi="sk-SK"/>
        </w:rPr>
        <w:t>t. j. </w:t>
      </w:r>
      <w:r w:rsidRPr="00A71C07">
        <w:rPr>
          <w:rFonts w:asciiTheme="majorHAnsi" w:hAnsiTheme="majorHAnsi" w:cstheme="majorHAnsi"/>
          <w:lang w:bidi="sk-SK"/>
        </w:rPr>
        <w:t>individuálne vzdelávanie zabezpečované špecializovanými pracovníkmi);</w:t>
      </w:r>
    </w:p>
    <w:p w14:paraId="0827C14D" w14:textId="14A96615" w:rsidR="00776FBF" w:rsidRPr="00A71C07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externé zabezpečenie pre školy v záujme posilnenia ich možností v oblasti inkluzívneho vzdelávania (zdrojové centrá, siete špeciálnych škôl, siete škôl v hlavnom prúde vzdelávania a špeciálnych škôl);</w:t>
      </w:r>
    </w:p>
    <w:p w14:paraId="782F6E27" w14:textId="41BDE60E" w:rsidR="00776FBF" w:rsidRPr="00A71C07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externé zabezpečenie pre školy prostredníctvom individualizovanej podpory pre žiakov zaradených do prostredia hlavného prúdu vzdelávania (fyzioterapeuti, logopédi) s podporou školských orgánov alebo orgánov zdravotnej a sociálnej starostlivosti;</w:t>
      </w:r>
    </w:p>
    <w:p w14:paraId="2DED417D" w14:textId="506E1193" w:rsidR="00776FBF" w:rsidRPr="00A71C07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externé zabezpečenie pre žiakov, ako napr. špeciálne školy určené pre žiakov, ktorí potrebujú intenzívnu podporu, v rámci pôsobnosti školských orgánov alebo orgánov zdravotnej a sociálnej starostlivosti.</w:t>
      </w:r>
    </w:p>
    <w:p w14:paraId="0538EE25" w14:textId="37C02C01" w:rsidR="00AB71EF" w:rsidRPr="00A71C07" w:rsidRDefault="00AB71EF" w:rsidP="00591FE3">
      <w:pPr>
        <w:pStyle w:val="Agency-body-text"/>
        <w:rPr>
          <w:rFonts w:asciiTheme="majorHAnsi" w:hAnsiTheme="majorHAnsi" w:cstheme="majorHAnsi"/>
          <w:lang w:bidi="sk-SK"/>
        </w:rPr>
      </w:pPr>
      <w:bookmarkStart w:id="31" w:name="_Hlk127282465"/>
      <w:r w:rsidRPr="00A71C07">
        <w:rPr>
          <w:rFonts w:asciiTheme="majorHAnsi" w:hAnsiTheme="majorHAnsi" w:cstheme="majorHAnsi"/>
          <w:b/>
          <w:lang w:bidi="sk-SK"/>
        </w:rPr>
        <w:t>Zdrojové centrum</w:t>
      </w:r>
      <w:r w:rsidRPr="00A71C07">
        <w:rPr>
          <w:rFonts w:asciiTheme="majorHAnsi" w:hAnsiTheme="majorHAnsi" w:cstheme="majorHAnsi"/>
          <w:lang w:bidi="sk-SK"/>
        </w:rPr>
        <w:t xml:space="preserve">: </w:t>
      </w:r>
      <w:bookmarkEnd w:id="31"/>
      <w:r w:rsidRPr="00A71C07">
        <w:rPr>
          <w:rFonts w:asciiTheme="majorHAnsi" w:hAnsiTheme="majorHAnsi" w:cstheme="majorHAnsi"/>
          <w:lang w:bidi="sk-SK"/>
        </w:rPr>
        <w:t xml:space="preserve">Zdrojové centrá sú základné vzdelávacie centrá resp. inštitúcie, ktoré pôsobia v oblasti poskytovania podpory a poradenstva v záujme presadzovania inklúzie. Zdrojovým centrom je transformovaná špeciálna škola, ktorá sa nanovo definuje ako dynamický, multifunkčný priestor, ktorý prepája ľudské aj materiálne zdroje. Transformácia vyžaduje, aby účastníci z prostredia špeciálneho školstva pôsobili ako konzultanti v rámci hlavného prúdu vzdelávania a poskytovali školám svoje vedomosti a </w:t>
      </w:r>
      <w:r w:rsidRPr="00A71C07">
        <w:rPr>
          <w:rFonts w:asciiTheme="majorHAnsi" w:hAnsiTheme="majorHAnsi" w:cstheme="majorHAnsi"/>
          <w:lang w:bidi="sk-SK"/>
        </w:rPr>
        <w:lastRenderedPageBreak/>
        <w:t>nadobudnuté skúsenosti. Tým dochádza k mobilizácii vedomostí a zručností školy v oblasti inklúzie, pričom sa cenia znalosti a skúsenosti všetkých zúčastnených strán.</w:t>
      </w:r>
    </w:p>
    <w:p w14:paraId="43789397" w14:textId="53DDF626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br w:type="page"/>
      </w:r>
    </w:p>
    <w:p w14:paraId="03C2E25F" w14:textId="321E297C" w:rsidR="00776FBF" w:rsidRPr="00A71C07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32" w:name="_Toc128753132"/>
      <w:r w:rsidRPr="00A71C07">
        <w:rPr>
          <w:rFonts w:asciiTheme="majorHAnsi" w:hAnsiTheme="majorHAnsi" w:cstheme="majorHAnsi"/>
          <w:lang w:bidi="sk-SK"/>
        </w:rPr>
        <w:lastRenderedPageBreak/>
        <w:t>Príloha 2: Rámec nástroja</w:t>
      </w:r>
      <w:bookmarkEnd w:id="32"/>
    </w:p>
    <w:p w14:paraId="66731A2C" w14:textId="398DFF4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Na základe informácií z práce na projekte CROSP obsahuje nástroj hlavné zásady, politické priority a stratégie, ako aj kľúčové opatrenia na podporu zmeny úlohy zabezpečenia špecialistov. Nástroj vychádza z predchádzajúceho výskumu, ako aj z aktivít agentúry v minulosti, ktoré poukazujú na dôležité faktory a mechanizmy v pozadí transformácie vzdelávacích systémov.</w:t>
      </w:r>
    </w:p>
    <w:p w14:paraId="68BFE4A5" w14:textId="3B7AD820" w:rsidR="00776FBF" w:rsidRPr="00A71C07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33" w:name="_Toc128753133"/>
      <w:r w:rsidRPr="00A71C07">
        <w:rPr>
          <w:rFonts w:asciiTheme="majorHAnsi" w:hAnsiTheme="majorHAnsi" w:cstheme="majorHAnsi"/>
          <w:lang w:bidi="sk-SK"/>
        </w:rPr>
        <w:t>Hlavné zásady</w:t>
      </w:r>
      <w:bookmarkEnd w:id="33"/>
    </w:p>
    <w:p w14:paraId="24B385E7" w14:textId="0F2E19E1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Hlavné zásady sú základnými princípmi, o ktoré sa opiera implementácia politík a stratégií, ako aj schopnosť zainteresovaných strán implementovať inkluzívne vzdelávanie na každodennej báze.</w:t>
      </w:r>
    </w:p>
    <w:p w14:paraId="1B19F8F4" w14:textId="16C08C79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Možno ich vnímať ako </w:t>
      </w:r>
      <w:r w:rsidRPr="00A71C07">
        <w:rPr>
          <w:rFonts w:asciiTheme="majorHAnsi" w:hAnsiTheme="majorHAnsi" w:cstheme="majorHAnsi"/>
          <w:b/>
          <w:lang w:bidi="sk-SK"/>
        </w:rPr>
        <w:t>zastrešujúce témy</w:t>
      </w:r>
      <w:r w:rsidRPr="00A71C07">
        <w:rPr>
          <w:rFonts w:asciiTheme="majorHAnsi" w:hAnsiTheme="majorHAnsi" w:cstheme="majorHAnsi"/>
          <w:lang w:bidi="sk-SK"/>
        </w:rPr>
        <w:t xml:space="preserve">, ktoré úzko súvisia so zmenou roly zabezpečenia špecialistov. Zainteresovaným stranám, ktoré pôsobia v hlavnom prúde vzdelávania a v rámci špeciálneho vzdelávania, ponúkajú spoločnú víziu roly špecialistov, čím podporujú spoluprácu. Sú v súlade s najnovšími </w:t>
      </w:r>
      <w:hyperlink r:id="rId40" w:history="1">
        <w:r w:rsidR="00E97E0F" w:rsidRPr="00A71C07">
          <w:rPr>
            <w:rStyle w:val="Hyperlink"/>
            <w:rFonts w:asciiTheme="majorHAnsi" w:hAnsiTheme="majorHAnsi" w:cstheme="majorHAnsi"/>
            <w:i/>
            <w:lang w:bidi="sk-SK"/>
          </w:rPr>
          <w:t>Kľúčovými zásadami</w:t>
        </w:r>
      </w:hyperlink>
      <w:r w:rsidRPr="00A71C07">
        <w:rPr>
          <w:rFonts w:asciiTheme="majorHAnsi" w:hAnsiTheme="majorHAnsi" w:cstheme="majorHAnsi"/>
          <w:lang w:bidi="sk-SK"/>
        </w:rPr>
        <w:t xml:space="preserve"> (2021) agentúry (Európska agentúra, 2021), ku ktorým poskytujú ďalšie dôkazy a ktoré podporujú implementáciu rozvoja inkluzívnej politiky a praxe.</w:t>
      </w:r>
    </w:p>
    <w:p w14:paraId="4E707405" w14:textId="27B5BA3D" w:rsidR="00776FBF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 rámci tematických seminárov bolo identifikovaných šesť hlavných zásad, ktoré sa vzájomne dopĺňajú:</w:t>
      </w:r>
    </w:p>
    <w:p w14:paraId="4B1FB351" w14:textId="2B292232" w:rsidR="00776FBF" w:rsidRPr="00A71C07" w:rsidRDefault="00776FBF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Hlavná zásada č. 1: Vytváranie spoločného záväzku k inkluzívnemu vzdelávaniu</w:t>
      </w:r>
    </w:p>
    <w:p w14:paraId="1A2EF98D" w14:textId="6BB913AD" w:rsidR="00776FBF" w:rsidRPr="00A71C07" w:rsidRDefault="00776FBF" w:rsidP="00591FE3">
      <w:pPr>
        <w:pStyle w:val="Agency-body-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Všetky zainteresované strany by mali rozvíjať spoločné hodnoty a spoločný záväzok poskytovať všetkým žiakom príležitosti na vysokokvalitné vzdelávanie v rámci hlavného prúdu. Pri zabezpečení špecialistov pre žiakov, ktorí potrebujú podporu, by sa malo zohľadňovať sociálno-pedagogické hľadisko namiesto uplatňovania medicínskeho prístupu.</w:t>
      </w:r>
    </w:p>
    <w:p w14:paraId="172868DF" w14:textId="0204550C" w:rsidR="00776FBF" w:rsidRPr="00A71C07" w:rsidRDefault="00D567CD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Hlavná zásada č. 2: Presadzovanie výmeny poznatkov a získavania inkluzívnych kompetencií prostredníctvom spolupráce a vytvárania sietí</w:t>
      </w:r>
    </w:p>
    <w:p w14:paraId="70D8A3EE" w14:textId="6A09A24E" w:rsidR="00776FBF" w:rsidRPr="00A71C07" w:rsidRDefault="00776FBF" w:rsidP="0029385A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Subjekty s rozhodovacími právomocami vrátane odborníkov v oblasti vzdelávania, či už z hlavného vzdelávacieho prúdu alebo zo špeciálneho školstva, by si mali vymieňať poznatky prostredníctvom spolupráce na všetkých úrovniach vzdelávania, ako aj na miestnej/regionálnej/národnej úrovni.</w:t>
      </w:r>
    </w:p>
    <w:p w14:paraId="0E1E883A" w14:textId="662DF769" w:rsidR="00D567CD" w:rsidRPr="00A71C07" w:rsidRDefault="00776FBF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Hlavná zásada č. 3: Zabezpečenie kontinuálneho profesijného vzdelávania v oblasti inklúzie</w:t>
      </w:r>
    </w:p>
    <w:p w14:paraId="5B1D7856" w14:textId="243B7599" w:rsidR="00776FBF" w:rsidRPr="00A71C07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Všetkým pracovníkom v oblasti špeciálneho vzdelávania a hlavného vzdelávacieho prúdu vrátane pracovníkov vo vedúcich funkciách by mali byť k dispozícii príležitosti na kontinuálne vzdelávanie (aby si mohli osvojiť inkluzívne zručnosti a kompetencie).</w:t>
      </w:r>
    </w:p>
    <w:p w14:paraId="112E54F2" w14:textId="6C55A065" w:rsidR="00D567CD" w:rsidRPr="00A71C07" w:rsidRDefault="00776FBF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>Hlavná zásada č. 4: Podpora inkluzívneho vedenia a riadenia školy</w:t>
      </w:r>
    </w:p>
    <w:p w14:paraId="1A5AEAFC" w14:textId="197BC126" w:rsidR="00776FBF" w:rsidRPr="00A71C07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Prístup univerzálneho dizajnu k učeniu a výučbe by mal slúžiť ako zdroj pre podporu práce odborníkov vo vedúcich funkciách v rámci hlavného vzdelávacieho prúdu a v oblasti špeciálneho vzdelávania.</w:t>
      </w:r>
    </w:p>
    <w:p w14:paraId="36C86112" w14:textId="3BAD9FBA" w:rsidR="00945A05" w:rsidRPr="00A71C07" w:rsidRDefault="00776FBF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Hlavná zásada č. 5: Podpora aktívneho zapojenia zainteresovaných strán</w:t>
      </w:r>
    </w:p>
    <w:p w14:paraId="5FC091E5" w14:textId="02514380" w:rsidR="00776FBF" w:rsidRPr="00A71C07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Rodiny, žiaci a ostatné zainteresované strany v komunite by sa mali podporovať v aktívnej účasti na procese učenia a výučby.</w:t>
      </w:r>
    </w:p>
    <w:p w14:paraId="54BE8D84" w14:textId="105BDD17" w:rsidR="00945A05" w:rsidRPr="00A71C07" w:rsidRDefault="00776FBF" w:rsidP="00907466">
      <w:pPr>
        <w:pStyle w:val="Agency-heading-3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Hlavná zásada č. 6: Podpora priebežného monitorovania a hodnotenia</w:t>
      </w:r>
    </w:p>
    <w:p w14:paraId="04D710D0" w14:textId="7248643F" w:rsidR="00776FBF" w:rsidRPr="00A71C07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Všetci pracovníci v oblasti špeciálneho vzdelávania a hlavného vzdelávacieho prúdu by sa mali v rámci práce na celoškolskom prístupe zamerať na prekážky a uľahčujúce faktory učenia a výučby.</w:t>
      </w:r>
    </w:p>
    <w:p w14:paraId="49ACB748" w14:textId="71D8359F" w:rsidR="00776FBF" w:rsidRPr="00A71C07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34" w:name="_Toc128753134"/>
      <w:r w:rsidRPr="00A71C07">
        <w:rPr>
          <w:rFonts w:asciiTheme="majorHAnsi" w:hAnsiTheme="majorHAnsi" w:cstheme="majorHAnsi"/>
          <w:lang w:bidi="sk-SK"/>
        </w:rPr>
        <w:t>Priority politík a stratégie</w:t>
      </w:r>
      <w:bookmarkEnd w:id="34"/>
    </w:p>
    <w:p w14:paraId="02001615" w14:textId="28D0571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Každá hlavná zásada je prepojená s prioritami politík a so stratégiami, ktoré krajiny prezentovali počas seminárov a v písomných podkladoch ako účinné postupy.</w:t>
      </w:r>
    </w:p>
    <w:p w14:paraId="585BDDB2" w14:textId="10DEECDA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Priority politík a stratégie sa týkajú dlhodobých cieľov, ktoré by mali politiky sledovať z hľadiska zmeny roly zabezpečenia špecialistov, vrátane prepojení na prostriedky, ktorými ich možno dosiahnuť.</w:t>
      </w:r>
    </w:p>
    <w:p w14:paraId="5754ED1A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Každú hlavnú zásadu tvorí niekoľko hlavných priorít politiky a stratégií, ktoré podporujú zmenu roly zabezpečenia špecialistov a zároveň sa navzájom dopĺňajú. Krajiny považujú tieto priority politík a stratégie za základný predpoklad k napĺňaniu hodnôt vyjadrených v hlavných zásadách.</w:t>
      </w:r>
    </w:p>
    <w:p w14:paraId="7018DD74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Rámec nástroja pozostáva zo 17 priorít politík a stratégií.</w:t>
      </w:r>
    </w:p>
    <w:p w14:paraId="04F49146" w14:textId="5F7EC737" w:rsidR="00776FBF" w:rsidRPr="00A71C07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35" w:name="_Toc128753135"/>
      <w:r w:rsidRPr="00A71C07">
        <w:rPr>
          <w:rFonts w:asciiTheme="majorHAnsi" w:hAnsiTheme="majorHAnsi" w:cstheme="majorHAnsi"/>
          <w:lang w:bidi="sk-SK"/>
        </w:rPr>
        <w:t>Kľúčové opatrenia</w:t>
      </w:r>
      <w:bookmarkEnd w:id="35"/>
    </w:p>
    <w:p w14:paraId="3575CDB9" w14:textId="1FF291F9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Každá priorita politiky a stratégia je rozdelená na kľúčové opatrenia, ktoré slúžia ako príklady účinnej implementácie príslušných politík a stratégií. Týkajú sa otázok</w:t>
      </w:r>
      <w:r w:rsidRPr="00A71C07">
        <w:rPr>
          <w:rFonts w:asciiTheme="majorHAnsi" w:hAnsiTheme="majorHAnsi" w:cstheme="majorHAnsi"/>
          <w:b/>
          <w:lang w:bidi="sk-SK"/>
        </w:rPr>
        <w:t xml:space="preserve"> </w:t>
      </w:r>
      <w:r w:rsidRPr="00A71C07">
        <w:rPr>
          <w:rFonts w:asciiTheme="majorHAnsi" w:hAnsiTheme="majorHAnsi" w:cstheme="majorHAnsi"/>
          <w:lang w:bidi="sk-SK"/>
        </w:rPr>
        <w:t>financovania, správy a riadenia, budovania kapacít a zabezpečenia kvality, ktoré umožňujú zainteresovaným stranám realizovať súvisiace politiky a stratégie.</w:t>
      </w:r>
    </w:p>
    <w:p w14:paraId="5CAA97A9" w14:textId="77777777" w:rsidR="009C62BC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Každá priorita politiky a stratégia pozostáva z niekoľkých kľúčových opatrení, ktoré sa navzájom dopĺňajú, pričom sa zohľadňuje:</w:t>
      </w:r>
    </w:p>
    <w:p w14:paraId="6F69319E" w14:textId="37D6D37A" w:rsidR="009C62BC" w:rsidRPr="00A71C07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Čo by sa malo urobiť</w:t>
      </w:r>
    </w:p>
    <w:p w14:paraId="359F0490" w14:textId="33A8D7BD" w:rsidR="003C0797" w:rsidRPr="00A71C07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Ako by sa to malo urobiť</w:t>
      </w:r>
    </w:p>
    <w:p w14:paraId="0361FAE4" w14:textId="70239B1F" w:rsidR="00776FBF" w:rsidRPr="00A71C07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Ako overiť účinnosť.</w:t>
      </w:r>
    </w:p>
    <w:p w14:paraId="60E2B7A5" w14:textId="2102D5BF" w:rsidR="00776FBF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Súčasný rámec nástroja zahŕňa:</w:t>
      </w:r>
    </w:p>
    <w:p w14:paraId="74AC2555" w14:textId="77777777" w:rsidR="00776FBF" w:rsidRPr="00A71C07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6 hlavných zásad</w:t>
      </w:r>
    </w:p>
    <w:p w14:paraId="0B211968" w14:textId="77777777" w:rsidR="00776FBF" w:rsidRPr="00A71C07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>17 priorít politiky a stratégií</w:t>
      </w:r>
    </w:p>
    <w:p w14:paraId="0FD85113" w14:textId="77777777" w:rsidR="00776FBF" w:rsidRPr="00A71C07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51 kľúčových opatrení.</w:t>
      </w:r>
    </w:p>
    <w:p w14:paraId="680B3914" w14:textId="15863602" w:rsidR="000D1BFB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Ako znázorňuje obrázok č. 1, každá hlavná zásada je prepojená s viacerými prioritami politík a stratégiami, ako aj s niekoľkými kľúčovými opatreniami, ktoré by sa mali komplexne vnímať ako celok.</w:t>
      </w:r>
    </w:p>
    <w:p w14:paraId="1199A735" w14:textId="7C21AC4A" w:rsidR="000D1BFB" w:rsidRPr="00A71C07" w:rsidRDefault="00FC1006" w:rsidP="00591FE3">
      <w:pPr>
        <w:pStyle w:val="Agency-body-text"/>
        <w:jc w:val="center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DD172" wp14:editId="1DDDF2F2">
                <wp:simplePos x="0" y="0"/>
                <wp:positionH relativeFrom="column">
                  <wp:posOffset>3953933</wp:posOffset>
                </wp:positionH>
                <wp:positionV relativeFrom="paragraph">
                  <wp:posOffset>2796963</wp:posOffset>
                </wp:positionV>
                <wp:extent cx="1439333" cy="601134"/>
                <wp:effectExtent l="0" t="0" r="0" b="0"/>
                <wp:wrapNone/>
                <wp:docPr id="17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BB36" w14:textId="6C3C7C30" w:rsidR="00FC1006" w:rsidRPr="00AB71EF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Kľúčové opatrenie č. 2 (ako)</w:t>
                            </w:r>
                            <w:r w:rsid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 xml:space="preserve"> </w:t>
                            </w: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(prijaté a vyhodnotené opatrenie)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D172" id="Content Placeholder 5" o:spid="_x0000_s1026" alt="&quot;&quot;" style="position:absolute;left:0;text-align:left;margin-left:311.35pt;margin-top:220.25pt;width:113.35pt;height:4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" filled="f" stroked="f">
                <o:lock v:ext="edit" grouping="t"/>
                <v:textbox>
                  <w:txbxContent>
                    <w:p w14:paraId="2D74BB36" w14:textId="6C3C7C30" w:rsidR="00FC1006" w:rsidRPr="00AB71EF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Kľúčové opatrenie č. 2 (ako)</w:t>
                      </w:r>
                      <w:r w:rsid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 xml:space="preserve"> </w:t>
                      </w: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(prijaté a vyhodnotené opatrenie)</w:t>
                      </w:r>
                    </w:p>
                  </w:txbxContent>
                </v:textbox>
              </v:rect>
            </w:pict>
          </mc:Fallback>
        </mc:AlternateContent>
      </w:r>
      <w:r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D80DE" wp14:editId="3BE20D89">
                <wp:simplePos x="0" y="0"/>
                <wp:positionH relativeFrom="column">
                  <wp:posOffset>3955415</wp:posOffset>
                </wp:positionH>
                <wp:positionV relativeFrom="paragraph">
                  <wp:posOffset>1063837</wp:posOffset>
                </wp:positionV>
                <wp:extent cx="1439333" cy="601134"/>
                <wp:effectExtent l="0" t="0" r="0" b="0"/>
                <wp:wrapNone/>
                <wp:docPr id="15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5840E" w14:textId="587F8778" w:rsidR="00FC1006" w:rsidRPr="00AB71EF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Kľúčové opatrenie č. 2 (ako)</w:t>
                            </w:r>
                            <w:r w:rsid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 xml:space="preserve"> </w:t>
                            </w: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(prijaté a vyhodnotené opatrenie)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D80DE" id="_x0000_s1027" alt="&quot;&quot;" style="position:absolute;left:0;text-align:left;margin-left:311.45pt;margin-top:83.75pt;width:113.35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" filled="f" stroked="f">
                <o:lock v:ext="edit" grouping="t"/>
                <v:textbox>
                  <w:txbxContent>
                    <w:p w14:paraId="6EB5840E" w14:textId="587F8778" w:rsidR="00FC1006" w:rsidRPr="00AB71EF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Kľúčové opatrenie č. 2 (ako)</w:t>
                      </w:r>
                      <w:r w:rsid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 xml:space="preserve"> </w:t>
                      </w: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(prijaté a vyhodnotené opatrenie)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6683C" wp14:editId="29F6F7D2">
                <wp:simplePos x="0" y="0"/>
                <wp:positionH relativeFrom="column">
                  <wp:posOffset>3953933</wp:posOffset>
                </wp:positionH>
                <wp:positionV relativeFrom="paragraph">
                  <wp:posOffset>1743499</wp:posOffset>
                </wp:positionV>
                <wp:extent cx="1439333" cy="601134"/>
                <wp:effectExtent l="0" t="0" r="0" b="0"/>
                <wp:wrapNone/>
                <wp:docPr id="14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FDF24" w14:textId="33D7B6CE" w:rsidR="00EC1BAA" w:rsidRPr="00AB71EF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Kľúčové opatrenie č. 1 (ako)</w:t>
                            </w:r>
                            <w:r w:rsid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 xml:space="preserve"> </w:t>
                            </w: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(prijaté a vyhodnotené opatrenie)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683C" id="_x0000_s1028" alt="&quot;&quot;" style="position:absolute;left:0;text-align:left;margin-left:311.35pt;margin-top:137.3pt;width:113.35pt;height:4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" filled="f" stroked="f">
                <o:lock v:ext="edit" grouping="t"/>
                <v:textbox>
                  <w:txbxContent>
                    <w:p w14:paraId="334FDF24" w14:textId="33D7B6CE" w:rsidR="00EC1BAA" w:rsidRPr="00AB71EF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Kľúčové opatrenie č. 1 (ako)</w:t>
                      </w:r>
                      <w:r w:rsid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 xml:space="preserve"> </w:t>
                      </w: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(prijaté a vyhodnotené opatrenie)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7C0DB" wp14:editId="6D38D3F6">
                <wp:simplePos x="0" y="0"/>
                <wp:positionH relativeFrom="column">
                  <wp:posOffset>3955415</wp:posOffset>
                </wp:positionH>
                <wp:positionV relativeFrom="paragraph">
                  <wp:posOffset>-2752</wp:posOffset>
                </wp:positionV>
                <wp:extent cx="1439333" cy="601134"/>
                <wp:effectExtent l="0" t="0" r="0" b="0"/>
                <wp:wrapNone/>
                <wp:docPr id="42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90EA9" w14:textId="668D3A4D" w:rsidR="00EC1BAA" w:rsidRPr="00AB71EF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Kľúčové opatrenie č. 1 (ako)</w:t>
                            </w:r>
                            <w:r w:rsid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 xml:space="preserve"> </w:t>
                            </w: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sk-SK"/>
                              </w:rPr>
                              <w:t>(prijaté a vyhodnotené opatrenie)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C0DB" id="_x0000_s1029" alt="&quot;&quot;" style="position:absolute;left:0;text-align:left;margin-left:311.45pt;margin-top:-.2pt;width:113.35pt;height:4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" filled="f" stroked="f">
                <o:lock v:ext="edit" grouping="t"/>
                <v:textbox>
                  <w:txbxContent>
                    <w:p w14:paraId="72790EA9" w14:textId="668D3A4D" w:rsidR="00EC1BAA" w:rsidRPr="00AB71EF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Kľúčové opatrenie č. 1 (ako)</w:t>
                      </w:r>
                      <w:r w:rsid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 xml:space="preserve"> </w:t>
                      </w: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sk-SK"/>
                        </w:rPr>
                        <w:t>(prijaté a vyhodnotené opatrenie)</w:t>
                      </w:r>
                    </w:p>
                  </w:txbxContent>
                </v:textbox>
              </v:rect>
            </w:pict>
          </mc:Fallback>
        </mc:AlternateContent>
      </w:r>
      <w:r w:rsidR="00942D91"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D0B3E" wp14:editId="05CD6AC5">
                <wp:simplePos x="0" y="0"/>
                <wp:positionH relativeFrom="column">
                  <wp:posOffset>1957283</wp:posOffset>
                </wp:positionH>
                <wp:positionV relativeFrom="paragraph">
                  <wp:posOffset>2274782</wp:posOffset>
                </wp:positionV>
                <wp:extent cx="1413510" cy="584200"/>
                <wp:effectExtent l="0" t="0" r="0" b="0"/>
                <wp:wrapNone/>
                <wp:docPr id="8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51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A8FE" w14:textId="706B535C" w:rsidR="00942D91" w:rsidRPr="00AB71EF" w:rsidRDefault="00942D91" w:rsidP="00942D91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sk-SK"/>
                              </w:rPr>
                              <w:t>Priorita politiky a stratégia č. 2 (čo)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0B3E" id="Content Placeholder 3" o:spid="_x0000_s1030" alt="&quot;&quot;" style="position:absolute;left:0;text-align:left;margin-left:154.1pt;margin-top:179.1pt;width:111.3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" filled="f" stroked="f">
                <o:lock v:ext="edit" grouping="t"/>
                <v:textbox>
                  <w:txbxContent>
                    <w:p w14:paraId="2925A8FE" w14:textId="706B535C" w:rsidR="00942D91" w:rsidRPr="00AB71EF" w:rsidRDefault="00942D91" w:rsidP="00942D91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sk-SK"/>
                        </w:rPr>
                        <w:t>Priorita politiky a stratégia č. 2 (čo)</w:t>
                      </w:r>
                    </w:p>
                  </w:txbxContent>
                </v:textbox>
              </v:rect>
            </w:pict>
          </mc:Fallback>
        </mc:AlternateContent>
      </w:r>
      <w:r w:rsidR="00C053AD"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0DB4F" wp14:editId="624BB3CB">
                <wp:simplePos x="0" y="0"/>
                <wp:positionH relativeFrom="column">
                  <wp:posOffset>1957282</wp:posOffset>
                </wp:positionH>
                <wp:positionV relativeFrom="paragraph">
                  <wp:posOffset>513715</wp:posOffset>
                </wp:positionV>
                <wp:extent cx="1413933" cy="626533"/>
                <wp:effectExtent l="0" t="0" r="0" b="0"/>
                <wp:wrapNone/>
                <wp:docPr id="44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933" cy="626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9C779" w14:textId="77777777" w:rsidR="00C053AD" w:rsidRPr="00AB71EF" w:rsidRDefault="00C053AD" w:rsidP="00C053AD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sk-SK"/>
                              </w:rPr>
                              <w:t>Priorita politiky a stratégia č. 1 (čo)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DB4F" id="_x0000_s1031" alt="&quot;&quot;" style="position:absolute;left:0;text-align:left;margin-left:154.1pt;margin-top:40.45pt;width:111.35pt;height:4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" filled="f" stroked="f">
                <o:lock v:ext="edit" grouping="t"/>
                <v:textbox>
                  <w:txbxContent>
                    <w:p w14:paraId="7EF9C779" w14:textId="77777777" w:rsidR="00C053AD" w:rsidRPr="00AB71EF" w:rsidRDefault="00C053AD" w:rsidP="00C053AD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sk-SK"/>
                        </w:rPr>
                        <w:t>Priorita politiky a stratégia č. 1 (čo)</w:t>
                      </w:r>
                    </w:p>
                  </w:txbxContent>
                </v:textbox>
              </v:rect>
            </w:pict>
          </mc:Fallback>
        </mc:AlternateContent>
      </w:r>
      <w:r w:rsidR="001E2C09" w:rsidRPr="00A71C07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D3524" wp14:editId="5B6A9829">
                <wp:simplePos x="0" y="0"/>
                <wp:positionH relativeFrom="column">
                  <wp:posOffset>1270</wp:posOffset>
                </wp:positionH>
                <wp:positionV relativeFrom="paragraph">
                  <wp:posOffset>1292860</wp:posOffset>
                </wp:positionV>
                <wp:extent cx="1448918" cy="632709"/>
                <wp:effectExtent l="0" t="0" r="0" b="0"/>
                <wp:wrapNone/>
                <wp:docPr id="43" name="Content Placehol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48918" cy="632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5C2A" w14:textId="77777777" w:rsidR="001E2C09" w:rsidRPr="00AB71EF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sk-SK"/>
                              </w:rPr>
                              <w:t>Hlavná zásada č. 1</w:t>
                            </w:r>
                          </w:p>
                          <w:p w14:paraId="7A4883E8" w14:textId="77777777" w:rsidR="001E2C09" w:rsidRPr="00AB71EF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B71EF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sk-SK"/>
                              </w:rPr>
                              <w:t>(prečo)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D3524" id="Content Placeholder 2" o:spid="_x0000_s1032" alt="&quot;&quot;" style="position:absolute;left:0;text-align:left;margin-left:.1pt;margin-top:101.8pt;width:114.1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" filled="f" stroked="f">
                <o:lock v:ext="edit" grouping="t"/>
                <v:textbox>
                  <w:txbxContent>
                    <w:p w14:paraId="285C5C2A" w14:textId="77777777" w:rsidR="001E2C09" w:rsidRPr="00AB71EF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sk-SK"/>
                        </w:rPr>
                        <w:t>Hlavná zásada č. 1</w:t>
                      </w:r>
                    </w:p>
                    <w:p w14:paraId="7A4883E8" w14:textId="77777777" w:rsidR="001E2C09" w:rsidRPr="00AB71EF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AB71EF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sk-SK"/>
                        </w:rPr>
                        <w:t>(prečo)</w:t>
                      </w:r>
                    </w:p>
                  </w:txbxContent>
                </v:textbox>
              </v:rect>
            </w:pict>
          </mc:Fallback>
        </mc:AlternateContent>
      </w:r>
      <w:r w:rsidR="000D1BFB" w:rsidRPr="00A71C07">
        <w:rPr>
          <w:rFonts w:asciiTheme="majorHAnsi" w:hAnsiTheme="majorHAnsi" w:cstheme="majorHAnsi"/>
          <w:noProof/>
          <w:lang w:eastAsia="el-GR"/>
        </w:rPr>
        <w:drawing>
          <wp:inline distT="0" distB="0" distL="0" distR="0" wp14:anchorId="6098A072" wp14:editId="51F0A6B8">
            <wp:extent cx="5611495" cy="3408999"/>
            <wp:effectExtent l="0" t="0" r="0" b="0"/>
            <wp:docPr id="40" name="Picture 40" descr="Vývojový diagram, ktorý znázorňuje, ako jednotlivé hlavné zásady (úroveň 1) smerujú k prioritám politík a stratégiám (úroveň 2), ktoré následne vedú ku kľúčovým opatreniam (úroveň 3)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Vývojový diagram, ktorý znázorňuje, ako jednotlivé hlavné zásady (úroveň 1) smerujú k prioritám politík a stratégiám (úroveň 2), ktoré následne vedú ku kľúčovým opatreniam (úroveň 3)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7F47" w14:textId="4570561F" w:rsidR="00776FBF" w:rsidRPr="00A71C07" w:rsidRDefault="008B29C7" w:rsidP="00591FE3">
      <w:pPr>
        <w:pStyle w:val="Agency-caption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Obrázok </w:t>
      </w:r>
      <w:r w:rsidR="00986F3F" w:rsidRPr="00A71C07">
        <w:rPr>
          <w:rFonts w:asciiTheme="majorHAnsi" w:hAnsiTheme="majorHAnsi" w:cstheme="majorHAnsi"/>
          <w:lang w:bidi="sk-SK"/>
        </w:rPr>
        <w:fldChar w:fldCharType="begin"/>
      </w:r>
      <w:r w:rsidR="00986F3F" w:rsidRPr="00A71C07">
        <w:rPr>
          <w:rFonts w:asciiTheme="majorHAnsi" w:hAnsiTheme="majorHAnsi" w:cstheme="majorHAnsi"/>
          <w:lang w:bidi="sk-SK"/>
        </w:rPr>
        <w:instrText xml:space="preserve"> SEQ Figure \* ARABIC </w:instrText>
      </w:r>
      <w:r w:rsidR="00986F3F" w:rsidRPr="00A71C07">
        <w:rPr>
          <w:rFonts w:asciiTheme="majorHAnsi" w:hAnsiTheme="majorHAnsi" w:cstheme="majorHAnsi"/>
          <w:lang w:bidi="sk-SK"/>
        </w:rPr>
        <w:fldChar w:fldCharType="separate"/>
      </w:r>
      <w:r w:rsidRPr="00A71C07">
        <w:rPr>
          <w:rFonts w:asciiTheme="majorHAnsi" w:hAnsiTheme="majorHAnsi" w:cstheme="majorHAnsi"/>
          <w:lang w:bidi="sk-SK"/>
        </w:rPr>
        <w:t>1</w:t>
      </w:r>
      <w:r w:rsidR="00986F3F" w:rsidRPr="00A71C07">
        <w:rPr>
          <w:rFonts w:asciiTheme="majorHAnsi" w:hAnsiTheme="majorHAnsi" w:cstheme="majorHAnsi"/>
          <w:lang w:bidi="sk-SK"/>
        </w:rPr>
        <w:fldChar w:fldCharType="end"/>
      </w:r>
      <w:r w:rsidRPr="00A71C07">
        <w:rPr>
          <w:rFonts w:asciiTheme="majorHAnsi" w:hAnsiTheme="majorHAnsi" w:cstheme="majorHAnsi"/>
          <w:lang w:bidi="sk-SK"/>
        </w:rPr>
        <w:t xml:space="preserve">. </w:t>
      </w:r>
      <w:bookmarkStart w:id="36" w:name="_Ref96944085"/>
      <w:r w:rsidRPr="00A71C07">
        <w:rPr>
          <w:rFonts w:asciiTheme="majorHAnsi" w:hAnsiTheme="majorHAnsi" w:cstheme="majorHAnsi"/>
          <w:lang w:bidi="sk-SK"/>
        </w:rPr>
        <w:t>Prepojenia medzi hlavnými zásadami, prioritami politík/stratégiami a kľúčovými opatreniami</w:t>
      </w:r>
      <w:bookmarkEnd w:id="36"/>
    </w:p>
    <w:p w14:paraId="28949F83" w14:textId="1C86D838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br w:type="page"/>
      </w:r>
    </w:p>
    <w:p w14:paraId="68B81A76" w14:textId="75A9CC86" w:rsidR="00776FBF" w:rsidRPr="00A71C07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37" w:name="annex3"/>
      <w:bookmarkStart w:id="38" w:name="_Toc128753136"/>
      <w:r w:rsidRPr="00A71C07">
        <w:rPr>
          <w:rFonts w:asciiTheme="majorHAnsi" w:hAnsiTheme="majorHAnsi" w:cstheme="majorHAnsi"/>
          <w:lang w:bidi="sk-SK"/>
        </w:rPr>
        <w:lastRenderedPageBreak/>
        <w:t>Príloha 3</w:t>
      </w:r>
      <w:bookmarkEnd w:id="37"/>
      <w:r w:rsidRPr="00A71C07">
        <w:rPr>
          <w:rFonts w:asciiTheme="majorHAnsi" w:hAnsiTheme="majorHAnsi" w:cstheme="majorHAnsi"/>
          <w:lang w:bidi="sk-SK"/>
        </w:rPr>
        <w:t>: Validácia nástroja na samohodnotenie na vnútroštátnej úrovni</w:t>
      </w:r>
      <w:bookmarkEnd w:id="38"/>
    </w:p>
    <w:p w14:paraId="084D0CC7" w14:textId="317F4401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Nástroj na samohodnotenie je verejne dostupný dokument (open</w:t>
      </w:r>
      <w:r w:rsidR="00002EDE" w:rsidRPr="00A71C07">
        <w:rPr>
          <w:rFonts w:asciiTheme="majorHAnsi" w:hAnsiTheme="majorHAnsi" w:cstheme="majorHAnsi"/>
          <w:lang w:bidi="sk-SK"/>
        </w:rPr>
        <w:t xml:space="preserve"> </w:t>
      </w:r>
      <w:r w:rsidRPr="00A71C07">
        <w:rPr>
          <w:rFonts w:asciiTheme="majorHAnsi" w:hAnsiTheme="majorHAnsi" w:cstheme="majorHAnsi"/>
          <w:lang w:bidi="sk-SK"/>
        </w:rPr>
        <w:t>source). Používatelia si ho môžu preložiť a prispôsobiť svojmu národnému kontextu.</w:t>
      </w:r>
    </w:p>
    <w:p w14:paraId="3502B3D6" w14:textId="212762C7" w:rsidR="009C62BC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Prvým krokom</w:t>
      </w:r>
      <w:r w:rsidRPr="00A71C07">
        <w:rPr>
          <w:rFonts w:asciiTheme="majorHAnsi" w:hAnsiTheme="majorHAnsi" w:cstheme="majorHAnsi"/>
          <w:lang w:bidi="sk-SK"/>
        </w:rPr>
        <w:t xml:space="preserve"> pri prispôsobovaní nástroja je uskutočnenie procesu validácie. To znamená identifikovanie relevantných kľúčových aktérov z rôznych skupín účastníkov, ktorí zastupujú rôzne perspektívy.</w:t>
      </w:r>
    </w:p>
    <w:p w14:paraId="4020027F" w14:textId="3007C44E" w:rsidR="00776FBF" w:rsidRPr="00A71C07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Medzi vybraných kľúčových aktérov môžu patriť:</w:t>
      </w:r>
    </w:p>
    <w:p w14:paraId="270C9742" w14:textId="20DB3F8E" w:rsidR="00776FBF" w:rsidRPr="00A71C07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činitelia s rozhodovacími právomocami na národnej, regionálnej a miestnej úrovni z oblasti vzdelávania alebo zo súvisiacich odvetví (napr. zdravotníctva a sociálnej starostlivosti);</w:t>
      </w:r>
    </w:p>
    <w:p w14:paraId="29137FA4" w14:textId="1621FB70" w:rsidR="00776FBF" w:rsidRPr="00A71C07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tímy pozostávajúce z riadiacich zamestnancov a vedenia škôl, ako aj odborníci z hlavného prúdu vzdelávania a zo špeciálneho školstva (vrátane podporného personálu a špecialistov);</w:t>
      </w:r>
    </w:p>
    <w:p w14:paraId="6C14870C" w14:textId="111FDC94" w:rsidR="00776FBF" w:rsidRPr="00A71C07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zástupcovia rodinných, mládežníckych a komunitných organizácií, správcovia, ako aj volení zástupcovia, napríklad členovia školských rád, poslanci mestských zastupiteľstiev a predstavitelia štátu.</w:t>
      </w:r>
    </w:p>
    <w:p w14:paraId="6A8DDAB5" w14:textId="77777777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Tento zoznam je </w:t>
      </w:r>
      <w:r w:rsidRPr="00A71C07">
        <w:rPr>
          <w:rFonts w:asciiTheme="majorHAnsi" w:hAnsiTheme="majorHAnsi" w:cstheme="majorHAnsi"/>
          <w:b/>
          <w:lang w:bidi="sk-SK"/>
        </w:rPr>
        <w:t>orientačný</w:t>
      </w:r>
      <w:r w:rsidRPr="00A71C07">
        <w:rPr>
          <w:rFonts w:asciiTheme="majorHAnsi" w:hAnsiTheme="majorHAnsi" w:cstheme="majorHAnsi"/>
          <w:lang w:bidi="sk-SK"/>
        </w:rPr>
        <w:t>, pretože skupiny účastníkov sa môžu v jednotlivých krajinách líšiť.</w:t>
      </w:r>
    </w:p>
    <w:p w14:paraId="5F0C3BA0" w14:textId="1FE837D6" w:rsidR="00776FBF" w:rsidRPr="00A71C07" w:rsidRDefault="00776FB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b/>
          <w:lang w:bidi="sk-SK"/>
        </w:rPr>
        <w:t>Druhým krokom</w:t>
      </w:r>
      <w:r w:rsidRPr="00A71C07">
        <w:rPr>
          <w:rFonts w:asciiTheme="majorHAnsi" w:hAnsiTheme="majorHAnsi" w:cstheme="majorHAnsi"/>
          <w:lang w:bidi="sk-SK"/>
        </w:rPr>
        <w:t xml:space="preserve"> je prizvanie vybraných účastníkov k validácii nástroja. Môže sa uskutočniť prostredníctvom seminárov, osobitných skupín resp. individuálneho/skupinového dopytovania s cieľom posúdiť kultúrnu vhodnosť a užitočnosť nástroja.</w:t>
      </w:r>
    </w:p>
    <w:p w14:paraId="73585C36" w14:textId="2A5EE9A9" w:rsidR="00776FBF" w:rsidRPr="00A71C07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Počas validácie môžu byť účastníci požiadaní, aby odpovedali na tieto otázky:</w:t>
      </w:r>
    </w:p>
    <w:p w14:paraId="1FD683D2" w14:textId="1636B158" w:rsidR="00776FBF" w:rsidRPr="00A71C07" w:rsidRDefault="005F0EC6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Sú účel a koncepcie nástroja jasné?</w:t>
      </w:r>
    </w:p>
    <w:p w14:paraId="038BE10A" w14:textId="77777777" w:rsidR="00776FBF" w:rsidRPr="00A71C07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Možno nástroj jednoducho používať a do akej miery?</w:t>
      </w:r>
    </w:p>
    <w:p w14:paraId="65B89298" w14:textId="77777777" w:rsidR="00FE2827" w:rsidRPr="00A71C07" w:rsidRDefault="00776FBF" w:rsidP="00591FE3">
      <w:pPr>
        <w:pStyle w:val="Agency-body-text"/>
        <w:numPr>
          <w:ilvl w:val="0"/>
          <w:numId w:val="44"/>
        </w:numPr>
        <w:rPr>
          <w:rFonts w:asciiTheme="majorHAnsi" w:eastAsia="MS PGothic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V akom rozsahu ho považujete za zmysluplný/relevantný?</w:t>
      </w:r>
    </w:p>
    <w:p w14:paraId="78B64897" w14:textId="77A73C13" w:rsidR="00776FBF" w:rsidRPr="00A71C07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Do akej miery by mohol podporiť diskusie o inkluzívnom vzdelávaní?</w:t>
      </w:r>
    </w:p>
    <w:p w14:paraId="040BBB5A" w14:textId="39CDC4DA" w:rsidR="00776FBF" w:rsidRPr="00A71C07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Na základe odpovedí na tieto bude možné stanoviť potrebné úpravy tak, aby nástroj mohol byť pre danú krajinu relevantný. K tomu by mohlo patriť:</w:t>
      </w:r>
    </w:p>
    <w:p w14:paraId="511F0DC9" w14:textId="7A60A417" w:rsidR="00776FBF" w:rsidRPr="00A71C07" w:rsidRDefault="009A29FC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rozhodovanie, či sa použije celý nástroj alebo jeho časti (</w:t>
      </w:r>
      <w:r w:rsidR="00BA608A" w:rsidRPr="00A71C07">
        <w:rPr>
          <w:rFonts w:asciiTheme="majorHAnsi" w:hAnsiTheme="majorHAnsi" w:cstheme="majorHAnsi"/>
          <w:lang w:bidi="sk-SK"/>
        </w:rPr>
        <w:t>t. j. </w:t>
      </w:r>
      <w:r w:rsidRPr="00A71C07">
        <w:rPr>
          <w:rFonts w:asciiTheme="majorHAnsi" w:hAnsiTheme="majorHAnsi" w:cstheme="majorHAnsi"/>
          <w:lang w:bidi="sk-SK"/>
        </w:rPr>
        <w:t>dôraz na konkrétne hlavné zásady resp. konkrétne otázky) v súlade s vnútroštátnymi prioritami;</w:t>
      </w:r>
    </w:p>
    <w:p w14:paraId="2F60CAA9" w14:textId="6883FC5E" w:rsidR="00776FBF" w:rsidRPr="00A71C07" w:rsidRDefault="004D13AB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poskytnutie konkrétnej spätnej väzby k položkám nástroja (</w:t>
      </w:r>
      <w:r w:rsidR="00BA608A" w:rsidRPr="00A71C07">
        <w:rPr>
          <w:rFonts w:asciiTheme="majorHAnsi" w:hAnsiTheme="majorHAnsi" w:cstheme="majorHAnsi"/>
          <w:lang w:bidi="sk-SK"/>
        </w:rPr>
        <w:t>t. j. </w:t>
      </w:r>
      <w:r w:rsidRPr="00A71C07">
        <w:rPr>
          <w:rFonts w:asciiTheme="majorHAnsi" w:hAnsiTheme="majorHAnsi" w:cstheme="majorHAnsi"/>
          <w:lang w:bidi="sk-SK"/>
        </w:rPr>
        <w:t>preskúmanie a prispôsobenie jazyka a pojmov kontextu krajiny, preformulovanie, pridanie/vypustenie otázok atď.);</w:t>
      </w:r>
    </w:p>
    <w:p w14:paraId="21B64526" w14:textId="7724C391" w:rsidR="00C16418" w:rsidRPr="00A71C07" w:rsidRDefault="00B815C3" w:rsidP="00591FE3">
      <w:pPr>
        <w:pStyle w:val="Agency-body-text"/>
        <w:numPr>
          <w:ilvl w:val="0"/>
          <w:numId w:val="41"/>
        </w:numPr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>rozhodovanie o procese uplatnenia nástroja na samohodnotenie v rámci krajiny.</w:t>
      </w:r>
      <w:r w:rsidR="00C16418" w:rsidRPr="00A71C07">
        <w:rPr>
          <w:rFonts w:asciiTheme="majorHAnsi" w:hAnsiTheme="majorHAnsi" w:cstheme="majorHAnsi"/>
          <w:lang w:bidi="sk-SK"/>
        </w:rPr>
        <w:br w:type="page"/>
      </w:r>
    </w:p>
    <w:p w14:paraId="60227608" w14:textId="5F8C5170" w:rsidR="00C16418" w:rsidRPr="00A71C07" w:rsidRDefault="00C16418" w:rsidP="00907466">
      <w:pPr>
        <w:pStyle w:val="Agency-heading-1"/>
        <w:rPr>
          <w:rFonts w:asciiTheme="majorHAnsi" w:hAnsiTheme="majorHAnsi" w:cstheme="majorHAnsi"/>
        </w:rPr>
      </w:pPr>
      <w:bookmarkStart w:id="39" w:name="_Toc128753137"/>
      <w:r w:rsidRPr="00A71C07">
        <w:rPr>
          <w:rFonts w:asciiTheme="majorHAnsi" w:hAnsiTheme="majorHAnsi" w:cstheme="majorHAnsi"/>
          <w:lang w:bidi="sk-SK"/>
        </w:rPr>
        <w:lastRenderedPageBreak/>
        <w:t>Literatúra</w:t>
      </w:r>
      <w:bookmarkEnd w:id="39"/>
    </w:p>
    <w:p w14:paraId="67431299" w14:textId="1E4E40E4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Centre for Applied Special Technology, bez dátumu. </w:t>
      </w:r>
      <w:r w:rsidRPr="00A71C07">
        <w:rPr>
          <w:rFonts w:asciiTheme="majorHAnsi" w:hAnsiTheme="majorHAnsi" w:cstheme="majorHAnsi"/>
          <w:i/>
          <w:lang w:bidi="sk-SK"/>
        </w:rPr>
        <w:t>About Universal Design for Learning [O univerzálnom dizajne pre vzdelávanie]</w:t>
      </w:r>
      <w:r w:rsidRPr="00A71C07">
        <w:rPr>
          <w:rFonts w:asciiTheme="majorHAnsi" w:hAnsiTheme="majorHAnsi" w:cstheme="majorHAnsi"/>
          <w:lang w:bidi="sk-SK"/>
        </w:rPr>
        <w:t xml:space="preserve">. </w:t>
      </w:r>
      <w:r w:rsidR="008746C1" w:rsidRPr="00A71C07">
        <w:rPr>
          <w:rFonts w:asciiTheme="majorHAnsi" w:hAnsiTheme="majorHAnsi" w:cstheme="majorHAnsi"/>
          <w:lang w:bidi="sk-SK"/>
        </w:rPr>
        <w:br/>
      </w:r>
      <w:hyperlink r:id="rId42" w:history="1">
        <w:r w:rsidR="0033088A" w:rsidRPr="00A71C07">
          <w:rPr>
            <w:rStyle w:val="Hyperlink"/>
            <w:rFonts w:asciiTheme="majorHAnsi" w:hAnsiTheme="majorHAnsi" w:cstheme="majorHAnsi"/>
            <w:lang w:bidi="sk-SK"/>
          </w:rPr>
          <w:t>www.cast.org/impact/universal-design-for-learning-udl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132D697A" w14:textId="2A757F49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Európska agentúra pre rozvoj špeciálneho a inkluzívneho vzdelávania, 2015. </w:t>
      </w:r>
      <w:r w:rsidRPr="00A71C07">
        <w:rPr>
          <w:rFonts w:asciiTheme="majorHAnsi" w:hAnsiTheme="majorHAnsi" w:cstheme="majorHAnsi"/>
          <w:i/>
          <w:lang w:bidi="sk-SK"/>
        </w:rPr>
        <w:t>Raising the Achievement of All Learners in Inclusive Education. Project Conceptual Framework and Terminology [Zvyšovanie úrovne výsledkov všetkých žiakov v inkluzívnom vzdelávaní. Koncepčný rámec projektu a terminológia]</w:t>
      </w:r>
      <w:r w:rsidRPr="00A71C07">
        <w:rPr>
          <w:rFonts w:asciiTheme="majorHAnsi" w:hAnsiTheme="majorHAnsi" w:cstheme="majorHAnsi"/>
          <w:lang w:bidi="sk-SK"/>
        </w:rPr>
        <w:t xml:space="preserve">. (V. Donnelly, P. Skoglund a H. Weber, red.). Odense, Dánsko. </w:t>
      </w:r>
      <w:hyperlink r:id="rId43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www.european-agency.org/sites/default/files/Raising Achievement Conceptual Framework.pdf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7B64FD92" w14:textId="68E9375A" w:rsidR="00AB71EF" w:rsidRPr="00A71C07" w:rsidRDefault="00AB71EF" w:rsidP="00591FE3">
      <w:pPr>
        <w:pStyle w:val="Agency-body-text"/>
        <w:rPr>
          <w:rFonts w:asciiTheme="majorHAnsi" w:hAnsiTheme="majorHAnsi" w:cstheme="majorHAnsi"/>
          <w:lang w:bidi="sk-SK"/>
        </w:rPr>
      </w:pPr>
      <w:r w:rsidRPr="00A71C07">
        <w:rPr>
          <w:rFonts w:asciiTheme="majorHAnsi" w:hAnsiTheme="majorHAnsi" w:cstheme="majorHAnsi"/>
          <w:lang w:bidi="sk-SK"/>
        </w:rPr>
        <w:t xml:space="preserve">Európska agentúra pre rozvoj špeciálneho a inkluzívneho vzdelávania, 2018. </w:t>
      </w:r>
      <w:r w:rsidRPr="00A71C07">
        <w:rPr>
          <w:rFonts w:asciiTheme="majorHAnsi" w:hAnsiTheme="majorHAnsi" w:cstheme="majorHAnsi"/>
          <w:i/>
          <w:lang w:bidi="sk-SK"/>
        </w:rPr>
        <w:t>Analysis Framework for Mapping Inclusive Education Policies [Analytický rámec pre mapovanie politík inkluzívneho vzdelávania]</w:t>
      </w:r>
      <w:r w:rsidRPr="00A71C07">
        <w:rPr>
          <w:rFonts w:asciiTheme="majorHAnsi" w:hAnsiTheme="majorHAnsi" w:cstheme="majorHAnsi"/>
          <w:lang w:bidi="sk-SK"/>
        </w:rPr>
        <w:t xml:space="preserve">. (V. Soriano, A. Watkins, M. Kyriazopoulou, V. Donnelly, A. Kefallinou, S. Ebersold a G. Squires, red.). Odense, Dánsko. </w:t>
      </w:r>
      <w:hyperlink r:id="rId44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www.european-agency.org/resources/publications/analysis-framework-mapping-inclusive-education-policies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224DBF6B" w14:textId="765EB327" w:rsidR="000D4AF5" w:rsidRPr="00A71C07" w:rsidRDefault="000D4AF5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Európska agentúra pre rozvoj špeciálneho a inkluzívneho vzdelávania, 2021. </w:t>
      </w:r>
      <w:r w:rsidRPr="00A71C07">
        <w:rPr>
          <w:rFonts w:asciiTheme="majorHAnsi" w:hAnsiTheme="majorHAnsi" w:cstheme="majorHAnsi"/>
          <w:i/>
          <w:lang w:bidi="sk-SK"/>
        </w:rPr>
        <w:t>Kľúčové zásady – Podpora rozvoja a implementácie politiky v oblasti inkluzívneho vzdelávania.</w:t>
      </w:r>
      <w:r w:rsidRPr="00A71C07">
        <w:rPr>
          <w:rFonts w:asciiTheme="majorHAnsi" w:hAnsiTheme="majorHAnsi" w:cstheme="majorHAnsi"/>
          <w:lang w:bidi="sk-SK"/>
        </w:rPr>
        <w:t xml:space="preserve"> (V. J. Donnelly a A. Watkins, red.). Odense, Dánsko. </w:t>
      </w:r>
      <w:r w:rsidRPr="00A71C07">
        <w:rPr>
          <w:rFonts w:asciiTheme="majorHAnsi" w:hAnsiTheme="majorHAnsi" w:cstheme="majorHAnsi"/>
          <w:lang w:bidi="sk-SK"/>
        </w:rPr>
        <w:br/>
      </w:r>
      <w:hyperlink r:id="rId45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www.european-agency.org/resources/publications/key-principles-supporting-policy-development-implementation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6C60C3CC" w14:textId="77777777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Európska agentúra pre rozvoj špeciálneho a inkluzívneho vzdelávania, 2022. </w:t>
      </w:r>
      <w:r w:rsidRPr="00A71C07">
        <w:rPr>
          <w:rFonts w:asciiTheme="majorHAnsi" w:hAnsiTheme="majorHAnsi" w:cstheme="majorHAnsi"/>
          <w:i/>
          <w:lang w:bidi="sk-SK"/>
        </w:rPr>
        <w:t>Changing Role of Specialist Provision in Supporting Inclusive Education: Final Synthesis Report [Zmena roly špecialistov pri zabezpečovaní podpory inkluzívneho vzdelávania: Záverečná súhrnná správa]</w:t>
      </w:r>
      <w:r w:rsidRPr="00A71C07">
        <w:rPr>
          <w:rFonts w:asciiTheme="majorHAnsi" w:hAnsiTheme="majorHAnsi" w:cstheme="majorHAnsi"/>
          <w:lang w:bidi="sk-SK"/>
        </w:rPr>
        <w:t>. (A. Kefallinou, M. Kyriazopoulou, S. Ebersold, P. Skoglund, E. Rebollo Píriz a M. Lučić Wichmann, red.). Odense, Dánsko</w:t>
      </w:r>
    </w:p>
    <w:p w14:paraId="57444964" w14:textId="3D6CA807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Európska agentúra pre rozvoj špeciálneho a inkluzívneho vzdelávania, bez dátumu. </w:t>
      </w:r>
      <w:r w:rsidRPr="00A71C07">
        <w:rPr>
          <w:rFonts w:asciiTheme="majorHAnsi" w:hAnsiTheme="majorHAnsi" w:cstheme="majorHAnsi"/>
          <w:i/>
          <w:lang w:bidi="sk-SK"/>
        </w:rPr>
        <w:t>Increasing Inclusive Capability [Zvyšovanie inkluzívnych schopností]</w:t>
      </w:r>
      <w:r w:rsidRPr="00A71C07">
        <w:rPr>
          <w:rFonts w:asciiTheme="majorHAnsi" w:hAnsiTheme="majorHAnsi" w:cstheme="majorHAnsi"/>
          <w:lang w:bidi="sk-SK"/>
        </w:rPr>
        <w:t xml:space="preserve">. </w:t>
      </w:r>
      <w:r w:rsidR="00C86868" w:rsidRPr="00A71C07">
        <w:rPr>
          <w:rFonts w:asciiTheme="majorHAnsi" w:hAnsiTheme="majorHAnsi" w:cstheme="majorHAnsi"/>
          <w:lang w:bidi="sk-SK"/>
        </w:rPr>
        <w:br/>
      </w:r>
      <w:hyperlink r:id="rId46" w:history="1">
        <w:r w:rsidR="00C86868" w:rsidRPr="00A71C07">
          <w:rPr>
            <w:rStyle w:val="Hyperlink"/>
            <w:rFonts w:asciiTheme="majorHAnsi" w:hAnsiTheme="majorHAnsi" w:cstheme="majorHAnsi"/>
            <w:lang w:bidi="sk-SK"/>
          </w:rPr>
          <w:t>www.european-agency.org/projects/organisation-provision-support-inclusive-education/increasing-inclusive-capability/what-restricts-participation-and-learning-all-children-and-young-people-and-what-action-can-be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71C06AE6" w14:textId="48F5D70F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Great Schools Partnership, 2014. ‘Professional learning community’ [„Profesijná vzdelávacia komunita“], </w:t>
      </w:r>
      <w:r w:rsidRPr="00A71C07">
        <w:rPr>
          <w:rFonts w:asciiTheme="majorHAnsi" w:hAnsiTheme="majorHAnsi" w:cstheme="majorHAnsi"/>
          <w:i/>
          <w:lang w:bidi="sk-SK"/>
        </w:rPr>
        <w:t>Glossary of Education Reform</w:t>
      </w:r>
      <w:r w:rsidRPr="00A71C07">
        <w:rPr>
          <w:rFonts w:asciiTheme="majorHAnsi" w:hAnsiTheme="majorHAnsi" w:cstheme="majorHAnsi"/>
          <w:lang w:bidi="sk-SK"/>
        </w:rPr>
        <w:t xml:space="preserve">. </w:t>
      </w:r>
      <w:r w:rsidR="00C86868" w:rsidRPr="00A71C07">
        <w:rPr>
          <w:rFonts w:asciiTheme="majorHAnsi" w:hAnsiTheme="majorHAnsi" w:cstheme="majorHAnsi"/>
          <w:lang w:bidi="sk-SK"/>
        </w:rPr>
        <w:br/>
      </w:r>
      <w:hyperlink r:id="rId47" w:history="1">
        <w:r w:rsidR="00C86868" w:rsidRPr="00A71C07">
          <w:rPr>
            <w:rStyle w:val="Hyperlink"/>
            <w:rFonts w:asciiTheme="majorHAnsi" w:hAnsiTheme="majorHAnsi" w:cstheme="majorHAnsi"/>
            <w:lang w:bidi="sk-SK"/>
          </w:rPr>
          <w:t>www.edglossary.org/professional-learning-community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2022).</w:t>
      </w:r>
    </w:p>
    <w:p w14:paraId="7DD1F722" w14:textId="77777777" w:rsidR="00AB71EF" w:rsidRPr="00A71C07" w:rsidRDefault="00AB71EF" w:rsidP="00591FE3">
      <w:pPr>
        <w:pStyle w:val="Agency-body-text"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t xml:space="preserve">Oxford Learner’s Dictionaries. </w:t>
      </w:r>
      <w:hyperlink r:id="rId48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www.oxfordlearnersdictionaries.com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p w14:paraId="7B02BDAC" w14:textId="77777777" w:rsidR="00AB71EF" w:rsidRPr="00B25E4F" w:rsidRDefault="00AB71EF" w:rsidP="00A369D2">
      <w:pPr>
        <w:pStyle w:val="Agency-body-text"/>
        <w:keepLines/>
        <w:rPr>
          <w:rFonts w:asciiTheme="majorHAnsi" w:hAnsiTheme="majorHAnsi" w:cstheme="majorHAnsi"/>
        </w:rPr>
      </w:pPr>
      <w:r w:rsidRPr="00A71C07">
        <w:rPr>
          <w:rFonts w:asciiTheme="majorHAnsi" w:hAnsiTheme="majorHAnsi" w:cstheme="majorHAnsi"/>
          <w:lang w:bidi="sk-SK"/>
        </w:rPr>
        <w:lastRenderedPageBreak/>
        <w:t xml:space="preserve">UNESCO, 2020. </w:t>
      </w:r>
      <w:r w:rsidRPr="00A71C07">
        <w:rPr>
          <w:rFonts w:asciiTheme="majorHAnsi" w:hAnsiTheme="majorHAnsi" w:cstheme="majorHAnsi"/>
          <w:i/>
          <w:lang w:bidi="sk-SK"/>
        </w:rPr>
        <w:t>Global Education Monitoring Report 2020: Inclusion and education: All means all [Monitorovacia správa o globálnom vzdelávaní 2020: Inklúzia a vzdelávanie: Všetci znamená všetci]</w:t>
      </w:r>
      <w:r w:rsidRPr="00A71C07">
        <w:rPr>
          <w:rFonts w:asciiTheme="majorHAnsi" w:hAnsiTheme="majorHAnsi" w:cstheme="majorHAnsi"/>
          <w:lang w:bidi="sk-SK"/>
        </w:rPr>
        <w:t xml:space="preserve">. Paríž: UNESCO. </w:t>
      </w:r>
      <w:hyperlink r:id="rId49" w:history="1">
        <w:r w:rsidRPr="00A71C07">
          <w:rPr>
            <w:rStyle w:val="Hyperlink"/>
            <w:rFonts w:asciiTheme="majorHAnsi" w:hAnsiTheme="majorHAnsi" w:cstheme="majorHAnsi"/>
            <w:lang w:bidi="sk-SK"/>
          </w:rPr>
          <w:t>en.unesco.org/gem-report/report/2020/inclusion</w:t>
        </w:r>
      </w:hyperlink>
      <w:r w:rsidRPr="00A71C07">
        <w:rPr>
          <w:rFonts w:asciiTheme="majorHAnsi" w:hAnsiTheme="majorHAnsi" w:cstheme="majorHAnsi"/>
          <w:lang w:bidi="sk-SK"/>
        </w:rPr>
        <w:t xml:space="preserve"> (Posledný prístup: september 2022)</w:t>
      </w:r>
    </w:p>
    <w:sectPr w:rsidR="00AB71EF" w:rsidRPr="00B25E4F" w:rsidSect="00776FBF">
      <w:headerReference w:type="even" r:id="rId50"/>
      <w:headerReference w:type="default" r:id="rId51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DDF1E" w14:textId="77777777" w:rsidR="005F4BFC" w:rsidRDefault="005F4BFC">
      <w:r>
        <w:separator/>
      </w:r>
    </w:p>
  </w:endnote>
  <w:endnote w:type="continuationSeparator" w:id="0">
    <w:p w14:paraId="053427E6" w14:textId="77777777" w:rsidR="005F4BFC" w:rsidRDefault="005F4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4840" w14:textId="12D87103" w:rsidR="009E6E4D" w:rsidRPr="00AB71EF" w:rsidRDefault="009E6E4D" w:rsidP="005D5C15">
    <w:pPr>
      <w:framePr w:wrap="around" w:vAnchor="text" w:hAnchor="margin" w:xAlign="outside" w:y="1"/>
      <w:jc w:val="right"/>
      <w:rPr>
        <w:rFonts w:asciiTheme="majorHAnsi" w:hAnsiTheme="majorHAnsi" w:cstheme="majorHAnsi"/>
        <w:szCs w:val="24"/>
      </w:rPr>
    </w:pPr>
    <w:r w:rsidRPr="00AB71EF">
      <w:rPr>
        <w:rFonts w:asciiTheme="majorHAnsi" w:hAnsiTheme="majorHAnsi" w:cstheme="majorHAnsi"/>
        <w:lang w:bidi="sk-SK"/>
      </w:rPr>
      <w:fldChar w:fldCharType="begin"/>
    </w:r>
    <w:r w:rsidRPr="00AB71EF">
      <w:rPr>
        <w:rFonts w:asciiTheme="majorHAnsi" w:hAnsiTheme="majorHAnsi" w:cstheme="majorHAnsi"/>
        <w:lang w:bidi="sk-SK"/>
      </w:rPr>
      <w:instrText xml:space="preserve">PAGE  </w:instrText>
    </w:r>
    <w:r w:rsidRPr="00AB71EF">
      <w:rPr>
        <w:rFonts w:asciiTheme="majorHAnsi" w:hAnsiTheme="majorHAnsi" w:cstheme="majorHAnsi"/>
        <w:lang w:bidi="sk-SK"/>
      </w:rPr>
      <w:fldChar w:fldCharType="separate"/>
    </w:r>
    <w:r w:rsidR="000D4AF5">
      <w:rPr>
        <w:rFonts w:asciiTheme="majorHAnsi" w:hAnsiTheme="majorHAnsi" w:cstheme="majorHAnsi"/>
        <w:noProof/>
        <w:lang w:bidi="sk-SK"/>
      </w:rPr>
      <w:t>28</w:t>
    </w:r>
    <w:r w:rsidRPr="00AB71EF">
      <w:rPr>
        <w:rFonts w:asciiTheme="majorHAnsi" w:hAnsiTheme="majorHAnsi" w:cstheme="majorHAnsi"/>
        <w:lang w:bidi="sk-SK"/>
      </w:rPr>
      <w:fldChar w:fldCharType="end"/>
    </w:r>
  </w:p>
  <w:p w14:paraId="42B1793F" w14:textId="1D15D3F6" w:rsidR="009E6E4D" w:rsidRPr="00AB71EF" w:rsidRDefault="00DD7FBB" w:rsidP="00310724">
    <w:pPr>
      <w:pStyle w:val="Agency-footer"/>
      <w:jc w:val="right"/>
      <w:rPr>
        <w:rFonts w:asciiTheme="majorHAnsi" w:hAnsiTheme="majorHAnsi" w:cstheme="majorHAnsi"/>
      </w:rPr>
    </w:pPr>
    <w:r w:rsidRPr="00AB71EF">
      <w:rPr>
        <w:rFonts w:asciiTheme="majorHAnsi" w:hAnsiTheme="majorHAnsi" w:cstheme="majorHAnsi"/>
        <w:lang w:bidi="sk-SK"/>
      </w:rPr>
      <w:t>Zmena roly špecialistov pri zabezpečovaní podpory inkluzívneho vzdelávania: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EFADD" w14:textId="74D75932" w:rsidR="009E6E4D" w:rsidRPr="00AB71EF" w:rsidRDefault="009E6E4D" w:rsidP="004A2584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AB71EF">
      <w:rPr>
        <w:rFonts w:asciiTheme="majorHAnsi" w:hAnsiTheme="majorHAnsi" w:cstheme="majorHAnsi"/>
        <w:lang w:bidi="sk-SK"/>
      </w:rPr>
      <w:fldChar w:fldCharType="begin"/>
    </w:r>
    <w:r w:rsidRPr="00AB71EF">
      <w:rPr>
        <w:rFonts w:asciiTheme="majorHAnsi" w:hAnsiTheme="majorHAnsi" w:cstheme="majorHAnsi"/>
        <w:lang w:bidi="sk-SK"/>
      </w:rPr>
      <w:instrText xml:space="preserve">PAGE  </w:instrText>
    </w:r>
    <w:r w:rsidRPr="00AB71EF">
      <w:rPr>
        <w:rFonts w:asciiTheme="majorHAnsi" w:hAnsiTheme="majorHAnsi" w:cstheme="majorHAnsi"/>
        <w:lang w:bidi="sk-SK"/>
      </w:rPr>
      <w:fldChar w:fldCharType="separate"/>
    </w:r>
    <w:r w:rsidR="000D4AF5">
      <w:rPr>
        <w:rFonts w:asciiTheme="majorHAnsi" w:hAnsiTheme="majorHAnsi" w:cstheme="majorHAnsi"/>
        <w:noProof/>
        <w:lang w:bidi="sk-SK"/>
      </w:rPr>
      <w:t>7</w:t>
    </w:r>
    <w:r w:rsidRPr="00AB71EF">
      <w:rPr>
        <w:rFonts w:asciiTheme="majorHAnsi" w:hAnsiTheme="majorHAnsi" w:cstheme="majorHAnsi"/>
        <w:lang w:bidi="sk-SK"/>
      </w:rPr>
      <w:fldChar w:fldCharType="end"/>
    </w:r>
  </w:p>
  <w:p w14:paraId="2D3AD717" w14:textId="4E68271D" w:rsidR="009E6E4D" w:rsidRPr="00AB71EF" w:rsidRDefault="00DD7FBB" w:rsidP="00EA53FF">
    <w:pPr>
      <w:pStyle w:val="Agency-footer"/>
      <w:rPr>
        <w:rFonts w:asciiTheme="majorHAnsi" w:hAnsiTheme="majorHAnsi" w:cstheme="majorHAnsi"/>
      </w:rPr>
    </w:pPr>
    <w:r w:rsidRPr="00AB71EF">
      <w:rPr>
        <w:rFonts w:asciiTheme="majorHAnsi" w:hAnsiTheme="majorHAnsi" w:cstheme="majorHAnsi"/>
        <w:lang w:bidi="sk-SK"/>
      </w:rPr>
      <w:t>Nástroj na samohodnotenie politiky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35DA" w14:textId="72365FB3" w:rsidR="00776FBF" w:rsidRPr="00AB71EF" w:rsidRDefault="00776FBF" w:rsidP="006C28CE">
    <w:pPr>
      <w:framePr w:wrap="none" w:vAnchor="text" w:hAnchor="margin" w:xAlign="right" w:y="1"/>
      <w:jc w:val="right"/>
      <w:rPr>
        <w:rFonts w:asciiTheme="majorHAnsi" w:hAnsiTheme="majorHAnsi" w:cstheme="majorHAnsi"/>
      </w:rPr>
    </w:pPr>
    <w:r w:rsidRPr="00AB71EF">
      <w:rPr>
        <w:rFonts w:asciiTheme="majorHAnsi" w:hAnsiTheme="majorHAnsi" w:cstheme="majorHAnsi"/>
        <w:lang w:bidi="sk-SK"/>
      </w:rPr>
      <w:fldChar w:fldCharType="begin"/>
    </w:r>
    <w:r w:rsidRPr="00AB71EF">
      <w:rPr>
        <w:rFonts w:asciiTheme="majorHAnsi" w:hAnsiTheme="majorHAnsi" w:cstheme="majorHAnsi"/>
        <w:lang w:bidi="sk-SK"/>
      </w:rPr>
      <w:instrText xml:space="preserve">PAGE  </w:instrText>
    </w:r>
    <w:r w:rsidRPr="00AB71EF">
      <w:rPr>
        <w:rFonts w:asciiTheme="majorHAnsi" w:hAnsiTheme="majorHAnsi" w:cstheme="majorHAnsi"/>
        <w:lang w:bidi="sk-SK"/>
      </w:rPr>
      <w:fldChar w:fldCharType="separate"/>
    </w:r>
    <w:r w:rsidR="000D4AF5">
      <w:rPr>
        <w:rFonts w:asciiTheme="majorHAnsi" w:hAnsiTheme="majorHAnsi" w:cstheme="majorHAnsi"/>
        <w:noProof/>
        <w:lang w:bidi="sk-SK"/>
      </w:rPr>
      <w:t>27</w:t>
    </w:r>
    <w:r w:rsidRPr="00AB71EF">
      <w:rPr>
        <w:rFonts w:asciiTheme="majorHAnsi" w:hAnsiTheme="majorHAnsi" w:cstheme="majorHAnsi"/>
        <w:lang w:bidi="sk-SK"/>
      </w:rPr>
      <w:fldChar w:fldCharType="end"/>
    </w:r>
  </w:p>
  <w:p w14:paraId="482DCD87" w14:textId="0CB16518" w:rsidR="00776FBF" w:rsidRPr="00AB71EF" w:rsidRDefault="00E572CC" w:rsidP="006C28CE">
    <w:pPr>
      <w:pStyle w:val="Agency-footer"/>
      <w:ind w:right="360"/>
      <w:rPr>
        <w:rFonts w:asciiTheme="majorHAnsi" w:hAnsiTheme="majorHAnsi" w:cstheme="majorHAnsi"/>
      </w:rPr>
    </w:pPr>
    <w:r w:rsidRPr="00AB71EF">
      <w:rPr>
        <w:rFonts w:asciiTheme="majorHAnsi" w:hAnsiTheme="majorHAnsi" w:cstheme="majorHAnsi"/>
        <w:lang w:bidi="sk-SK"/>
      </w:rPr>
      <w:t>Nástroj na samohodnotenie politiky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BBF2" w14:textId="77777777" w:rsidR="00776FBF" w:rsidRDefault="00776F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2FC42" w14:textId="77777777" w:rsidR="005F4BFC" w:rsidRDefault="005F4BFC">
      <w:r>
        <w:separator/>
      </w:r>
    </w:p>
  </w:footnote>
  <w:footnote w:type="continuationSeparator" w:id="0">
    <w:p w14:paraId="7B6CE085" w14:textId="77777777" w:rsidR="005F4BFC" w:rsidRDefault="005F4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AF25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792E614D" wp14:editId="0357BDAA">
          <wp:extent cx="5672455" cy="474345"/>
          <wp:effectExtent l="0" t="0" r="0" b="8255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60FB93" w14:textId="77777777" w:rsidR="009E6E4D" w:rsidRDefault="009E6E4D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D8BE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5813CB71" wp14:editId="0A70A018">
          <wp:extent cx="5611495" cy="451485"/>
          <wp:effectExtent l="0" t="0" r="1905" b="5715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5DDAC" w14:textId="77777777" w:rsidR="009E6E4D" w:rsidRDefault="009E6E4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8106" w14:textId="77777777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BFD9E72" wp14:editId="57BAB9CE">
          <wp:extent cx="5672455" cy="474345"/>
          <wp:effectExtent l="0" t="0" r="0" b="8255"/>
          <wp:docPr id="1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5A901" w14:textId="77777777" w:rsidR="00776FBF" w:rsidRDefault="00776FBF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7398" w14:textId="0994137A" w:rsidR="00776FBF" w:rsidRDefault="00776FBF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10BBF562" wp14:editId="4565111A">
          <wp:extent cx="9163050" cy="464820"/>
          <wp:effectExtent l="0" t="0" r="6350" b="5080"/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99661C" w14:textId="77777777" w:rsidR="00776FBF" w:rsidRDefault="00776FBF" w:rsidP="00EA53F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927E" w14:textId="49ED471D" w:rsidR="00776FBF" w:rsidRDefault="00776FBF">
    <w:r>
      <w:rPr>
        <w:noProof/>
        <w:lang w:val="el-GR" w:eastAsia="el-GR"/>
      </w:rPr>
      <w:drawing>
        <wp:inline distT="0" distB="0" distL="0" distR="0" wp14:anchorId="2ECDFA4E" wp14:editId="2C05F70E">
          <wp:extent cx="9163050" cy="464820"/>
          <wp:effectExtent l="0" t="0" r="6350" b="5080"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14D6A0" w14:textId="77777777" w:rsidR="00776FBF" w:rsidRDefault="00776FB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0C02" w14:textId="77777777" w:rsidR="00776FBF" w:rsidRDefault="00776FB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29B5" w14:textId="36AA46F6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A9FFAB7" wp14:editId="75D3D024">
          <wp:extent cx="5611495" cy="469247"/>
          <wp:effectExtent l="0" t="0" r="0" b="1270"/>
          <wp:docPr id="16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4C69E" w14:textId="77777777" w:rsidR="00776FBF" w:rsidRDefault="00776FBF" w:rsidP="00EA53FF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FF9A" w14:textId="1A551A9C" w:rsidR="00776FBF" w:rsidRDefault="00776FBF">
    <w:r>
      <w:rPr>
        <w:noProof/>
        <w:lang w:val="el-GR" w:eastAsia="el-GR"/>
      </w:rPr>
      <w:drawing>
        <wp:inline distT="0" distB="0" distL="0" distR="0" wp14:anchorId="4DEA8DB7" wp14:editId="722B7D71">
          <wp:extent cx="5611495" cy="451485"/>
          <wp:effectExtent l="0" t="0" r="1905" b="5715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FCA5EA" w14:textId="77777777" w:rsidR="00776FBF" w:rsidRDefault="00776F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CCF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F8F9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DE48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9DE2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A3210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1CE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E4F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C67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C68F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AE3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164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48DEE9A0"/>
    <w:lvl w:ilvl="0" w:tplc="52CE3022">
      <w:numFmt w:val="none"/>
      <w:lvlText w:val=""/>
      <w:lvlJc w:val="left"/>
      <w:pPr>
        <w:tabs>
          <w:tab w:val="num" w:pos="360"/>
        </w:tabs>
      </w:pPr>
    </w:lvl>
    <w:lvl w:ilvl="1" w:tplc="D2A457E8">
      <w:numFmt w:val="decimal"/>
      <w:lvlText w:val=""/>
      <w:lvlJc w:val="left"/>
    </w:lvl>
    <w:lvl w:ilvl="2" w:tplc="CD78F62E">
      <w:numFmt w:val="decimal"/>
      <w:lvlText w:val=""/>
      <w:lvlJc w:val="left"/>
    </w:lvl>
    <w:lvl w:ilvl="3" w:tplc="E1DC45C6">
      <w:numFmt w:val="decimal"/>
      <w:lvlText w:val=""/>
      <w:lvlJc w:val="left"/>
    </w:lvl>
    <w:lvl w:ilvl="4" w:tplc="3CFAB560">
      <w:numFmt w:val="decimal"/>
      <w:lvlText w:val=""/>
      <w:lvlJc w:val="left"/>
    </w:lvl>
    <w:lvl w:ilvl="5" w:tplc="B69613DA">
      <w:numFmt w:val="decimal"/>
      <w:lvlText w:val=""/>
      <w:lvlJc w:val="left"/>
    </w:lvl>
    <w:lvl w:ilvl="6" w:tplc="E3A23ADE">
      <w:numFmt w:val="decimal"/>
      <w:lvlText w:val=""/>
      <w:lvlJc w:val="left"/>
    </w:lvl>
    <w:lvl w:ilvl="7" w:tplc="C70C9F5A">
      <w:numFmt w:val="decimal"/>
      <w:lvlText w:val=""/>
      <w:lvlJc w:val="left"/>
    </w:lvl>
    <w:lvl w:ilvl="8" w:tplc="BA585CCA">
      <w:numFmt w:val="decimal"/>
      <w:lvlText w:val=""/>
      <w:lvlJc w:val="left"/>
    </w:lvl>
  </w:abstractNum>
  <w:abstractNum w:abstractNumId="12" w15:restartNumberingAfterBreak="0">
    <w:nsid w:val="00000002"/>
    <w:multiLevelType w:val="hybridMultilevel"/>
    <w:tmpl w:val="1E46D10C"/>
    <w:lvl w:ilvl="0" w:tplc="3904B738">
      <w:numFmt w:val="none"/>
      <w:lvlText w:val=""/>
      <w:lvlJc w:val="left"/>
      <w:pPr>
        <w:tabs>
          <w:tab w:val="num" w:pos="360"/>
        </w:tabs>
      </w:pPr>
    </w:lvl>
    <w:lvl w:ilvl="1" w:tplc="606809A0">
      <w:numFmt w:val="decimal"/>
      <w:lvlText w:val=""/>
      <w:lvlJc w:val="left"/>
    </w:lvl>
    <w:lvl w:ilvl="2" w:tplc="7B48196A">
      <w:numFmt w:val="decimal"/>
      <w:lvlText w:val=""/>
      <w:lvlJc w:val="left"/>
    </w:lvl>
    <w:lvl w:ilvl="3" w:tplc="6D282C4C">
      <w:numFmt w:val="decimal"/>
      <w:lvlText w:val=""/>
      <w:lvlJc w:val="left"/>
    </w:lvl>
    <w:lvl w:ilvl="4" w:tplc="A7EC872A">
      <w:numFmt w:val="decimal"/>
      <w:lvlText w:val=""/>
      <w:lvlJc w:val="left"/>
    </w:lvl>
    <w:lvl w:ilvl="5" w:tplc="FAE0F860">
      <w:numFmt w:val="decimal"/>
      <w:lvlText w:val=""/>
      <w:lvlJc w:val="left"/>
    </w:lvl>
    <w:lvl w:ilvl="6" w:tplc="0166F06A">
      <w:numFmt w:val="decimal"/>
      <w:lvlText w:val=""/>
      <w:lvlJc w:val="left"/>
    </w:lvl>
    <w:lvl w:ilvl="7" w:tplc="CFBE5A58">
      <w:numFmt w:val="decimal"/>
      <w:lvlText w:val=""/>
      <w:lvlJc w:val="left"/>
    </w:lvl>
    <w:lvl w:ilvl="8" w:tplc="414ED576">
      <w:numFmt w:val="decimal"/>
      <w:lvlText w:val=""/>
      <w:lvlJc w:val="left"/>
    </w:lvl>
  </w:abstractNum>
  <w:abstractNum w:abstractNumId="13" w15:restartNumberingAfterBreak="0">
    <w:nsid w:val="00000003"/>
    <w:multiLevelType w:val="hybridMultilevel"/>
    <w:tmpl w:val="BFE42EF8"/>
    <w:lvl w:ilvl="0" w:tplc="4BAA3F44">
      <w:numFmt w:val="none"/>
      <w:lvlText w:val=""/>
      <w:lvlJc w:val="left"/>
      <w:pPr>
        <w:tabs>
          <w:tab w:val="num" w:pos="360"/>
        </w:tabs>
      </w:pPr>
    </w:lvl>
    <w:lvl w:ilvl="1" w:tplc="A72CB7E2">
      <w:numFmt w:val="decimal"/>
      <w:lvlText w:val=""/>
      <w:lvlJc w:val="left"/>
    </w:lvl>
    <w:lvl w:ilvl="2" w:tplc="120462BE">
      <w:numFmt w:val="decimal"/>
      <w:lvlText w:val=""/>
      <w:lvlJc w:val="left"/>
    </w:lvl>
    <w:lvl w:ilvl="3" w:tplc="9332624E">
      <w:numFmt w:val="decimal"/>
      <w:lvlText w:val=""/>
      <w:lvlJc w:val="left"/>
    </w:lvl>
    <w:lvl w:ilvl="4" w:tplc="DEA630DE">
      <w:numFmt w:val="decimal"/>
      <w:lvlText w:val=""/>
      <w:lvlJc w:val="left"/>
    </w:lvl>
    <w:lvl w:ilvl="5" w:tplc="04DE30FC">
      <w:numFmt w:val="decimal"/>
      <w:lvlText w:val=""/>
      <w:lvlJc w:val="left"/>
    </w:lvl>
    <w:lvl w:ilvl="6" w:tplc="AC6C5436">
      <w:numFmt w:val="decimal"/>
      <w:lvlText w:val=""/>
      <w:lvlJc w:val="left"/>
    </w:lvl>
    <w:lvl w:ilvl="7" w:tplc="FAE00506">
      <w:numFmt w:val="decimal"/>
      <w:lvlText w:val=""/>
      <w:lvlJc w:val="left"/>
    </w:lvl>
    <w:lvl w:ilvl="8" w:tplc="EF366ED4">
      <w:numFmt w:val="decimal"/>
      <w:lvlText w:val=""/>
      <w:lvlJc w:val="left"/>
    </w:lvl>
  </w:abstractNum>
  <w:abstractNum w:abstractNumId="14" w15:restartNumberingAfterBreak="0">
    <w:nsid w:val="047E1000"/>
    <w:multiLevelType w:val="hybridMultilevel"/>
    <w:tmpl w:val="5D724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960CA6"/>
    <w:multiLevelType w:val="hybridMultilevel"/>
    <w:tmpl w:val="D55A9CAC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752F9"/>
    <w:multiLevelType w:val="hybridMultilevel"/>
    <w:tmpl w:val="D2524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882E26"/>
    <w:multiLevelType w:val="hybridMultilevel"/>
    <w:tmpl w:val="6CC64A9A"/>
    <w:lvl w:ilvl="0" w:tplc="C6F2BCFA">
      <w:start w:val="1"/>
      <w:numFmt w:val="bullet"/>
      <w:lvlText w:val=""/>
      <w:lvlJc w:val="left"/>
      <w:pPr>
        <w:tabs>
          <w:tab w:val="num" w:pos="1353"/>
        </w:tabs>
        <w:ind w:left="1353" w:hanging="13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135965BC"/>
    <w:multiLevelType w:val="hybridMultilevel"/>
    <w:tmpl w:val="4036A574"/>
    <w:lvl w:ilvl="0" w:tplc="93CECDE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F673C"/>
    <w:multiLevelType w:val="hybridMultilevel"/>
    <w:tmpl w:val="74485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4E704E"/>
    <w:multiLevelType w:val="hybridMultilevel"/>
    <w:tmpl w:val="6452F7C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A463F9"/>
    <w:multiLevelType w:val="hybridMultilevel"/>
    <w:tmpl w:val="DB26E0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EE271A2"/>
    <w:multiLevelType w:val="hybridMultilevel"/>
    <w:tmpl w:val="68A885B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566E3C"/>
    <w:multiLevelType w:val="hybridMultilevel"/>
    <w:tmpl w:val="9042A08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AD2567"/>
    <w:multiLevelType w:val="hybridMultilevel"/>
    <w:tmpl w:val="199CD556"/>
    <w:lvl w:ilvl="0" w:tplc="8E6A0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575B87"/>
    <w:multiLevelType w:val="hybridMultilevel"/>
    <w:tmpl w:val="BF3CED1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E216AA"/>
    <w:multiLevelType w:val="hybridMultilevel"/>
    <w:tmpl w:val="37A2BD18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2ED3019C"/>
    <w:multiLevelType w:val="hybridMultilevel"/>
    <w:tmpl w:val="F35CBCD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243C92"/>
    <w:multiLevelType w:val="hybridMultilevel"/>
    <w:tmpl w:val="D398F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D70454"/>
    <w:multiLevelType w:val="hybridMultilevel"/>
    <w:tmpl w:val="7C00AA48"/>
    <w:lvl w:ilvl="0" w:tplc="32C4D708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92118"/>
    <w:multiLevelType w:val="hybridMultilevel"/>
    <w:tmpl w:val="8E44373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C54600"/>
    <w:multiLevelType w:val="hybridMultilevel"/>
    <w:tmpl w:val="3F00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54DEB"/>
    <w:multiLevelType w:val="hybridMultilevel"/>
    <w:tmpl w:val="C952E60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D93EBF"/>
    <w:multiLevelType w:val="hybridMultilevel"/>
    <w:tmpl w:val="F2E60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CF2252"/>
    <w:multiLevelType w:val="hybridMultilevel"/>
    <w:tmpl w:val="BD10C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A802EC"/>
    <w:multiLevelType w:val="hybridMultilevel"/>
    <w:tmpl w:val="95B017DA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4D975F6F"/>
    <w:multiLevelType w:val="hybridMultilevel"/>
    <w:tmpl w:val="05AE4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213F45"/>
    <w:multiLevelType w:val="hybridMultilevel"/>
    <w:tmpl w:val="EF18181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D6EDF"/>
    <w:multiLevelType w:val="hybridMultilevel"/>
    <w:tmpl w:val="3E5231E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B4C5C"/>
    <w:multiLevelType w:val="hybridMultilevel"/>
    <w:tmpl w:val="6F0A4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720"/>
    <w:multiLevelType w:val="multilevel"/>
    <w:tmpl w:val="BD10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45F88"/>
    <w:multiLevelType w:val="hybridMultilevel"/>
    <w:tmpl w:val="5DFAC524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84484"/>
    <w:multiLevelType w:val="hybridMultilevel"/>
    <w:tmpl w:val="653AB940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43" w15:restartNumberingAfterBreak="0">
    <w:nsid w:val="6FF673FE"/>
    <w:multiLevelType w:val="hybridMultilevel"/>
    <w:tmpl w:val="59FA4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638EC"/>
    <w:multiLevelType w:val="hybridMultilevel"/>
    <w:tmpl w:val="33F0D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5E0A77"/>
    <w:multiLevelType w:val="hybridMultilevel"/>
    <w:tmpl w:val="5A307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54240"/>
    <w:multiLevelType w:val="hybridMultilevel"/>
    <w:tmpl w:val="AE58D7D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00710"/>
    <w:multiLevelType w:val="hybridMultilevel"/>
    <w:tmpl w:val="4D367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36A20"/>
    <w:multiLevelType w:val="hybridMultilevel"/>
    <w:tmpl w:val="406CE01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3237617">
    <w:abstractNumId w:val="34"/>
  </w:num>
  <w:num w:numId="2" w16cid:durableId="1074666126">
    <w:abstractNumId w:val="40"/>
  </w:num>
  <w:num w:numId="3" w16cid:durableId="1857227160">
    <w:abstractNumId w:val="15"/>
  </w:num>
  <w:num w:numId="4" w16cid:durableId="2119256831">
    <w:abstractNumId w:val="46"/>
  </w:num>
  <w:num w:numId="5" w16cid:durableId="430659674">
    <w:abstractNumId w:val="11"/>
  </w:num>
  <w:num w:numId="6" w16cid:durableId="331875091">
    <w:abstractNumId w:val="12"/>
  </w:num>
  <w:num w:numId="7" w16cid:durableId="541329892">
    <w:abstractNumId w:val="13"/>
  </w:num>
  <w:num w:numId="8" w16cid:durableId="1550453975">
    <w:abstractNumId w:val="41"/>
  </w:num>
  <w:num w:numId="9" w16cid:durableId="710303625">
    <w:abstractNumId w:val="38"/>
  </w:num>
  <w:num w:numId="10" w16cid:durableId="1145659365">
    <w:abstractNumId w:val="23"/>
  </w:num>
  <w:num w:numId="11" w16cid:durableId="120727599">
    <w:abstractNumId w:val="20"/>
  </w:num>
  <w:num w:numId="12" w16cid:durableId="719863315">
    <w:abstractNumId w:val="35"/>
  </w:num>
  <w:num w:numId="13" w16cid:durableId="1981302816">
    <w:abstractNumId w:val="26"/>
  </w:num>
  <w:num w:numId="14" w16cid:durableId="1837039966">
    <w:abstractNumId w:val="42"/>
  </w:num>
  <w:num w:numId="15" w16cid:durableId="683553113">
    <w:abstractNumId w:val="17"/>
  </w:num>
  <w:num w:numId="16" w16cid:durableId="1630014047">
    <w:abstractNumId w:val="44"/>
  </w:num>
  <w:num w:numId="17" w16cid:durableId="1327250187">
    <w:abstractNumId w:val="21"/>
  </w:num>
  <w:num w:numId="18" w16cid:durableId="1059747652">
    <w:abstractNumId w:val="27"/>
  </w:num>
  <w:num w:numId="19" w16cid:durableId="42795755">
    <w:abstractNumId w:val="32"/>
  </w:num>
  <w:num w:numId="20" w16cid:durableId="1891921821">
    <w:abstractNumId w:val="30"/>
  </w:num>
  <w:num w:numId="21" w16cid:durableId="2130974612">
    <w:abstractNumId w:val="22"/>
  </w:num>
  <w:num w:numId="22" w16cid:durableId="712539794">
    <w:abstractNumId w:val="37"/>
  </w:num>
  <w:num w:numId="23" w16cid:durableId="1030765179">
    <w:abstractNumId w:val="48"/>
  </w:num>
  <w:num w:numId="24" w16cid:durableId="882057284">
    <w:abstractNumId w:val="25"/>
  </w:num>
  <w:num w:numId="25" w16cid:durableId="689992830">
    <w:abstractNumId w:val="0"/>
  </w:num>
  <w:num w:numId="26" w16cid:durableId="559904403">
    <w:abstractNumId w:val="10"/>
  </w:num>
  <w:num w:numId="27" w16cid:durableId="915943526">
    <w:abstractNumId w:val="8"/>
  </w:num>
  <w:num w:numId="28" w16cid:durableId="1562980075">
    <w:abstractNumId w:val="7"/>
  </w:num>
  <w:num w:numId="29" w16cid:durableId="1311325189">
    <w:abstractNumId w:val="6"/>
  </w:num>
  <w:num w:numId="30" w16cid:durableId="1087192208">
    <w:abstractNumId w:val="5"/>
  </w:num>
  <w:num w:numId="31" w16cid:durableId="975720571">
    <w:abstractNumId w:val="9"/>
  </w:num>
  <w:num w:numId="32" w16cid:durableId="605843847">
    <w:abstractNumId w:val="4"/>
  </w:num>
  <w:num w:numId="33" w16cid:durableId="1442534865">
    <w:abstractNumId w:val="3"/>
  </w:num>
  <w:num w:numId="34" w16cid:durableId="921909665">
    <w:abstractNumId w:val="2"/>
  </w:num>
  <w:num w:numId="35" w16cid:durableId="887911439">
    <w:abstractNumId w:val="1"/>
  </w:num>
  <w:num w:numId="36" w16cid:durableId="785931288">
    <w:abstractNumId w:val="19"/>
  </w:num>
  <w:num w:numId="37" w16cid:durableId="139227295">
    <w:abstractNumId w:val="36"/>
  </w:num>
  <w:num w:numId="38" w16cid:durableId="1809469438">
    <w:abstractNumId w:val="16"/>
  </w:num>
  <w:num w:numId="39" w16cid:durableId="301084047">
    <w:abstractNumId w:val="29"/>
  </w:num>
  <w:num w:numId="40" w16cid:durableId="1267467558">
    <w:abstractNumId w:val="18"/>
  </w:num>
  <w:num w:numId="41" w16cid:durableId="839810625">
    <w:abstractNumId w:val="45"/>
  </w:num>
  <w:num w:numId="42" w16cid:durableId="2006936631">
    <w:abstractNumId w:val="47"/>
  </w:num>
  <w:num w:numId="43" w16cid:durableId="570848568">
    <w:abstractNumId w:val="39"/>
  </w:num>
  <w:num w:numId="44" w16cid:durableId="1518735873">
    <w:abstractNumId w:val="43"/>
  </w:num>
  <w:num w:numId="45" w16cid:durableId="146826878">
    <w:abstractNumId w:val="31"/>
  </w:num>
  <w:num w:numId="46" w16cid:durableId="521167204">
    <w:abstractNumId w:val="24"/>
  </w:num>
  <w:num w:numId="47" w16cid:durableId="565260558">
    <w:abstractNumId w:val="33"/>
  </w:num>
  <w:num w:numId="48" w16cid:durableId="1515917664">
    <w:abstractNumId w:val="14"/>
  </w:num>
  <w:num w:numId="49" w16cid:durableId="183016869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BF"/>
    <w:rsid w:val="000017DB"/>
    <w:rsid w:val="00002EDE"/>
    <w:rsid w:val="000034CB"/>
    <w:rsid w:val="000045E5"/>
    <w:rsid w:val="000051EC"/>
    <w:rsid w:val="00006C80"/>
    <w:rsid w:val="000152BE"/>
    <w:rsid w:val="00020583"/>
    <w:rsid w:val="00034EDC"/>
    <w:rsid w:val="000352C0"/>
    <w:rsid w:val="000353D5"/>
    <w:rsid w:val="00040142"/>
    <w:rsid w:val="000402C4"/>
    <w:rsid w:val="00046370"/>
    <w:rsid w:val="000478DB"/>
    <w:rsid w:val="0005087A"/>
    <w:rsid w:val="0006085F"/>
    <w:rsid w:val="00063AA7"/>
    <w:rsid w:val="00064A4B"/>
    <w:rsid w:val="00066F3B"/>
    <w:rsid w:val="00077E1F"/>
    <w:rsid w:val="00080BFB"/>
    <w:rsid w:val="00083933"/>
    <w:rsid w:val="00096A3D"/>
    <w:rsid w:val="000A5EE7"/>
    <w:rsid w:val="000A7FAE"/>
    <w:rsid w:val="000B0500"/>
    <w:rsid w:val="000B1F72"/>
    <w:rsid w:val="000B35DF"/>
    <w:rsid w:val="000B4F5A"/>
    <w:rsid w:val="000C64AD"/>
    <w:rsid w:val="000C765B"/>
    <w:rsid w:val="000D1BFB"/>
    <w:rsid w:val="000D4AF5"/>
    <w:rsid w:val="000E08E0"/>
    <w:rsid w:val="000E1AAE"/>
    <w:rsid w:val="000E2F2A"/>
    <w:rsid w:val="000E4E8A"/>
    <w:rsid w:val="000F21AC"/>
    <w:rsid w:val="000F7CC5"/>
    <w:rsid w:val="00101CFD"/>
    <w:rsid w:val="001031C2"/>
    <w:rsid w:val="001038D4"/>
    <w:rsid w:val="00105B69"/>
    <w:rsid w:val="00111E52"/>
    <w:rsid w:val="00125AEB"/>
    <w:rsid w:val="0012684E"/>
    <w:rsid w:val="00132650"/>
    <w:rsid w:val="00137A44"/>
    <w:rsid w:val="001415AF"/>
    <w:rsid w:val="00142C72"/>
    <w:rsid w:val="001437F1"/>
    <w:rsid w:val="001515D5"/>
    <w:rsid w:val="001564BE"/>
    <w:rsid w:val="00160C89"/>
    <w:rsid w:val="00164612"/>
    <w:rsid w:val="00165FE3"/>
    <w:rsid w:val="00173A68"/>
    <w:rsid w:val="00174A0C"/>
    <w:rsid w:val="0017526F"/>
    <w:rsid w:val="001839E0"/>
    <w:rsid w:val="00185901"/>
    <w:rsid w:val="001859D8"/>
    <w:rsid w:val="00187C9A"/>
    <w:rsid w:val="00192B96"/>
    <w:rsid w:val="001A3B70"/>
    <w:rsid w:val="001A545F"/>
    <w:rsid w:val="001A6435"/>
    <w:rsid w:val="001B21C6"/>
    <w:rsid w:val="001B425D"/>
    <w:rsid w:val="001B4828"/>
    <w:rsid w:val="001C47A6"/>
    <w:rsid w:val="001C6F84"/>
    <w:rsid w:val="001D3CC9"/>
    <w:rsid w:val="001D5BE0"/>
    <w:rsid w:val="001D6D2D"/>
    <w:rsid w:val="001E18B8"/>
    <w:rsid w:val="001E23D3"/>
    <w:rsid w:val="001E2C09"/>
    <w:rsid w:val="001E60A8"/>
    <w:rsid w:val="001E6CBF"/>
    <w:rsid w:val="001F1296"/>
    <w:rsid w:val="001F2576"/>
    <w:rsid w:val="001F32B6"/>
    <w:rsid w:val="002012F7"/>
    <w:rsid w:val="002027C7"/>
    <w:rsid w:val="00202F49"/>
    <w:rsid w:val="00203F24"/>
    <w:rsid w:val="002133A0"/>
    <w:rsid w:val="00214945"/>
    <w:rsid w:val="002224DC"/>
    <w:rsid w:val="0022276E"/>
    <w:rsid w:val="00222E65"/>
    <w:rsid w:val="00227EEE"/>
    <w:rsid w:val="00233CBC"/>
    <w:rsid w:val="00241692"/>
    <w:rsid w:val="0024208D"/>
    <w:rsid w:val="002450F6"/>
    <w:rsid w:val="00251206"/>
    <w:rsid w:val="00252720"/>
    <w:rsid w:val="00254157"/>
    <w:rsid w:val="00254399"/>
    <w:rsid w:val="00254870"/>
    <w:rsid w:val="00263BB8"/>
    <w:rsid w:val="00264617"/>
    <w:rsid w:val="0027286E"/>
    <w:rsid w:val="00274549"/>
    <w:rsid w:val="00277E1B"/>
    <w:rsid w:val="0028372F"/>
    <w:rsid w:val="00285752"/>
    <w:rsid w:val="00285D4C"/>
    <w:rsid w:val="0029385A"/>
    <w:rsid w:val="002A66E0"/>
    <w:rsid w:val="002B037F"/>
    <w:rsid w:val="002B24D1"/>
    <w:rsid w:val="002B618D"/>
    <w:rsid w:val="002B72AA"/>
    <w:rsid w:val="002C344A"/>
    <w:rsid w:val="002C75C3"/>
    <w:rsid w:val="002D53C5"/>
    <w:rsid w:val="002D55E4"/>
    <w:rsid w:val="002E3141"/>
    <w:rsid w:val="002E3662"/>
    <w:rsid w:val="002E429F"/>
    <w:rsid w:val="002E5B99"/>
    <w:rsid w:val="002E5F0A"/>
    <w:rsid w:val="002F1991"/>
    <w:rsid w:val="002F78E3"/>
    <w:rsid w:val="003041B7"/>
    <w:rsid w:val="0030489A"/>
    <w:rsid w:val="00310724"/>
    <w:rsid w:val="00311908"/>
    <w:rsid w:val="00317C60"/>
    <w:rsid w:val="003216B2"/>
    <w:rsid w:val="003225C5"/>
    <w:rsid w:val="00324864"/>
    <w:rsid w:val="0033088A"/>
    <w:rsid w:val="00334945"/>
    <w:rsid w:val="00334CCE"/>
    <w:rsid w:val="003365BF"/>
    <w:rsid w:val="00336BC4"/>
    <w:rsid w:val="00345563"/>
    <w:rsid w:val="00350D63"/>
    <w:rsid w:val="00351B55"/>
    <w:rsid w:val="00351D16"/>
    <w:rsid w:val="00352DEC"/>
    <w:rsid w:val="00355EBA"/>
    <w:rsid w:val="00357686"/>
    <w:rsid w:val="0036297A"/>
    <w:rsid w:val="003652DB"/>
    <w:rsid w:val="003658EF"/>
    <w:rsid w:val="00366B89"/>
    <w:rsid w:val="00372E08"/>
    <w:rsid w:val="00373A6C"/>
    <w:rsid w:val="00375FD6"/>
    <w:rsid w:val="00380519"/>
    <w:rsid w:val="0038423D"/>
    <w:rsid w:val="00385847"/>
    <w:rsid w:val="00394763"/>
    <w:rsid w:val="003A0F85"/>
    <w:rsid w:val="003A1FA0"/>
    <w:rsid w:val="003A359A"/>
    <w:rsid w:val="003A44AC"/>
    <w:rsid w:val="003B7FD6"/>
    <w:rsid w:val="003C0797"/>
    <w:rsid w:val="003C142C"/>
    <w:rsid w:val="003C2125"/>
    <w:rsid w:val="003C5896"/>
    <w:rsid w:val="003C6224"/>
    <w:rsid w:val="003D0747"/>
    <w:rsid w:val="003D28FD"/>
    <w:rsid w:val="003D3566"/>
    <w:rsid w:val="003D4B50"/>
    <w:rsid w:val="003D4E8E"/>
    <w:rsid w:val="003E03F2"/>
    <w:rsid w:val="003E1AC9"/>
    <w:rsid w:val="00403ADE"/>
    <w:rsid w:val="004057F6"/>
    <w:rsid w:val="00411DC9"/>
    <w:rsid w:val="00424A95"/>
    <w:rsid w:val="004264FF"/>
    <w:rsid w:val="0042665A"/>
    <w:rsid w:val="00427850"/>
    <w:rsid w:val="004308A3"/>
    <w:rsid w:val="0043296C"/>
    <w:rsid w:val="00433233"/>
    <w:rsid w:val="00444F29"/>
    <w:rsid w:val="00446F78"/>
    <w:rsid w:val="00455F42"/>
    <w:rsid w:val="00457BA9"/>
    <w:rsid w:val="00475D6E"/>
    <w:rsid w:val="00480F6E"/>
    <w:rsid w:val="0048297A"/>
    <w:rsid w:val="00485AA7"/>
    <w:rsid w:val="00487997"/>
    <w:rsid w:val="00491F23"/>
    <w:rsid w:val="004968F0"/>
    <w:rsid w:val="004975D8"/>
    <w:rsid w:val="004979FD"/>
    <w:rsid w:val="00497D1F"/>
    <w:rsid w:val="004A2584"/>
    <w:rsid w:val="004A6652"/>
    <w:rsid w:val="004B2578"/>
    <w:rsid w:val="004B2C76"/>
    <w:rsid w:val="004C177C"/>
    <w:rsid w:val="004C1AD1"/>
    <w:rsid w:val="004C2D8E"/>
    <w:rsid w:val="004C46F3"/>
    <w:rsid w:val="004C5686"/>
    <w:rsid w:val="004C66A9"/>
    <w:rsid w:val="004D13AB"/>
    <w:rsid w:val="004D2F58"/>
    <w:rsid w:val="004F0CE5"/>
    <w:rsid w:val="004F3D9E"/>
    <w:rsid w:val="00505892"/>
    <w:rsid w:val="00510735"/>
    <w:rsid w:val="0051463D"/>
    <w:rsid w:val="00517B46"/>
    <w:rsid w:val="0052156A"/>
    <w:rsid w:val="005319B5"/>
    <w:rsid w:val="00534D20"/>
    <w:rsid w:val="00543895"/>
    <w:rsid w:val="00543E0F"/>
    <w:rsid w:val="00555E51"/>
    <w:rsid w:val="0055786D"/>
    <w:rsid w:val="0056374C"/>
    <w:rsid w:val="00564356"/>
    <w:rsid w:val="00575480"/>
    <w:rsid w:val="005770C4"/>
    <w:rsid w:val="00580C57"/>
    <w:rsid w:val="00581BFC"/>
    <w:rsid w:val="00582AC6"/>
    <w:rsid w:val="0058542F"/>
    <w:rsid w:val="00585D73"/>
    <w:rsid w:val="005877D0"/>
    <w:rsid w:val="00591FE3"/>
    <w:rsid w:val="005A193A"/>
    <w:rsid w:val="005A5106"/>
    <w:rsid w:val="005A526E"/>
    <w:rsid w:val="005A7D73"/>
    <w:rsid w:val="005C1C45"/>
    <w:rsid w:val="005C5E5B"/>
    <w:rsid w:val="005D0CDE"/>
    <w:rsid w:val="005D521F"/>
    <w:rsid w:val="005D5C15"/>
    <w:rsid w:val="005E08D6"/>
    <w:rsid w:val="005E4D69"/>
    <w:rsid w:val="005E5132"/>
    <w:rsid w:val="005E5618"/>
    <w:rsid w:val="005F0EC6"/>
    <w:rsid w:val="005F4B0F"/>
    <w:rsid w:val="005F4BFC"/>
    <w:rsid w:val="00604D51"/>
    <w:rsid w:val="00621A55"/>
    <w:rsid w:val="00622D7F"/>
    <w:rsid w:val="006250EF"/>
    <w:rsid w:val="00630271"/>
    <w:rsid w:val="006334B8"/>
    <w:rsid w:val="00635C0D"/>
    <w:rsid w:val="00643BD6"/>
    <w:rsid w:val="006452A1"/>
    <w:rsid w:val="00647407"/>
    <w:rsid w:val="00650CC2"/>
    <w:rsid w:val="00651FD2"/>
    <w:rsid w:val="00653129"/>
    <w:rsid w:val="006534D2"/>
    <w:rsid w:val="0065368C"/>
    <w:rsid w:val="006630CA"/>
    <w:rsid w:val="00667788"/>
    <w:rsid w:val="00671077"/>
    <w:rsid w:val="00676426"/>
    <w:rsid w:val="00677695"/>
    <w:rsid w:val="00687253"/>
    <w:rsid w:val="00690E4E"/>
    <w:rsid w:val="006916D1"/>
    <w:rsid w:val="00691CF4"/>
    <w:rsid w:val="00694693"/>
    <w:rsid w:val="00695CD9"/>
    <w:rsid w:val="00697BC1"/>
    <w:rsid w:val="006A24EE"/>
    <w:rsid w:val="006A335C"/>
    <w:rsid w:val="006C4BE6"/>
    <w:rsid w:val="006D333A"/>
    <w:rsid w:val="006E3609"/>
    <w:rsid w:val="006E7573"/>
    <w:rsid w:val="006E7CC1"/>
    <w:rsid w:val="006F749F"/>
    <w:rsid w:val="006F7CED"/>
    <w:rsid w:val="00703ACD"/>
    <w:rsid w:val="00705A86"/>
    <w:rsid w:val="0071464E"/>
    <w:rsid w:val="00714AC8"/>
    <w:rsid w:val="00716150"/>
    <w:rsid w:val="0072620E"/>
    <w:rsid w:val="00726D05"/>
    <w:rsid w:val="0073499D"/>
    <w:rsid w:val="007405CA"/>
    <w:rsid w:val="0074315C"/>
    <w:rsid w:val="00745ACA"/>
    <w:rsid w:val="0074639B"/>
    <w:rsid w:val="007469E0"/>
    <w:rsid w:val="00751D27"/>
    <w:rsid w:val="00752A70"/>
    <w:rsid w:val="0075588E"/>
    <w:rsid w:val="007576DF"/>
    <w:rsid w:val="0076222A"/>
    <w:rsid w:val="00765477"/>
    <w:rsid w:val="00765778"/>
    <w:rsid w:val="0076780E"/>
    <w:rsid w:val="007702C5"/>
    <w:rsid w:val="007730D5"/>
    <w:rsid w:val="00776FBF"/>
    <w:rsid w:val="00786E42"/>
    <w:rsid w:val="007879BF"/>
    <w:rsid w:val="0079260D"/>
    <w:rsid w:val="007973AC"/>
    <w:rsid w:val="007A4244"/>
    <w:rsid w:val="007A448D"/>
    <w:rsid w:val="007A4520"/>
    <w:rsid w:val="007D2C8B"/>
    <w:rsid w:val="007D315D"/>
    <w:rsid w:val="007D5993"/>
    <w:rsid w:val="007E052A"/>
    <w:rsid w:val="007F0304"/>
    <w:rsid w:val="007F0336"/>
    <w:rsid w:val="007F1D22"/>
    <w:rsid w:val="007F52C0"/>
    <w:rsid w:val="008109B9"/>
    <w:rsid w:val="008126B7"/>
    <w:rsid w:val="00812D5C"/>
    <w:rsid w:val="00814646"/>
    <w:rsid w:val="008159FC"/>
    <w:rsid w:val="00821A51"/>
    <w:rsid w:val="00825545"/>
    <w:rsid w:val="00825E6D"/>
    <w:rsid w:val="00830DAE"/>
    <w:rsid w:val="0083159B"/>
    <w:rsid w:val="008326AB"/>
    <w:rsid w:val="00836924"/>
    <w:rsid w:val="008403B2"/>
    <w:rsid w:val="008448DF"/>
    <w:rsid w:val="00851254"/>
    <w:rsid w:val="0085235E"/>
    <w:rsid w:val="0085303A"/>
    <w:rsid w:val="00853963"/>
    <w:rsid w:val="00857EEF"/>
    <w:rsid w:val="00864818"/>
    <w:rsid w:val="00865D1B"/>
    <w:rsid w:val="008669CF"/>
    <w:rsid w:val="00867005"/>
    <w:rsid w:val="0086768F"/>
    <w:rsid w:val="008746C1"/>
    <w:rsid w:val="0087477E"/>
    <w:rsid w:val="00886875"/>
    <w:rsid w:val="0089408B"/>
    <w:rsid w:val="0089455A"/>
    <w:rsid w:val="008A2889"/>
    <w:rsid w:val="008B1141"/>
    <w:rsid w:val="008B24CF"/>
    <w:rsid w:val="008B29C7"/>
    <w:rsid w:val="008B36F5"/>
    <w:rsid w:val="008B53E0"/>
    <w:rsid w:val="008B564A"/>
    <w:rsid w:val="008C0901"/>
    <w:rsid w:val="008C3AE8"/>
    <w:rsid w:val="008C5ECE"/>
    <w:rsid w:val="008D176E"/>
    <w:rsid w:val="008D1A95"/>
    <w:rsid w:val="008D33CE"/>
    <w:rsid w:val="008D3602"/>
    <w:rsid w:val="008D4BC1"/>
    <w:rsid w:val="008E0596"/>
    <w:rsid w:val="008E05A8"/>
    <w:rsid w:val="008E4726"/>
    <w:rsid w:val="008F004A"/>
    <w:rsid w:val="008F04DB"/>
    <w:rsid w:val="008F05DA"/>
    <w:rsid w:val="008F0733"/>
    <w:rsid w:val="008F7178"/>
    <w:rsid w:val="008F777A"/>
    <w:rsid w:val="0090027B"/>
    <w:rsid w:val="009028C8"/>
    <w:rsid w:val="00902E6A"/>
    <w:rsid w:val="00907466"/>
    <w:rsid w:val="00907954"/>
    <w:rsid w:val="0091090A"/>
    <w:rsid w:val="00916467"/>
    <w:rsid w:val="0092193F"/>
    <w:rsid w:val="009266EA"/>
    <w:rsid w:val="00932E4F"/>
    <w:rsid w:val="00937204"/>
    <w:rsid w:val="00937D4D"/>
    <w:rsid w:val="00942D91"/>
    <w:rsid w:val="00945A05"/>
    <w:rsid w:val="0094715A"/>
    <w:rsid w:val="0094795C"/>
    <w:rsid w:val="009539AA"/>
    <w:rsid w:val="009700E1"/>
    <w:rsid w:val="00972B60"/>
    <w:rsid w:val="00972FC8"/>
    <w:rsid w:val="00976592"/>
    <w:rsid w:val="009779DE"/>
    <w:rsid w:val="00980F3C"/>
    <w:rsid w:val="00986F3F"/>
    <w:rsid w:val="00993A74"/>
    <w:rsid w:val="009943DF"/>
    <w:rsid w:val="009A01C1"/>
    <w:rsid w:val="009A07B3"/>
    <w:rsid w:val="009A21A0"/>
    <w:rsid w:val="009A2223"/>
    <w:rsid w:val="009A29FC"/>
    <w:rsid w:val="009A4E5E"/>
    <w:rsid w:val="009B2900"/>
    <w:rsid w:val="009B5A48"/>
    <w:rsid w:val="009B6F3D"/>
    <w:rsid w:val="009C17C6"/>
    <w:rsid w:val="009C268C"/>
    <w:rsid w:val="009C5A82"/>
    <w:rsid w:val="009C62BC"/>
    <w:rsid w:val="009D01DE"/>
    <w:rsid w:val="009D3B6D"/>
    <w:rsid w:val="009D5E4C"/>
    <w:rsid w:val="009E0264"/>
    <w:rsid w:val="009E0CB9"/>
    <w:rsid w:val="009E0FF3"/>
    <w:rsid w:val="009E6E4D"/>
    <w:rsid w:val="009F0A4A"/>
    <w:rsid w:val="009F622B"/>
    <w:rsid w:val="00A01691"/>
    <w:rsid w:val="00A0258E"/>
    <w:rsid w:val="00A02B29"/>
    <w:rsid w:val="00A03B63"/>
    <w:rsid w:val="00A03C75"/>
    <w:rsid w:val="00A05325"/>
    <w:rsid w:val="00A16BA8"/>
    <w:rsid w:val="00A2019A"/>
    <w:rsid w:val="00A22FC1"/>
    <w:rsid w:val="00A2487B"/>
    <w:rsid w:val="00A313B7"/>
    <w:rsid w:val="00A31A02"/>
    <w:rsid w:val="00A33022"/>
    <w:rsid w:val="00A365B0"/>
    <w:rsid w:val="00A369D2"/>
    <w:rsid w:val="00A4520C"/>
    <w:rsid w:val="00A469F5"/>
    <w:rsid w:val="00A473DA"/>
    <w:rsid w:val="00A50260"/>
    <w:rsid w:val="00A51C2E"/>
    <w:rsid w:val="00A56E1C"/>
    <w:rsid w:val="00A5731E"/>
    <w:rsid w:val="00A60AB8"/>
    <w:rsid w:val="00A65E39"/>
    <w:rsid w:val="00A666AC"/>
    <w:rsid w:val="00A67553"/>
    <w:rsid w:val="00A71C07"/>
    <w:rsid w:val="00A7619C"/>
    <w:rsid w:val="00A767E9"/>
    <w:rsid w:val="00A828A6"/>
    <w:rsid w:val="00A8402E"/>
    <w:rsid w:val="00A86EFF"/>
    <w:rsid w:val="00A948CE"/>
    <w:rsid w:val="00A95FE2"/>
    <w:rsid w:val="00A97EAB"/>
    <w:rsid w:val="00AA371B"/>
    <w:rsid w:val="00AB04BC"/>
    <w:rsid w:val="00AB1A2A"/>
    <w:rsid w:val="00AB47C3"/>
    <w:rsid w:val="00AB7154"/>
    <w:rsid w:val="00AB71EF"/>
    <w:rsid w:val="00AB7F0D"/>
    <w:rsid w:val="00AC0A3B"/>
    <w:rsid w:val="00AC0E47"/>
    <w:rsid w:val="00AC1A71"/>
    <w:rsid w:val="00AC3142"/>
    <w:rsid w:val="00AC5318"/>
    <w:rsid w:val="00AC7DFB"/>
    <w:rsid w:val="00AD5581"/>
    <w:rsid w:val="00AD7433"/>
    <w:rsid w:val="00AE0DDC"/>
    <w:rsid w:val="00AE1692"/>
    <w:rsid w:val="00AE1E09"/>
    <w:rsid w:val="00AE274A"/>
    <w:rsid w:val="00AE5746"/>
    <w:rsid w:val="00AE6FFA"/>
    <w:rsid w:val="00AF08AE"/>
    <w:rsid w:val="00AF3687"/>
    <w:rsid w:val="00B167D7"/>
    <w:rsid w:val="00B169D2"/>
    <w:rsid w:val="00B17421"/>
    <w:rsid w:val="00B20164"/>
    <w:rsid w:val="00B23A4C"/>
    <w:rsid w:val="00B24C4A"/>
    <w:rsid w:val="00B25E4F"/>
    <w:rsid w:val="00B2693F"/>
    <w:rsid w:val="00B30A9D"/>
    <w:rsid w:val="00B30C09"/>
    <w:rsid w:val="00B318D5"/>
    <w:rsid w:val="00B35353"/>
    <w:rsid w:val="00B474F4"/>
    <w:rsid w:val="00B47998"/>
    <w:rsid w:val="00B51A3D"/>
    <w:rsid w:val="00B5358C"/>
    <w:rsid w:val="00B53A4D"/>
    <w:rsid w:val="00B54CF1"/>
    <w:rsid w:val="00B61792"/>
    <w:rsid w:val="00B640A2"/>
    <w:rsid w:val="00B71F5F"/>
    <w:rsid w:val="00B738D4"/>
    <w:rsid w:val="00B75442"/>
    <w:rsid w:val="00B778BC"/>
    <w:rsid w:val="00B815C3"/>
    <w:rsid w:val="00B82D29"/>
    <w:rsid w:val="00B84EAB"/>
    <w:rsid w:val="00B85FB0"/>
    <w:rsid w:val="00B87D06"/>
    <w:rsid w:val="00B92015"/>
    <w:rsid w:val="00B922CC"/>
    <w:rsid w:val="00B9303D"/>
    <w:rsid w:val="00B94B07"/>
    <w:rsid w:val="00B96828"/>
    <w:rsid w:val="00BA608A"/>
    <w:rsid w:val="00BA7F4E"/>
    <w:rsid w:val="00BB097D"/>
    <w:rsid w:val="00BB1A53"/>
    <w:rsid w:val="00BB2468"/>
    <w:rsid w:val="00BB5C56"/>
    <w:rsid w:val="00BB6A9B"/>
    <w:rsid w:val="00BB6CB4"/>
    <w:rsid w:val="00BC00DE"/>
    <w:rsid w:val="00BC4A3F"/>
    <w:rsid w:val="00BD101B"/>
    <w:rsid w:val="00BE2372"/>
    <w:rsid w:val="00BE6039"/>
    <w:rsid w:val="00BE7172"/>
    <w:rsid w:val="00BF13BA"/>
    <w:rsid w:val="00BF4777"/>
    <w:rsid w:val="00C01509"/>
    <w:rsid w:val="00C053AD"/>
    <w:rsid w:val="00C0685B"/>
    <w:rsid w:val="00C07550"/>
    <w:rsid w:val="00C159B7"/>
    <w:rsid w:val="00C16418"/>
    <w:rsid w:val="00C24EC6"/>
    <w:rsid w:val="00C30073"/>
    <w:rsid w:val="00C35FE3"/>
    <w:rsid w:val="00C3684F"/>
    <w:rsid w:val="00C42EF0"/>
    <w:rsid w:val="00C439D3"/>
    <w:rsid w:val="00C445B1"/>
    <w:rsid w:val="00C446D8"/>
    <w:rsid w:val="00C45F87"/>
    <w:rsid w:val="00C47FD6"/>
    <w:rsid w:val="00C50DA2"/>
    <w:rsid w:val="00C51243"/>
    <w:rsid w:val="00C5328C"/>
    <w:rsid w:val="00C75176"/>
    <w:rsid w:val="00C80F00"/>
    <w:rsid w:val="00C81195"/>
    <w:rsid w:val="00C83412"/>
    <w:rsid w:val="00C84C67"/>
    <w:rsid w:val="00C86868"/>
    <w:rsid w:val="00C87218"/>
    <w:rsid w:val="00C930EB"/>
    <w:rsid w:val="00C94196"/>
    <w:rsid w:val="00C964F3"/>
    <w:rsid w:val="00CA315A"/>
    <w:rsid w:val="00CA6BB5"/>
    <w:rsid w:val="00CB2B51"/>
    <w:rsid w:val="00CC6A62"/>
    <w:rsid w:val="00CC6AE3"/>
    <w:rsid w:val="00CD275B"/>
    <w:rsid w:val="00CD2EAE"/>
    <w:rsid w:val="00CD2F15"/>
    <w:rsid w:val="00CD3DCA"/>
    <w:rsid w:val="00CE05D7"/>
    <w:rsid w:val="00CE1A01"/>
    <w:rsid w:val="00CE7872"/>
    <w:rsid w:val="00CF1140"/>
    <w:rsid w:val="00CF3CCB"/>
    <w:rsid w:val="00CF5278"/>
    <w:rsid w:val="00CF5CB6"/>
    <w:rsid w:val="00CF7514"/>
    <w:rsid w:val="00D00365"/>
    <w:rsid w:val="00D0360D"/>
    <w:rsid w:val="00D040F7"/>
    <w:rsid w:val="00D07135"/>
    <w:rsid w:val="00D15A56"/>
    <w:rsid w:val="00D1763F"/>
    <w:rsid w:val="00D178A8"/>
    <w:rsid w:val="00D21E23"/>
    <w:rsid w:val="00D22260"/>
    <w:rsid w:val="00D232FA"/>
    <w:rsid w:val="00D25C1B"/>
    <w:rsid w:val="00D31607"/>
    <w:rsid w:val="00D34F24"/>
    <w:rsid w:val="00D37E0B"/>
    <w:rsid w:val="00D421D6"/>
    <w:rsid w:val="00D50F65"/>
    <w:rsid w:val="00D5488A"/>
    <w:rsid w:val="00D55718"/>
    <w:rsid w:val="00D567CD"/>
    <w:rsid w:val="00D6013B"/>
    <w:rsid w:val="00D64116"/>
    <w:rsid w:val="00D66CE5"/>
    <w:rsid w:val="00D705E9"/>
    <w:rsid w:val="00D713FD"/>
    <w:rsid w:val="00D7539A"/>
    <w:rsid w:val="00D80503"/>
    <w:rsid w:val="00DA2A79"/>
    <w:rsid w:val="00DB2C0F"/>
    <w:rsid w:val="00DB7AB3"/>
    <w:rsid w:val="00DC1032"/>
    <w:rsid w:val="00DC239F"/>
    <w:rsid w:val="00DC5DCD"/>
    <w:rsid w:val="00DC7598"/>
    <w:rsid w:val="00DD2911"/>
    <w:rsid w:val="00DD2D0D"/>
    <w:rsid w:val="00DD7FBB"/>
    <w:rsid w:val="00DE5F7C"/>
    <w:rsid w:val="00DE64E5"/>
    <w:rsid w:val="00DF209F"/>
    <w:rsid w:val="00DF2DBD"/>
    <w:rsid w:val="00DF3E9D"/>
    <w:rsid w:val="00DF50CC"/>
    <w:rsid w:val="00E008D1"/>
    <w:rsid w:val="00E06331"/>
    <w:rsid w:val="00E20E95"/>
    <w:rsid w:val="00E210E5"/>
    <w:rsid w:val="00E24AB8"/>
    <w:rsid w:val="00E255B4"/>
    <w:rsid w:val="00E274F3"/>
    <w:rsid w:val="00E331B2"/>
    <w:rsid w:val="00E33880"/>
    <w:rsid w:val="00E33DB7"/>
    <w:rsid w:val="00E44346"/>
    <w:rsid w:val="00E45F7B"/>
    <w:rsid w:val="00E5250E"/>
    <w:rsid w:val="00E56220"/>
    <w:rsid w:val="00E572CC"/>
    <w:rsid w:val="00E5783E"/>
    <w:rsid w:val="00E641F7"/>
    <w:rsid w:val="00E7181D"/>
    <w:rsid w:val="00E90934"/>
    <w:rsid w:val="00E93FEE"/>
    <w:rsid w:val="00E94437"/>
    <w:rsid w:val="00E967BF"/>
    <w:rsid w:val="00E97E0F"/>
    <w:rsid w:val="00EA11D3"/>
    <w:rsid w:val="00EA196F"/>
    <w:rsid w:val="00EA53FF"/>
    <w:rsid w:val="00EA67E4"/>
    <w:rsid w:val="00EA7B68"/>
    <w:rsid w:val="00EB0D2B"/>
    <w:rsid w:val="00EB7C2C"/>
    <w:rsid w:val="00EC08FE"/>
    <w:rsid w:val="00EC1BAA"/>
    <w:rsid w:val="00EC7BA2"/>
    <w:rsid w:val="00ED265D"/>
    <w:rsid w:val="00ED3F85"/>
    <w:rsid w:val="00ED7617"/>
    <w:rsid w:val="00EE25E8"/>
    <w:rsid w:val="00EE2C04"/>
    <w:rsid w:val="00EE341F"/>
    <w:rsid w:val="00EE4742"/>
    <w:rsid w:val="00EE53B9"/>
    <w:rsid w:val="00EE73BA"/>
    <w:rsid w:val="00EF0CD3"/>
    <w:rsid w:val="00EF6C39"/>
    <w:rsid w:val="00EF75CD"/>
    <w:rsid w:val="00EF7CD1"/>
    <w:rsid w:val="00F025F8"/>
    <w:rsid w:val="00F02BFC"/>
    <w:rsid w:val="00F05DA7"/>
    <w:rsid w:val="00F0759F"/>
    <w:rsid w:val="00F07728"/>
    <w:rsid w:val="00F20AE4"/>
    <w:rsid w:val="00F30963"/>
    <w:rsid w:val="00F31E85"/>
    <w:rsid w:val="00F32D5B"/>
    <w:rsid w:val="00F365F8"/>
    <w:rsid w:val="00F449FF"/>
    <w:rsid w:val="00F51EFA"/>
    <w:rsid w:val="00F55231"/>
    <w:rsid w:val="00F57880"/>
    <w:rsid w:val="00F624CF"/>
    <w:rsid w:val="00F6313F"/>
    <w:rsid w:val="00F84141"/>
    <w:rsid w:val="00F84A22"/>
    <w:rsid w:val="00F84DA7"/>
    <w:rsid w:val="00F85298"/>
    <w:rsid w:val="00F8563B"/>
    <w:rsid w:val="00F87C7F"/>
    <w:rsid w:val="00FA40A2"/>
    <w:rsid w:val="00FA4189"/>
    <w:rsid w:val="00FA4633"/>
    <w:rsid w:val="00FA4E72"/>
    <w:rsid w:val="00FA71B0"/>
    <w:rsid w:val="00FA7229"/>
    <w:rsid w:val="00FB34D8"/>
    <w:rsid w:val="00FB50C7"/>
    <w:rsid w:val="00FC0845"/>
    <w:rsid w:val="00FC08C3"/>
    <w:rsid w:val="00FC1006"/>
    <w:rsid w:val="00FC178F"/>
    <w:rsid w:val="00FD2C82"/>
    <w:rsid w:val="00FD3394"/>
    <w:rsid w:val="00FE018E"/>
    <w:rsid w:val="00FE2827"/>
    <w:rsid w:val="00FE698A"/>
    <w:rsid w:val="00FF4220"/>
    <w:rsid w:val="00FF52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84FB807"/>
  <w15:docId w15:val="{CAA73284-971D-8B40-A2CB-5778D1CA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0F6E"/>
    <w:rPr>
      <w:sz w:val="24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szCs w:val="24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szCs w:val="24"/>
    </w:rPr>
  </w:style>
  <w:style w:type="paragraph" w:styleId="BalloonText">
    <w:name w:val="Balloon Text"/>
    <w:basedOn w:val="Normal"/>
    <w:link w:val="BalloonTextChar"/>
    <w:unhideWhenUsed/>
    <w:rsid w:val="00E063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uiPriority w:val="99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76FBF"/>
    <w:rPr>
      <w:szCs w:val="24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rsid w:val="00776FBF"/>
    <w:rPr>
      <w:sz w:val="24"/>
      <w:szCs w:val="24"/>
      <w:lang w:val="fr-FR" w:eastAsia="fr-FR"/>
    </w:rPr>
  </w:style>
  <w:style w:type="character" w:customStyle="1" w:styleId="Agency-body-textChar">
    <w:name w:val="Agency-body-text Char"/>
    <w:basedOn w:val="DefaultParagraphFont"/>
    <w:link w:val="Agency-body-text"/>
    <w:rsid w:val="00776FBF"/>
    <w:rPr>
      <w:rFonts w:ascii="Calibri" w:hAnsi="Calibri"/>
      <w:color w:val="000000" w:themeColor="text1"/>
      <w:sz w:val="24"/>
    </w:rPr>
  </w:style>
  <w:style w:type="character" w:styleId="CommentReference">
    <w:name w:val="annotation reference"/>
    <w:basedOn w:val="DefaultParagraphFont"/>
    <w:semiHidden/>
    <w:unhideWhenUsed/>
    <w:rsid w:val="00776F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76FBF"/>
    <w:rPr>
      <w:rFonts w:asciiTheme="minorHAnsi" w:eastAsiaTheme="minorHAnsi" w:hAnsiTheme="minorHAnsi" w:cstheme="minorBidi"/>
      <w:sz w:val="20"/>
      <w:lang w:val="fr-FR"/>
    </w:rPr>
  </w:style>
  <w:style w:type="character" w:customStyle="1" w:styleId="CommentTextChar">
    <w:name w:val="Comment Text Char"/>
    <w:basedOn w:val="DefaultParagraphFont"/>
    <w:link w:val="CommentText"/>
    <w:rsid w:val="00776FBF"/>
    <w:rPr>
      <w:rFonts w:asciiTheme="minorHAnsi" w:eastAsiaTheme="minorHAnsi" w:hAnsiTheme="minorHAnsi" w:cstheme="minorBidi"/>
      <w:lang w:val="fr-FR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"/>
    <w:basedOn w:val="Normal"/>
    <w:link w:val="ListParagraphChar"/>
    <w:uiPriority w:val="34"/>
    <w:qFormat/>
    <w:rsid w:val="00776FBF"/>
    <w:pPr>
      <w:ind w:left="720"/>
      <w:contextualSpacing/>
    </w:pPr>
    <w:rPr>
      <w:rFonts w:asciiTheme="minorHAnsi" w:eastAsiaTheme="minorHAnsi" w:hAnsiTheme="minorHAnsi" w:cstheme="minorBidi"/>
      <w:szCs w:val="24"/>
      <w:lang w:val="fr-FR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basedOn w:val="DefaultParagraphFont"/>
    <w:link w:val="ListParagraph"/>
    <w:uiPriority w:val="34"/>
    <w:locked/>
    <w:rsid w:val="00776FBF"/>
    <w:rPr>
      <w:rFonts w:asciiTheme="minorHAnsi" w:eastAsiaTheme="minorHAnsi" w:hAnsiTheme="minorHAnsi" w:cstheme="minorBidi"/>
      <w:sz w:val="24"/>
      <w:szCs w:val="24"/>
      <w:lang w:val="fr-FR"/>
    </w:rPr>
  </w:style>
  <w:style w:type="paragraph" w:styleId="Revision">
    <w:name w:val="Revision"/>
    <w:hidden/>
    <w:semiHidden/>
    <w:rsid w:val="00776FBF"/>
    <w:rPr>
      <w:sz w:val="24"/>
      <w:szCs w:val="24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6FBF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776FBF"/>
    <w:rPr>
      <w:rFonts w:asciiTheme="minorHAnsi" w:eastAsiaTheme="minorHAnsi" w:hAnsiTheme="minorHAnsi" w:cstheme="minorBidi"/>
      <w:b/>
      <w:bCs/>
      <w:lang w:val="fr-FR" w:eastAsia="fr-FR"/>
    </w:rPr>
  </w:style>
  <w:style w:type="table" w:styleId="TableGrid">
    <w:name w:val="Table Grid"/>
    <w:basedOn w:val="TableNormal"/>
    <w:rsid w:val="0077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">
    <w:name w:val="field"/>
    <w:basedOn w:val="DefaultParagraphFont"/>
    <w:rsid w:val="00776FBF"/>
  </w:style>
  <w:style w:type="paragraph" w:styleId="NormalWeb">
    <w:name w:val="Normal (Web)"/>
    <w:basedOn w:val="Normal"/>
    <w:uiPriority w:val="99"/>
    <w:semiHidden/>
    <w:unhideWhenUsed/>
    <w:rsid w:val="00776FBF"/>
    <w:pPr>
      <w:spacing w:before="100" w:beforeAutospacing="1" w:after="100" w:afterAutospacing="1"/>
    </w:pPr>
    <w:rPr>
      <w:szCs w:val="24"/>
      <w:lang w:val="fr-FR" w:eastAsia="en-GB"/>
    </w:rPr>
  </w:style>
  <w:style w:type="character" w:customStyle="1" w:styleId="topic-highlight">
    <w:name w:val="topic-highlight"/>
    <w:basedOn w:val="DefaultParagraphFont"/>
    <w:rsid w:val="00776FBF"/>
  </w:style>
  <w:style w:type="paragraph" w:styleId="Caption">
    <w:name w:val="caption"/>
    <w:basedOn w:val="Normal"/>
    <w:next w:val="Normal"/>
    <w:unhideWhenUsed/>
    <w:qFormat/>
    <w:rsid w:val="008B29C7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30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4.0/" TargetMode="External"/><Relationship Id="rId26" Type="http://schemas.openxmlformats.org/officeDocument/2006/relationships/footer" Target="footer3.xml"/><Relationship Id="rId39" Type="http://schemas.openxmlformats.org/officeDocument/2006/relationships/hyperlink" Target="https://www.european-agency.org/sites/default/files/analysis_framework_for_mapping_inclusive_education_policies.pdf" TargetMode="External"/><Relationship Id="rId21" Type="http://schemas.openxmlformats.org/officeDocument/2006/relationships/hyperlink" Target="mailto:brussels.office@european-agency.org" TargetMode="External"/><Relationship Id="rId34" Type="http://schemas.openxmlformats.org/officeDocument/2006/relationships/hyperlink" Target="http://www.udlcenter.org/aboutudl" TargetMode="External"/><Relationship Id="rId42" Type="http://schemas.openxmlformats.org/officeDocument/2006/relationships/hyperlink" Target="http://www.cast.org/impact/universal-design-for-learning-udl" TargetMode="External"/><Relationship Id="rId47" Type="http://schemas.openxmlformats.org/officeDocument/2006/relationships/hyperlink" Target="http://www.edglossary.org/professional-learning-community" TargetMode="External"/><Relationship Id="rId50" Type="http://schemas.openxmlformats.org/officeDocument/2006/relationships/header" Target="header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an-agency.org/open-access-policy" TargetMode="External"/><Relationship Id="rId29" Type="http://schemas.openxmlformats.org/officeDocument/2006/relationships/hyperlink" Target="https://www.european-agency.org/resources/glossary" TargetMode="Externa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yperlink" Target="https://www.oxfordlearnersdictionaries.com/" TargetMode="External"/><Relationship Id="rId37" Type="http://schemas.openxmlformats.org/officeDocument/2006/relationships/hyperlink" Target="https://www.edglossary.org/professional-learning-community/" TargetMode="External"/><Relationship Id="rId40" Type="http://schemas.openxmlformats.org/officeDocument/2006/relationships/hyperlink" Target="https://www.european-agency.org/resources/publications/key-principles-supporting-policy-development-implementation" TargetMode="External"/><Relationship Id="rId45" Type="http://schemas.openxmlformats.org/officeDocument/2006/relationships/hyperlink" Target="http://www.european-agency.org/resources/publications/key-principles-supporting-policy-development-implementatio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://www.european-agency.org/" TargetMode="External"/><Relationship Id="rId31" Type="http://schemas.openxmlformats.org/officeDocument/2006/relationships/hyperlink" Target="https://www.oxfordlearnersdictionaries.com/" TargetMode="External"/><Relationship Id="rId44" Type="http://schemas.openxmlformats.org/officeDocument/2006/relationships/hyperlink" Target="https://www.european-agency.org/resources/publications/analysis-framework-mapping-inclusive-education-policies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european-agency.org/activities/CROSP" TargetMode="External"/><Relationship Id="rId27" Type="http://schemas.openxmlformats.org/officeDocument/2006/relationships/header" Target="header6.xml"/><Relationship Id="rId30" Type="http://schemas.openxmlformats.org/officeDocument/2006/relationships/hyperlink" Target="https://unesdoc.unesco.org/ark:/48223/pf0000373718" TargetMode="External"/><Relationship Id="rId35" Type="http://schemas.openxmlformats.org/officeDocument/2006/relationships/hyperlink" Target="https://www.european-agency.org/sites/default/files/Raising%20Achievement%20Conceptual%20Framework.pdf" TargetMode="External"/><Relationship Id="rId43" Type="http://schemas.openxmlformats.org/officeDocument/2006/relationships/hyperlink" Target="https://www.european-agency.org/sites/default/files/Raising%20Achievement%20Conceptual%20Framework.pdf" TargetMode="External"/><Relationship Id="rId48" Type="http://schemas.openxmlformats.org/officeDocument/2006/relationships/hyperlink" Target="https://www.oxfordlearnersdictionaries.com/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8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header" Target="header5.xml"/><Relationship Id="rId33" Type="http://schemas.openxmlformats.org/officeDocument/2006/relationships/hyperlink" Target="https://www.european-agency.org/projects/organisation-provision-support-inclusive-education/increasing-inclusive-capability/what-restricts-participation-and-learning-all-children-and-young-people-and-what-action-can-be" TargetMode="External"/><Relationship Id="rId38" Type="http://schemas.openxmlformats.org/officeDocument/2006/relationships/hyperlink" Target="https://www.oxfordlearnersdictionaries.com/" TargetMode="External"/><Relationship Id="rId46" Type="http://schemas.openxmlformats.org/officeDocument/2006/relationships/hyperlink" Target="http://www.european-agency.org/projects/organisation-provision-support-inclusive-education/increasing-inclusive-capability/what-restricts-participation-and-learning-all-children-and-young-people-and-what-action-can-be" TargetMode="External"/><Relationship Id="rId20" Type="http://schemas.openxmlformats.org/officeDocument/2006/relationships/hyperlink" Target="mailto:secretariat@european-agency.org" TargetMode="External"/><Relationship Id="rId41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hyperlink" Target="https://www.edglossary.org/action-research/" TargetMode="External"/><Relationship Id="rId49" Type="http://schemas.openxmlformats.org/officeDocument/2006/relationships/hyperlink" Target="https://en.unesco.org/gem-report/report/2020/inclus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20" ma:contentTypeDescription="Create a new document." ma:contentTypeScope="" ma:versionID="86ec01a51c5d2b6a116ea24e4503f20f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879b164dbb55769e7c5607ea9d888a22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eb656aa-4e79-4e95-9076-bc119a23e0cc" xsi:nil="true"/>
    <lcf76f155ced4ddcb4097134ff3c332f xmlns="324635bc-db01-4d24-9bfc-ec988f3f2b32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2A6A3DE-2BD4-4328-86B9-2CD08B7735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520C4D-6A08-4260-86A4-26678CCC9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eb656aa-4e79-4e95-9076-bc119a23e0cc"/>
    <ds:schemaRef ds:uri="324635bc-db01-4d24-9bfc-ec988f3f2b32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29</Pages>
  <Words>5880</Words>
  <Characters>38460</Characters>
  <Application>Microsoft Office Word</Application>
  <DocSecurity>0</DocSecurity>
  <Lines>1326</Lines>
  <Paragraphs>443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Role of Specialist Provision in Supporting Inclusive Education: Policy Self-Review Tool</vt:lpstr>
    </vt:vector>
  </TitlesOfParts>
  <Manager/>
  <Company>European Agency for Special Needs and Inclusive Education</Company>
  <LinksUpToDate>false</LinksUpToDate>
  <CharactersWithSpaces>43897</CharactersWithSpaces>
  <SharedDoc>false</SharedDoc>
  <HyperlinkBase/>
  <HLinks>
    <vt:vector size="12" baseType="variant">
      <vt:variant>
        <vt:i4>3276915</vt:i4>
      </vt:variant>
      <vt:variant>
        <vt:i4>2927</vt:i4>
      </vt:variant>
      <vt:variant>
        <vt:i4>1026</vt:i4>
      </vt:variant>
      <vt:variant>
        <vt:i4>1</vt:i4>
      </vt:variant>
      <vt:variant>
        <vt:lpwstr>Logo A4 header</vt:lpwstr>
      </vt:variant>
      <vt:variant>
        <vt:lpwstr/>
      </vt:variant>
      <vt:variant>
        <vt:i4>3276915</vt:i4>
      </vt:variant>
      <vt:variant>
        <vt:i4>2930</vt:i4>
      </vt:variant>
      <vt:variant>
        <vt:i4>1025</vt:i4>
      </vt:variant>
      <vt:variant>
        <vt:i4>1</vt:i4>
      </vt:variant>
      <vt:variant>
        <vt:lpwstr>Logo A4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Zmena roly špecialistov pri zabezpečovaní podpory inkluzívneho vzdelávania: Nástroj na samohodnotenie politiky</dc:title>
  <dc:subject>Changing Role of Specialist Provision in Supporting Inclusive Education (CROSP)</dc:subject>
  <dc:creator>European Agency for Special Needs and Inclusive Education</dc:creator>
  <cp:keywords>EASNIE</cp:keywords>
  <dc:description/>
  <cp:lastModifiedBy>Áine Wynne</cp:lastModifiedBy>
  <cp:revision>38</cp:revision>
  <cp:lastPrinted>2009-05-04T16:34:00Z</cp:lastPrinted>
  <dcterms:created xsi:type="dcterms:W3CDTF">2023-02-14T13:58:00Z</dcterms:created>
  <dcterms:modified xsi:type="dcterms:W3CDTF">2023-03-03T16:25:00Z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